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158750</wp:posOffset>
            </wp:positionV>
            <wp:extent cx="1406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90"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-127635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42" w:lineRule="exact"/>
        <w:rPr>
          <w:sz w:val="24"/>
          <w:szCs w:val="24"/>
          <w:color w:val="auto"/>
        </w:rPr>
      </w:pPr>
    </w:p>
    <w:p>
      <w:pPr>
        <w:ind w:left="380" w:right="60" w:hanging="345"/>
        <w:spacing w:after="0" w:line="248"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61" w:lineRule="exact"/>
        <w:rPr>
          <w:sz w:val="24"/>
          <w:szCs w:val="24"/>
          <w:color w:val="auto"/>
        </w:rPr>
      </w:pPr>
    </w:p>
    <w:p>
      <w:pPr>
        <w:ind w:left="380" w:right="6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3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Commission File Number 1-11689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248920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Fair Isaac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330835</wp:posOffset>
            </wp:positionV>
            <wp:extent cx="1406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43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center"/>
              <w:ind w:left="1881"/>
              <w:spacing w:after="0"/>
              <w:rPr>
                <w:sz w:val="20"/>
                <w:szCs w:val="20"/>
                <w:color w:val="auto"/>
              </w:rPr>
            </w:pPr>
            <w:r>
              <w:rPr>
                <w:rFonts w:ascii="Arial" w:cs="Arial" w:eastAsia="Arial" w:hAnsi="Arial"/>
                <w:sz w:val="18"/>
                <w:szCs w:val="18"/>
                <w:b w:val="1"/>
                <w:bCs w:val="1"/>
                <w:color w:val="auto"/>
                <w:w w:val="89"/>
              </w:rPr>
              <w:t>94-1499887</w:t>
            </w:r>
          </w:p>
        </w:tc>
      </w:tr>
      <w:tr>
        <w:trPr>
          <w:trHeight w:val="218"/>
        </w:trPr>
        <w:tc>
          <w:tcPr>
            <w:tcW w:w="43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4"/>
              </w:rPr>
              <w:t>(I.R.S. Employer</w:t>
            </w:r>
          </w:p>
        </w:tc>
      </w:tr>
      <w:tr>
        <w:trPr>
          <w:trHeight w:val="203"/>
        </w:trPr>
        <w:tc>
          <w:tcPr>
            <w:tcW w:w="43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2"/>
              </w:rPr>
              <w:t>181 Metro Drive, Suite 700</w:t>
            </w:r>
          </w:p>
        </w:tc>
        <w:tc>
          <w:tcPr>
            <w:tcW w:w="3100" w:type="dxa"/>
            <w:vAlign w:val="bottom"/>
          </w:tcPr>
          <w:p>
            <w:pPr>
              <w:spacing w:after="0"/>
              <w:rPr>
                <w:sz w:val="24"/>
                <w:szCs w:val="24"/>
                <w:color w:val="auto"/>
              </w:rPr>
            </w:pPr>
          </w:p>
        </w:tc>
      </w:tr>
      <w:tr>
        <w:trPr>
          <w:trHeight w:val="234"/>
        </w:trPr>
        <w:tc>
          <w:tcPr>
            <w:tcW w:w="43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San Jose, California</w:t>
            </w:r>
          </w:p>
        </w:tc>
        <w:tc>
          <w:tcPr>
            <w:tcW w:w="3100" w:type="dxa"/>
            <w:vAlign w:val="bottom"/>
          </w:tcPr>
          <w:p>
            <w:pPr>
              <w:jc w:val="center"/>
              <w:ind w:left="1881"/>
              <w:spacing w:after="0"/>
              <w:rPr>
                <w:sz w:val="20"/>
                <w:szCs w:val="20"/>
                <w:color w:val="auto"/>
              </w:rPr>
            </w:pPr>
            <w:r>
              <w:rPr>
                <w:rFonts w:ascii="Arial" w:cs="Arial" w:eastAsia="Arial" w:hAnsi="Arial"/>
                <w:sz w:val="18"/>
                <w:szCs w:val="18"/>
                <w:b w:val="1"/>
                <w:bCs w:val="1"/>
                <w:color w:val="auto"/>
                <w:w w:val="89"/>
              </w:rPr>
              <w:t>95110-1346</w:t>
            </w:r>
          </w:p>
        </w:tc>
      </w:tr>
      <w:tr>
        <w:trPr>
          <w:trHeight w:val="218"/>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408-535-1500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412115</wp:posOffset>
            </wp:positionV>
            <wp:extent cx="1406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894" w:gutter="0" w:footer="0" w:header="0"/>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4580" w:space="720"/>
            <w:col w:w="160" w:space="280"/>
            <w:col w:w="4580" w:space="720"/>
            <w:col w:w="380"/>
          </w:cols>
          <w:pgMar w:left="240" w:top="233" w:right="239" w:bottom="894"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4620" w:space="720"/>
            <w:col w:w="80" w:space="320"/>
            <w:col w:w="4580" w:space="720"/>
            <w:col w:w="380"/>
          </w:cols>
          <w:pgMar w:left="240" w:top="233" w:right="239" w:bottom="894" w:gutter="0" w:footer="0" w:header="0"/>
          <w:type w:val="continuous"/>
        </w:sectPr>
      </w:pPr>
    </w:p>
    <w:p>
      <w:pPr>
        <w:spacing w:after="0" w:line="8" w:lineRule="exact"/>
        <w:rPr>
          <w:sz w:val="24"/>
          <w:szCs w:val="24"/>
          <w:color w:val="auto"/>
        </w:rPr>
      </w:pPr>
    </w:p>
    <w:p>
      <w:pPr>
        <w:ind w:left="57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56" w:lineRule="exact"/>
        <w:rPr>
          <w:sz w:val="24"/>
          <w:szCs w:val="24"/>
          <w:color w:val="auto"/>
        </w:rPr>
      </w:pPr>
    </w:p>
    <w:p>
      <w:pPr>
        <w:sectPr>
          <w:pgSz w:w="11900" w:h="16838" w:orient="portrait"/>
          <w:cols w:equalWidth="0" w:num="2">
            <w:col w:w="10320" w:space="720"/>
            <w:col w:w="380"/>
          </w:cols>
          <w:pgMar w:left="240" w:top="233" w:right="239" w:bottom="894"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4"/>
          <w:szCs w:val="24"/>
          <w:color w:val="auto"/>
        </w:rPr>
      </w:pPr>
    </w:p>
    <w:p>
      <w:pPr>
        <w:sectPr>
          <w:pgSz w:w="11900" w:h="16838" w:orient="portrait"/>
          <w:cols w:equalWidth="0" w:num="5">
            <w:col w:w="8620" w:space="180"/>
            <w:col w:w="160" w:space="80"/>
            <w:col w:w="260" w:space="180"/>
            <w:col w:w="160" w:space="100"/>
            <w:col w:w="1680"/>
          </w:cols>
          <w:pgMar w:left="240" w:top="233" w:right="239" w:bottom="894" w:gutter="0" w:footer="0" w:header="0"/>
          <w:type w:val="continuous"/>
        </w:sectPr>
      </w:pPr>
    </w:p>
    <w:p>
      <w:pPr>
        <w:spacing w:after="0" w:line="37"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The number of shares of common stock outstanding on April 14, 2017 was 30,965,124 (excluding 57,891,659 shares held by us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894"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gridSpan w:val="4"/>
          </w:tcPr>
          <w:p>
            <w:pPr>
              <w:ind w:left="64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9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160" w:type="dxa"/>
            <w:vAlign w:val="bottom"/>
            <w:gridSpan w:val="4"/>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820" w:type="dxa"/>
            <w:vAlign w:val="bottom"/>
            <w:gridSpan w:val="8"/>
          </w:tcPr>
          <w:p>
            <w:pPr>
              <w:spacing w:after="0"/>
              <w:rPr>
                <w:sz w:val="24"/>
                <w:szCs w:val="24"/>
                <w:color w:val="auto"/>
              </w:rPr>
            </w:pPr>
          </w:p>
        </w:tc>
        <w:tc>
          <w:tcPr>
            <w:tcW w:w="20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18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3960" w:type="dxa"/>
            <w:vAlign w:val="bottom"/>
            <w:gridSpan w:val="2"/>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204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5460" w:type="dxa"/>
            <w:vAlign w:val="bottom"/>
            <w:gridSpan w:val="5"/>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204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34</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1"/>
                <w:szCs w:val="21"/>
                <w:color w:val="auto"/>
              </w:rPr>
            </w:pPr>
          </w:p>
        </w:tc>
        <w:tc>
          <w:tcPr>
            <w:tcW w:w="7000" w:type="dxa"/>
            <w:vAlign w:val="bottom"/>
            <w:gridSpan w:val="9"/>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34</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204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1"/>
                <w:szCs w:val="21"/>
                <w:color w:val="auto"/>
              </w:rPr>
            </w:pPr>
          </w:p>
        </w:tc>
        <w:tc>
          <w:tcPr>
            <w:tcW w:w="3980" w:type="dxa"/>
            <w:vAlign w:val="bottom"/>
            <w:gridSpan w:val="3"/>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44</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1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204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6560" w:type="dxa"/>
            <w:vAlign w:val="bottom"/>
            <w:gridSpan w:val="7"/>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44</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1"/>
                <w:szCs w:val="21"/>
                <w:color w:val="auto"/>
              </w:rPr>
            </w:pPr>
          </w:p>
        </w:tc>
        <w:tc>
          <w:tcPr>
            <w:tcW w:w="7020" w:type="dxa"/>
            <w:vAlign w:val="bottom"/>
            <w:gridSpan w:val="10"/>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45</w:t>
              </w:r>
            </w:hyperlink>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September 30,</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thousands, except par value data)</w:t>
            </w:r>
          </w:p>
        </w:tc>
      </w:tr>
      <w:tr>
        <w:trPr>
          <w:trHeight w:val="256"/>
        </w:trPr>
        <w:tc>
          <w:tcPr>
            <w:tcW w:w="834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75,926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141,394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167,786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309,229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267,638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available for sale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10,920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792,420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798,415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47,761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47,598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1,247,068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1,220,676</w:t>
            </w: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27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compensation and employee benefits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48,154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71,216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64,906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47,129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on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77,000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264,279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246,077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493,624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34,147</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819,967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773,848</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($0.01 par value; 200,000 shares authorized, 88,857 shares issued and 30,962 and 30,935</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outstanding at March 31, 2017 and September 30, 2016,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Paid-in-capital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1,162,936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1,185,076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Treasury stock, at cost (57,895 and 57,922 shares at March 31, 2017 and September 30, 2016,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(2,136,760)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1,536,961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1,475,214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(77,011)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427,101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446,828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1,247,068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1,220,676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March 31,</w:t>
            </w:r>
          </w:p>
        </w:tc>
        <w:tc>
          <w:tcPr>
            <w:tcW w:w="360" w:type="dxa"/>
            <w:vAlign w:val="bottom"/>
          </w:tcPr>
          <w:p>
            <w:pPr>
              <w:spacing w:after="0"/>
              <w:rPr>
                <w:sz w:val="16"/>
                <w:szCs w:val="16"/>
                <w:color w:val="auto"/>
              </w:rPr>
            </w:pPr>
          </w:p>
        </w:tc>
        <w:tc>
          <w:tcPr>
            <w:tcW w:w="27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161,249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150,743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314,909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297,815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73,494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License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25,845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406,754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 *</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124,491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49,479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156,339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Amortization of intangible assets *</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188,337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337,396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40,041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38,524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74,968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8,052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13,563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42,357</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31,173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54,727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35,333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32,260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32,398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32,349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800" w:right="2360" w:hanging="4792"/>
        <w:spacing w:after="0" w:line="528" w:lineRule="auto"/>
        <w:tabs>
          <w:tab w:leader="none" w:pos="14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revenues and selling, general and administrative expenses exclude the amortization of intangible assets. See Note 4. 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September 30, 2016</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treasury stock under employee stock plans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translation adjustments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2017</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14"/>
                <w:szCs w:val="14"/>
                <w:color w:val="auto"/>
              </w:rPr>
            </w:pPr>
          </w:p>
        </w:tc>
        <w:tc>
          <w:tcPr>
            <w:tcW w:w="82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Paid-in-Capital</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30,935</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309</w:t>
            </w:r>
          </w:p>
        </w:tc>
        <w:tc>
          <w:tcPr>
            <w:tcW w:w="12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1,185,076</w:t>
            </w:r>
          </w:p>
        </w:tc>
        <w:tc>
          <w:tcPr>
            <w:tcW w:w="10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(2,136,760)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1,475,214</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(77,011)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446,828</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29,231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29,231</w:t>
            </w:r>
          </w:p>
        </w:tc>
        <w:tc>
          <w:tcPr>
            <w:tcW w:w="0" w:type="dxa"/>
            <w:vAlign w:val="bottom"/>
          </w:tcPr>
          <w:p>
            <w:pPr>
              <w:spacing w:after="0"/>
              <w:rPr>
                <w:sz w:val="1"/>
                <w:szCs w:val="1"/>
                <w:color w:val="auto"/>
              </w:rPr>
            </w:pPr>
          </w:p>
        </w:tc>
      </w:tr>
      <w:tr>
        <w:trPr>
          <w:trHeight w:val="270"/>
        </w:trPr>
        <w:tc>
          <w:tcPr>
            <w:tcW w:w="1040" w:type="dxa"/>
            <w:vAlign w:val="bottom"/>
          </w:tcPr>
          <w:p>
            <w:pPr>
              <w:jc w:val="right"/>
              <w:ind w:right="68"/>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(51,371)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23,564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(27,800)</w:t>
            </w:r>
          </w:p>
        </w:tc>
        <w:tc>
          <w:tcPr>
            <w:tcW w:w="0" w:type="dxa"/>
            <w:vAlign w:val="bottom"/>
          </w:tcPr>
          <w:p>
            <w:pPr>
              <w:spacing w:after="0"/>
              <w:rPr>
                <w:sz w:val="1"/>
                <w:szCs w:val="1"/>
                <w:color w:val="auto"/>
              </w:rPr>
            </w:pPr>
          </w:p>
        </w:tc>
      </w:tr>
      <w:tr>
        <w:trPr>
          <w:trHeight w:val="270"/>
        </w:trPr>
        <w:tc>
          <w:tcPr>
            <w:tcW w:w="1040" w:type="dxa"/>
            <w:vAlign w:val="bottom"/>
          </w:tcPr>
          <w:p>
            <w:pPr>
              <w:jc w:val="right"/>
              <w:ind w:right="8"/>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(74,641)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(74,647)</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62,985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62,985</w:t>
            </w:r>
          </w:p>
        </w:tc>
        <w:tc>
          <w:tcPr>
            <w:tcW w:w="0" w:type="dxa"/>
            <w:vAlign w:val="bottom"/>
          </w:tcPr>
          <w:p>
            <w:pPr>
              <w:spacing w:after="0"/>
              <w:rPr>
                <w:sz w:val="1"/>
                <w:szCs w:val="1"/>
                <w:color w:val="auto"/>
              </w:rPr>
            </w:pPr>
          </w:p>
        </w:tc>
      </w:tr>
      <w:tr>
        <w:trPr>
          <w:trHeight w:val="276"/>
        </w:trPr>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(8,258)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(8,258)</w:t>
            </w:r>
          </w:p>
        </w:tc>
        <w:tc>
          <w:tcPr>
            <w:tcW w:w="0" w:type="dxa"/>
            <w:vAlign w:val="bottom"/>
          </w:tcPr>
          <w:p>
            <w:pPr>
              <w:spacing w:after="0"/>
              <w:rPr>
                <w:sz w:val="1"/>
                <w:szCs w:val="1"/>
                <w:color w:val="auto"/>
              </w:rPr>
            </w:pPr>
          </w:p>
        </w:tc>
      </w:tr>
      <w:tr>
        <w:trPr>
          <w:trHeight w:val="237"/>
        </w:trPr>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30,962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1,162,936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(2,187,837)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1,536,961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(85,269)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427,101</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-1388745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-1045845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-702310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-359410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ectPr>
          <w:pgSz w:w="11900" w:h="16838" w:orient="portrait"/>
          <w:cols w:equalWidth="0" w:num="2">
            <w:col w:w="3160" w:space="180"/>
            <w:col w:w="8080"/>
          </w:cols>
          <w:pgMar w:left="240" w:top="125"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62,985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42,357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18,236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Provision for doubtful accounts,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on sales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Accrued compensation and employee benefits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21,407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9,593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99,397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92,334</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revolving line of credit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revolving line of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9,114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 related to net share settlement of equity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(68,390)</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(85,759)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39,922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86,120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115,848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85,374</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 income taxes, net of refunds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21,557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2,648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 included in 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1,028</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Isaac Corporation</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Incorporated under the laws of the State of Delaware, Fair Isaac Corporation (“FICO”) is a provider of analytic, software and data management products and services that enable businesses to automate, improve and connect decisions. FICO provides a range of analytical solutions, credit scoring and credit account management products and services to banks, credit reporting agencies, credit card processing agencies, insurers, retailers, telecommunications providers, pharmaceutical companies, healthcare organizations, public agencies and organizations in other industries.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these condensed consolidated financial statements, Fair Isaac Corporation is referred to as “FICO,” “we,” “us,” “our,” or “the Company.”</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prepared the accompanying unaudited interim condensed consolidated financial statements in accordance with the instructions to Form 10-Q and the applicable accounting guidance. Consequently, we have not necessarily included in this Form 10-Q all information and footnotes required for audited financial statements. In our opinion, the accompanying unaudited interim condensed consolidated financial statements in this Form 10-Q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year ended September 30, 2016. The interim financial information contained in this report is not necessarily indicative of the results to be expected for any other interim period or for the entire fiscal year.</w:t>
      </w:r>
    </w:p>
    <w:p>
      <w:pPr>
        <w:spacing w:after="0" w:line="5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make estimates and assumptions that affect the amounts reported in the financial statements and the disclosures made in the accompanying notes. For example, we use estimates in determining the collectibility of accounts receivable; the appropriate levels of various accruals;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Effective October 1, 2016, we early adopted ASU No. 2016-09, “</w:t>
      </w:r>
      <w:r>
        <w:rPr>
          <w:rFonts w:ascii="Arial" w:cs="Arial" w:eastAsia="Arial" w:hAnsi="Arial"/>
          <w:sz w:val="16"/>
          <w:szCs w:val="16"/>
          <w:i w:val="1"/>
          <w:iCs w:val="1"/>
          <w:color w:val="auto"/>
        </w:rPr>
        <w:t>Compensation - Stock Compensation (Topic 718): Improvements to Employee Share-Based Payment Accounting</w:t>
      </w:r>
      <w:r>
        <w:rPr>
          <w:rFonts w:ascii="Arial" w:cs="Arial" w:eastAsia="Arial" w:hAnsi="Arial"/>
          <w:sz w:val="16"/>
          <w:szCs w:val="16"/>
          <w:color w:val="auto"/>
        </w:rPr>
        <w:t>” (“ASU 2016-09”). ASU 2016-09 simplifies several aspects of the accounting for share-based payment transactions,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consequences, classification of awards as either equity or liabilities, and classification on the statement of cash flows. As a result of the adoption, we recognized $3.6 million and $20.9 million of excess tax benefits related to share-based payments in our provision for income taxes for the quarter and six months ended March 31, 2017, respectively. These items were historically recorded as additional paid-in capital. We elected to apply the change retrospectively in presentation to our condensed consolidated statements of cash flows and no longer classified the excess tax benefits from employee stock plans as a reduction from operating cash flows, which resulted in increases to both net cash provided by operating activities and net cash used in financing activities of $14.0 million for the six months ended March 31, 2016. Our adoption of ASU 2016-09 also impacted the calculation of diluted weighted-average shares under the treasury stock method as we no longer increase or decrease the assumed proceeds from an employee vesting in, or exercising, a share-based payment award by the amount of excess tax benefits or deficiencies taken to additional paid-in capital. For the quarter and six months ended March 31, 2017, the impact was immaterial. Given our historical practice of including employee withholding taxes paid within financing activities in the statement of cash flows, no prior period reclassifications are required by the clarifications on classification provided by ASU 2016-09. Furthermore, we elected to continue to estimate expected forfeitures of employee equity awards to determine the amount of compensation expense to be recognized in each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line="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October 1, 2016, we retrospectively adopted ASU No. 2015-03, “</w:t>
      </w:r>
      <w:r>
        <w:rPr>
          <w:rFonts w:ascii="Arial" w:cs="Arial" w:eastAsia="Arial" w:hAnsi="Arial"/>
          <w:sz w:val="18"/>
          <w:szCs w:val="18"/>
          <w:i w:val="1"/>
          <w:iCs w:val="1"/>
          <w:color w:val="auto"/>
        </w:rPr>
        <w:t>Simplifying the Presentation of Debt Issuance</w:t>
      </w:r>
      <w:r>
        <w:rPr>
          <w:rFonts w:ascii="Arial" w:cs="Arial" w:eastAsia="Arial" w:hAnsi="Arial"/>
          <w:sz w:val="18"/>
          <w:szCs w:val="18"/>
          <w:color w:val="auto"/>
        </w:rPr>
        <w:t>” (“ASU 2015-03”). ASU 2015-03 requires an entity to present debt issuance costs related to a recognized debt liability, other than those relating to line-of-credit arrangements, in the balance sheet as a direct deduction from the related debt liability rather than as an asset. As a result of the adoption, at March 31, 2017, the amount of debt issuance costs reflected as a deduction of long-term debt was $0.3 million. At September 30, 2016, the amount of debt issuance costs reclassified from other assets to a deduction of long-term debt was $0.4 million.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In May 2014, the Financial Accounting Standards Board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w:t>
      </w:r>
      <w:r>
        <w:rPr>
          <w:rFonts w:ascii="Arial" w:cs="Arial" w:eastAsia="Arial" w:hAnsi="Arial"/>
          <w:sz w:val="16"/>
          <w:szCs w:val="16"/>
          <w:i w:val="1"/>
          <w:iCs w:val="1"/>
          <w:color w:val="auto"/>
        </w:rPr>
        <w:t>Deferral of the Effective Date</w:t>
      </w:r>
      <w:r>
        <w:rPr>
          <w:rFonts w:ascii="Arial" w:cs="Arial" w:eastAsia="Arial" w:hAnsi="Arial"/>
          <w:sz w:val="16"/>
          <w:szCs w:val="16"/>
          <w:color w:val="auto"/>
        </w:rPr>
        <w:t>”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our fiscal year beginning October 1, 2018. Early adoption is permitted to the original effective date of December 15, 2016 (including interim reporting periods within those periods). In March 2016, the FASB issued ASU No. 2016-08, “</w:t>
      </w:r>
      <w:r>
        <w:rPr>
          <w:rFonts w:ascii="Arial" w:cs="Arial" w:eastAsia="Arial" w:hAnsi="Arial"/>
          <w:sz w:val="16"/>
          <w:szCs w:val="16"/>
          <w:i w:val="1"/>
          <w:iCs w:val="1"/>
          <w:color w:val="auto"/>
        </w:rPr>
        <w:t>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versus Net)</w:t>
      </w:r>
      <w:r>
        <w:rPr>
          <w:rFonts w:ascii="Arial" w:cs="Arial" w:eastAsia="Arial" w:hAnsi="Arial"/>
          <w:sz w:val="16"/>
          <w:szCs w:val="16"/>
          <w:color w:val="auto"/>
        </w:rPr>
        <w:t>” (“ASU 2016-08”), which clarifies the implementation guidance on principal versus agent considerations in the new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standard. In April 2016, the FASB issued ASU No. 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(“ASU 2016-10”), which reduces the complexity when applying the guidance for identifying performance obligations and improves the operability and understandability of the license implementation guidance. In May 2016, the FASB issued ASU No. 2016-12 “</w:t>
      </w:r>
      <w:r>
        <w:rPr>
          <w:rFonts w:ascii="Arial" w:cs="Arial" w:eastAsia="Arial" w:hAnsi="Arial"/>
          <w:sz w:val="16"/>
          <w:szCs w:val="16"/>
          <w:i w:val="1"/>
          <w:iCs w:val="1"/>
          <w:color w:val="auto"/>
        </w:rPr>
        <w:t>Narrow-Scope Improvements and Practical Expedients</w:t>
      </w:r>
      <w:r>
        <w:rPr>
          <w:rFonts w:ascii="Arial" w:cs="Arial" w:eastAsia="Arial" w:hAnsi="Arial"/>
          <w:sz w:val="16"/>
          <w:szCs w:val="16"/>
          <w:color w:val="auto"/>
        </w:rPr>
        <w:t>” (“ASU 2016-12”), which amends the guidance on transition, collectability, noncash consideration and the presentation of sales and other similar taxes. In December 2016, the FASB further issued ASU 2016-20, “</w:t>
      </w:r>
      <w:r>
        <w:rPr>
          <w:rFonts w:ascii="Arial" w:cs="Arial" w:eastAsia="Arial" w:hAnsi="Arial"/>
          <w:sz w:val="16"/>
          <w:szCs w:val="16"/>
          <w:i w:val="1"/>
          <w:iCs w:val="1"/>
          <w:color w:val="auto"/>
        </w:rPr>
        <w:t>Technical Corrections and Improvements to Topic 606, Revenue from Contracts with Customers</w:t>
      </w:r>
      <w:r>
        <w:rPr>
          <w:rFonts w:ascii="Arial" w:cs="Arial" w:eastAsia="Arial" w:hAnsi="Arial"/>
          <w:sz w:val="16"/>
          <w:szCs w:val="16"/>
          <w:color w:val="auto"/>
        </w:rPr>
        <w:t>”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issues that were raised by stakeholders and provide additional practical expedients to reduce the cost and complexity of applying the new revenue standard. These amendments have the same effective date as the new revenue standard. Preliminarily, we plan to adopt Topic 606 in the first quarter of our fiscal 2019 using the retrospective transition method, and are continuing to evaluate the impact our pending adoption of Topic 606 will have on our consolidated financial statements.</w:t>
      </w:r>
    </w:p>
    <w:p>
      <w:pPr>
        <w:spacing w:after="0" w:line="60"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In October 2016, the FASB issued ASU No.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(“ASU 2016-16”). ASU 2016-16 requires an entity to recognize the income tax consequences of an intra-entity transfer of an asset other than inventory when the transfer occurs. The guidance is effective for fiscal years and interim periods beginning after December 15, 2017, which means it will be effective for our fiscal year beginning October 1, 2018. ASU 2016-16 should be applied on a modified retrospective basis through a cumulative-effect adjustment directly to retained earnings at the beginning of the period of adoption. Early adoption is permitted in the first interim period of an entity's annual financial statements. We are currently evaluating the timing of our adoption and the impact that the updated standard will have on our consolidated financial statements.</w:t>
      </w:r>
    </w:p>
    <w:p>
      <w:pPr>
        <w:spacing w:after="0" w:line="11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which requires lessees to put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ASU 2016-02 is effective for fiscal years and interim periods within those fiscal years beginning after December 15, 2018, which means it will be effective for our fiscal year beginning October 1, 2019. Early adoption is permitted. We are currently evaluating the timing of our adoption and the impact that the updated standard will have on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60" w:lineRule="exact"/>
        <w:rPr>
          <w:sz w:val="20"/>
          <w:szCs w:val="20"/>
          <w:color w:val="auto"/>
        </w:rPr>
      </w:pPr>
    </w:p>
    <w:p>
      <w:pPr>
        <w:ind w:left="1300" w:hanging="56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are comprised of money market funds and certain equity securities.</w:t>
      </w:r>
    </w:p>
    <w:p>
      <w:pPr>
        <w:spacing w:after="0" w:line="62" w:lineRule="exact"/>
        <w:rPr>
          <w:rFonts w:ascii="Arial" w:cs="Arial" w:eastAsia="Arial" w:hAnsi="Arial"/>
          <w:sz w:val="18"/>
          <w:szCs w:val="18"/>
          <w:color w:val="auto"/>
        </w:rPr>
      </w:pPr>
    </w:p>
    <w:p>
      <w:pPr>
        <w:jc w:val="both"/>
        <w:ind w:left="1300" w:hanging="563"/>
        <w:spacing w:after="0" w:line="297"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do not have any assets that are valued using inputs identified under a Level 2 hierarchy as of March 31, 2017 and September 30, 2016.</w:t>
      </w:r>
    </w:p>
    <w:p>
      <w:pPr>
        <w:spacing w:after="0" w:line="50" w:lineRule="exact"/>
        <w:rPr>
          <w:rFonts w:ascii="Arial" w:cs="Arial" w:eastAsia="Arial" w:hAnsi="Arial"/>
          <w:sz w:val="16"/>
          <w:szCs w:val="16"/>
          <w:color w:val="auto"/>
        </w:rPr>
      </w:pPr>
    </w:p>
    <w:p>
      <w:pPr>
        <w:jc w:val="both"/>
        <w:ind w:left="1300" w:hanging="563"/>
        <w:spacing w:after="0" w:line="25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do not have any assets or liabilities that are valued using inputs identified under a Level 3 hierarchy as of March 31, 2017 and September 30, 2016.</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represent financial assets that we measured at fair value on a recurring basis at March 31, 2017 and September 30,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Active Markets for</w:t>
            </w:r>
          </w:p>
        </w:tc>
        <w:tc>
          <w:tcPr>
            <w:tcW w:w="18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8"/>
              </w:rPr>
              <w:t>Fair Value as of March 31,</w:t>
            </w:r>
          </w:p>
        </w:tc>
        <w:tc>
          <w:tcPr>
            <w:tcW w:w="0" w:type="dxa"/>
            <w:vAlign w:val="bottom"/>
          </w:tcPr>
          <w:p>
            <w:pPr>
              <w:spacing w:after="0"/>
              <w:rPr>
                <w:sz w:val="1"/>
                <w:szCs w:val="1"/>
                <w:color w:val="auto"/>
              </w:rPr>
            </w:pPr>
          </w:p>
        </w:tc>
      </w:tr>
      <w:tr>
        <w:trPr>
          <w:trHeight w:val="149"/>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12"/>
                <w:szCs w:val="12"/>
                <w:color w:val="auto"/>
              </w:rPr>
            </w:pP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Identical Instruments</w:t>
            </w: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5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Cash equivalents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2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560" w:type="dxa"/>
            <w:vAlign w:val="bottom"/>
          </w:tcPr>
          <w:p>
            <w:pPr>
              <w:jc w:val="right"/>
              <w:ind w:right="356"/>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12,224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12,224</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12,665</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6"/>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12,665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7" w:orient="portrait"/>
          <w:cols w:equalWidth="0" w:num="1">
            <w:col w:w="11420"/>
          </w:cols>
          <w:pgMar w:left="240" w:top="125" w:right="239" w:bottom="0" w:gutter="0" w:footer="0" w:header="0"/>
        </w:sectPr>
      </w:pPr>
    </w:p>
    <w:p>
      <w:pPr>
        <w:spacing w:after="0" w:line="128" w:lineRule="exact"/>
        <w:rPr>
          <w:sz w:val="20"/>
          <w:szCs w:val="20"/>
          <w:color w:val="auto"/>
        </w:rPr>
      </w:pPr>
    </w:p>
    <w:p>
      <w:pPr>
        <w:ind w:left="40"/>
        <w:spacing w:after="0"/>
        <w:tabs>
          <w:tab w:leader="none" w:pos="7920" w:val="left"/>
          <w:tab w:leader="none" w:pos="9660" w:val="left"/>
        </w:tabs>
        <w:rPr>
          <w:sz w:val="20"/>
          <w:szCs w:val="20"/>
          <w:color w:val="auto"/>
        </w:rPr>
      </w:pPr>
      <w:r>
        <w:rPr>
          <w:rFonts w:ascii="Arial" w:cs="Arial" w:eastAsia="Arial" w:hAnsi="Arial"/>
          <w:sz w:val="14"/>
          <w:szCs w:val="14"/>
          <w:b w:val="1"/>
          <w:bCs w:val="1"/>
          <w:color w:val="auto"/>
        </w:rPr>
        <w:t>September 30, 2016</w:t>
      </w:r>
      <w:r>
        <w:rPr>
          <w:sz w:val="20"/>
          <w:szCs w:val="20"/>
          <w:color w:val="auto"/>
        </w:rPr>
        <w:tab/>
      </w:r>
      <w:r>
        <w:rPr>
          <w:rFonts w:ascii="Arial" w:cs="Arial" w:eastAsia="Arial" w:hAnsi="Arial"/>
          <w:sz w:val="14"/>
          <w:szCs w:val="14"/>
          <w:b w:val="1"/>
          <w:bCs w:val="1"/>
          <w:color w:val="auto"/>
        </w:rPr>
        <w:t>Active Markets for</w:t>
      </w:r>
      <w:r>
        <w:rPr>
          <w:sz w:val="20"/>
          <w:szCs w:val="20"/>
          <w:color w:val="auto"/>
        </w:rPr>
        <w:tab/>
      </w:r>
      <w:r>
        <w:rPr>
          <w:rFonts w:ascii="Arial" w:cs="Arial" w:eastAsia="Arial" w:hAnsi="Arial"/>
          <w:sz w:val="12"/>
          <w:szCs w:val="12"/>
          <w:b w:val="1"/>
          <w:bCs w:val="1"/>
          <w:color w:val="auto"/>
        </w:rPr>
        <w:t>Fair Value as of September</w:t>
      </w:r>
    </w:p>
    <w:p>
      <w:pPr>
        <w:sectPr>
          <w:pgSz w:w="11900" w:h="16847" w:orient="portrait"/>
          <w:cols w:equalWidth="0" w:num="1">
            <w:col w:w="11420"/>
          </w:cols>
          <w:pgMar w:left="240" w:top="125"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Identical Instruments</w:t>
            </w:r>
          </w:p>
        </w:tc>
        <w:tc>
          <w:tcPr>
            <w:tcW w:w="500" w:type="dxa"/>
            <w:vAlign w:val="bottom"/>
          </w:tcPr>
          <w:p>
            <w:pPr>
              <w:spacing w:after="0"/>
              <w:rPr>
                <w:sz w:val="14"/>
                <w:szCs w:val="14"/>
                <w:color w:val="auto"/>
              </w:rPr>
            </w:pPr>
          </w:p>
        </w:tc>
        <w:tc>
          <w:tcPr>
            <w:tcW w:w="1320" w:type="dxa"/>
            <w:vAlign w:val="bottom"/>
          </w:tcPr>
          <w:p>
            <w:pPr>
              <w:jc w:val="right"/>
              <w:ind w:right="574"/>
              <w:spacing w:after="0"/>
              <w:rPr>
                <w:sz w:val="20"/>
                <w:szCs w:val="20"/>
                <w:color w:val="auto"/>
              </w:rPr>
            </w:pPr>
            <w:r>
              <w:rPr>
                <w:rFonts w:ascii="Arial" w:cs="Arial" w:eastAsia="Arial" w:hAnsi="Arial"/>
                <w:sz w:val="14"/>
                <w:szCs w:val="14"/>
                <w:b w:val="1"/>
                <w:bCs w:val="1"/>
                <w:color w:val="auto"/>
              </w:rPr>
              <w:t>30, 2016</w:t>
            </w:r>
          </w:p>
        </w:tc>
      </w:tr>
      <w:tr>
        <w:trPr>
          <w:trHeight w:val="192"/>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Cash equivalents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9"/>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440</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11,016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11,016</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11,456</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11,456</w:t>
            </w: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cash and cash equivalents on our condensed consolidated balance sheet at March 31, 2017 and September 30, 2016. Not included in these tables are cash deposits of $115.4 million and $75.5 million at March 31, 2017 and September 30, 2016, respectively.</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securities held under a supplemental retirement and savings plan for senior management employees, which are distributed upon termination or retirement of the employees. Included in marketable securities available for sale on our condensed consolidated balance sheet at March 31, 2017 and September 30, 2016.</w:t>
      </w:r>
    </w:p>
    <w:p>
      <w:pPr>
        <w:spacing w:after="0" w:line="1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Where applicable, we use quoted prices in active markets for identical assets or liabilities to determine fair value. This pricing applies to our Level 1 investments. To the extent quoted prices in active markets for assets or liabilities are not available, the valuation techniques used to measure the fair values of our financial assets incorporate market inputs, which include reported trades, broker/dealer quotes, benchmark yields, issuer spreads, benchmark securities and other inputs derived from or corroborated by observable market data. This methodology would apply to our Level 2 investments. We have not changed our valuation techniques in measuring the fair value of any financial assets and liabilities during the period.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fair value of our derivative instruments and senior notes, see Note 3 and Note 7,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4"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Financial Instruments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respective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and Euro.</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Foreign-currency-denominated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March 31, 2017 and September 30, 2016:</w:t>
      </w:r>
    </w:p>
    <w:p>
      <w:pPr>
        <w:spacing w:after="0" w:line="242"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6740" w:type="dxa"/>
        <w:tblCellMar>
          <w:top w:w="0" w:type="dxa"/>
          <w:left w:w="0" w:type="dxa"/>
          <w:bottom w:w="0" w:type="dxa"/>
          <w:right w:w="0" w:type="dxa"/>
        </w:tblCellMar>
      </w:tblPr>
      <w:tr>
        <w:trPr>
          <w:trHeight w:val="192"/>
        </w:trPr>
        <w:tc>
          <w:tcPr>
            <w:tcW w:w="216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w w:val="99"/>
              </w:rPr>
              <w:t>Contract Amount</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2160" w:type="dxa"/>
            <w:vAlign w:val="bottom"/>
          </w:tcPr>
          <w:p>
            <w:pPr>
              <w:jc w:val="center"/>
              <w:ind w:right="568"/>
              <w:spacing w:after="0" w:line="153" w:lineRule="exact"/>
              <w:rPr>
                <w:sz w:val="20"/>
                <w:szCs w:val="20"/>
                <w:color w:val="auto"/>
              </w:rPr>
            </w:pPr>
            <w:r>
              <w:rPr>
                <w:rFonts w:ascii="Arial" w:cs="Arial" w:eastAsia="Arial" w:hAnsi="Arial"/>
                <w:sz w:val="14"/>
                <w:szCs w:val="14"/>
                <w:b w:val="1"/>
                <w:bCs w:val="1"/>
                <w:color w:val="auto"/>
                <w:w w:val="93"/>
              </w:rPr>
              <w:t>Foreign</w:t>
            </w: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tcPr>
          <w:p>
            <w:pPr>
              <w:jc w:val="center"/>
              <w:ind w:right="568"/>
              <w:spacing w:after="0"/>
              <w:rPr>
                <w:sz w:val="20"/>
                <w:szCs w:val="20"/>
                <w:color w:val="auto"/>
              </w:rPr>
            </w:pPr>
            <w:r>
              <w:rPr>
                <w:rFonts w:ascii="Arial" w:cs="Arial" w:eastAsia="Arial" w:hAnsi="Arial"/>
                <w:sz w:val="14"/>
                <w:szCs w:val="14"/>
                <w:b w:val="1"/>
                <w:bCs w:val="1"/>
                <w:color w:val="auto"/>
                <w:w w:val="97"/>
              </w:rPr>
              <w:t>Currency</w:t>
            </w:r>
          </w:p>
        </w:tc>
        <w:tc>
          <w:tcPr>
            <w:tcW w:w="1040" w:type="dxa"/>
            <w:vAlign w:val="bottom"/>
            <w:tcBorders>
              <w:bottom w:val="single" w:sz="8" w:color="auto"/>
            </w:tcBorders>
            <w:gridSpan w:val="2"/>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63" w:lineRule="exact"/>
        <w:rPr>
          <w:sz w:val="20"/>
          <w:szCs w:val="20"/>
          <w:color w:val="auto"/>
        </w:rPr>
      </w:pPr>
    </w:p>
    <w:p>
      <w:pPr>
        <w:ind w:left="380"/>
        <w:spacing w:after="0"/>
        <w:tabs>
          <w:tab w:leader="none" w:pos="6760" w:val="left"/>
          <w:tab w:leader="none" w:pos="7720" w:val="left"/>
          <w:tab w:leader="none" w:pos="8380" w:val="left"/>
          <w:tab w:leader="none" w:pos="9320" w:val="left"/>
          <w:tab w:leader="none" w:pos="9960" w:val="left"/>
          <w:tab w:leader="none" w:pos="11120" w:val="left"/>
        </w:tabs>
        <w:rPr>
          <w:sz w:val="20"/>
          <w:szCs w:val="20"/>
          <w:color w:val="auto"/>
        </w:rPr>
      </w:pPr>
      <w:r>
        <w:rPr>
          <w:rFonts w:ascii="Arial" w:cs="Arial" w:eastAsia="Arial" w:hAnsi="Arial"/>
          <w:sz w:val="18"/>
          <w:szCs w:val="18"/>
          <w:color w:val="auto"/>
        </w:rPr>
        <w:t>Euro (EUR)</w:t>
      </w:r>
      <w:r>
        <w:rPr>
          <w:sz w:val="20"/>
          <w:szCs w:val="20"/>
          <w:color w:val="auto"/>
        </w:rPr>
        <w:tab/>
      </w:r>
      <w:r>
        <w:rPr>
          <w:rFonts w:ascii="Arial" w:cs="Arial" w:eastAsia="Arial" w:hAnsi="Arial"/>
          <w:sz w:val="18"/>
          <w:szCs w:val="18"/>
          <w:color w:val="auto"/>
        </w:rPr>
        <w:t>EUR</w:t>
      </w:r>
      <w:r>
        <w:rPr>
          <w:sz w:val="20"/>
          <w:szCs w:val="20"/>
          <w:color w:val="auto"/>
        </w:rPr>
        <w:tab/>
      </w:r>
      <w:r>
        <w:rPr>
          <w:rFonts w:ascii="Arial" w:cs="Arial" w:eastAsia="Arial" w:hAnsi="Arial"/>
          <w:sz w:val="18"/>
          <w:szCs w:val="18"/>
          <w:color w:val="auto"/>
        </w:rPr>
        <w:t>5,700</w:t>
        <w:tab/>
        <w:t>$</w:t>
      </w:r>
      <w:r>
        <w:rPr>
          <w:sz w:val="20"/>
          <w:szCs w:val="20"/>
          <w:color w:val="auto"/>
        </w:rPr>
        <w:tab/>
      </w:r>
      <w:r>
        <w:rPr>
          <w:rFonts w:ascii="Arial" w:cs="Arial" w:eastAsia="Arial" w:hAnsi="Arial"/>
          <w:sz w:val="18"/>
          <w:szCs w:val="18"/>
          <w:color w:val="auto"/>
        </w:rPr>
        <w:t>6,113</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Buy foreign currency:</w:t>
      </w:r>
    </w:p>
    <w:p>
      <w:pPr>
        <w:spacing w:after="0" w:line="63"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British pound (GBP)</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GBP</w:t>
            </w:r>
          </w:p>
        </w:tc>
        <w:tc>
          <w:tcPr>
            <w:tcW w:w="1100" w:type="dxa"/>
            <w:vAlign w:val="bottom"/>
          </w:tcPr>
          <w:p>
            <w:pPr>
              <w:ind w:left="580"/>
              <w:spacing w:after="0"/>
              <w:rPr>
                <w:sz w:val="20"/>
                <w:szCs w:val="20"/>
                <w:color w:val="auto"/>
              </w:rPr>
            </w:pPr>
            <w:r>
              <w:rPr>
                <w:rFonts w:ascii="Arial" w:cs="Arial" w:eastAsia="Arial" w:hAnsi="Arial"/>
                <w:sz w:val="18"/>
                <w:szCs w:val="18"/>
                <w:color w:val="auto"/>
              </w:rPr>
              <w:t>4,479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2"/>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6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2016</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6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jc w:val="center"/>
              <w:ind w:right="344"/>
              <w:spacing w:after="0" w:line="153" w:lineRule="exact"/>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3"/>
                <w:szCs w:val="13"/>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US$</w:t>
            </w:r>
          </w:p>
        </w:tc>
        <w:tc>
          <w:tcPr>
            <w:tcW w:w="280" w:type="dxa"/>
            <w:vAlign w:val="bottom"/>
          </w:tcPr>
          <w:p>
            <w:pPr>
              <w:spacing w:after="0"/>
              <w:rPr>
                <w:sz w:val="13"/>
                <w:szCs w:val="13"/>
                <w:color w:val="auto"/>
              </w:rPr>
            </w:pPr>
          </w:p>
        </w:tc>
        <w:tc>
          <w:tcPr>
            <w:tcW w:w="120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92"/>
        </w:trPr>
        <w:tc>
          <w:tcPr>
            <w:tcW w:w="6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44"/>
              <w:spacing w:after="0"/>
              <w:rPr>
                <w:sz w:val="20"/>
                <w:szCs w:val="20"/>
                <w:color w:val="auto"/>
              </w:rPr>
            </w:pPr>
            <w:r>
              <w:rPr>
                <w:rFonts w:ascii="Arial" w:cs="Arial" w:eastAsia="Arial" w:hAnsi="Arial"/>
                <w:sz w:val="14"/>
                <w:szCs w:val="14"/>
                <w:b w:val="1"/>
                <w:bCs w:val="1"/>
                <w:color w:val="auto"/>
                <w:w w:val="97"/>
              </w:rPr>
              <w:t>Currency</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63" w:lineRule="exact"/>
        <w:rPr>
          <w:sz w:val="20"/>
          <w:szCs w:val="20"/>
          <w:color w:val="auto"/>
        </w:rPr>
      </w:pPr>
    </w:p>
    <w:p>
      <w:pPr>
        <w:ind w:left="380"/>
        <w:spacing w:after="0"/>
        <w:tabs>
          <w:tab w:leader="none" w:pos="6760" w:val="left"/>
          <w:tab w:leader="none" w:pos="7720" w:val="left"/>
          <w:tab w:leader="none" w:pos="8380" w:val="left"/>
          <w:tab w:leader="none" w:pos="9300" w:val="left"/>
          <w:tab w:leader="none" w:pos="9960" w:val="left"/>
          <w:tab w:leader="none" w:pos="11120" w:val="left"/>
        </w:tabs>
        <w:rPr>
          <w:sz w:val="20"/>
          <w:szCs w:val="20"/>
          <w:color w:val="auto"/>
        </w:rPr>
      </w:pPr>
      <w:r>
        <w:rPr>
          <w:rFonts w:ascii="Arial" w:cs="Arial" w:eastAsia="Arial" w:hAnsi="Arial"/>
          <w:sz w:val="18"/>
          <w:szCs w:val="18"/>
          <w:color w:val="auto"/>
        </w:rPr>
        <w:t>Euro (EUR)</w:t>
      </w:r>
      <w:r>
        <w:rPr>
          <w:sz w:val="20"/>
          <w:szCs w:val="20"/>
          <w:color w:val="auto"/>
        </w:rPr>
        <w:tab/>
      </w:r>
      <w:r>
        <w:rPr>
          <w:rFonts w:ascii="Arial" w:cs="Arial" w:eastAsia="Arial" w:hAnsi="Arial"/>
          <w:sz w:val="18"/>
          <w:szCs w:val="18"/>
          <w:color w:val="auto"/>
        </w:rPr>
        <w:t>EUR</w:t>
      </w:r>
      <w:r>
        <w:rPr>
          <w:sz w:val="20"/>
          <w:szCs w:val="20"/>
          <w:color w:val="auto"/>
        </w:rPr>
        <w:tab/>
      </w:r>
      <w:r>
        <w:rPr>
          <w:rFonts w:ascii="Arial" w:cs="Arial" w:eastAsia="Arial" w:hAnsi="Arial"/>
          <w:sz w:val="18"/>
          <w:szCs w:val="18"/>
          <w:color w:val="auto"/>
        </w:rPr>
        <w:t>7,850</w:t>
        <w:tab/>
        <w:t>$</w:t>
      </w:r>
      <w:r>
        <w:rPr>
          <w:sz w:val="20"/>
          <w:szCs w:val="20"/>
          <w:color w:val="auto"/>
        </w:rPr>
        <w:tab/>
      </w:r>
      <w:r>
        <w:rPr>
          <w:rFonts w:ascii="Arial" w:cs="Arial" w:eastAsia="Arial" w:hAnsi="Arial"/>
          <w:sz w:val="18"/>
          <w:szCs w:val="18"/>
          <w:color w:val="auto"/>
        </w:rPr>
        <w:t>8,743</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Buy foreign currency:</w:t>
      </w:r>
    </w:p>
    <w:p>
      <w:pPr>
        <w:spacing w:after="0" w:line="63" w:lineRule="exact"/>
        <w:rPr>
          <w:sz w:val="20"/>
          <w:szCs w:val="20"/>
          <w:color w:val="auto"/>
        </w:rPr>
      </w:pPr>
    </w:p>
    <w:p>
      <w:pPr>
        <w:ind w:left="380"/>
        <w:spacing w:after="0"/>
        <w:tabs>
          <w:tab w:leader="none" w:pos="6760" w:val="left"/>
          <w:tab w:leader="none" w:pos="7720" w:val="left"/>
          <w:tab w:leader="none" w:pos="8380" w:val="left"/>
          <w:tab w:leader="none" w:pos="9220" w:val="left"/>
          <w:tab w:leader="none" w:pos="9960" w:val="left"/>
          <w:tab w:leader="none" w:pos="11120" w:val="left"/>
        </w:tabs>
        <w:rPr>
          <w:sz w:val="20"/>
          <w:szCs w:val="20"/>
          <w:color w:val="auto"/>
        </w:rPr>
      </w:pPr>
      <w:r>
        <w:rPr>
          <w:rFonts w:ascii="Arial" w:cs="Arial" w:eastAsia="Arial" w:hAnsi="Arial"/>
          <w:sz w:val="18"/>
          <w:szCs w:val="18"/>
          <w:color w:val="auto"/>
        </w:rPr>
        <w:t>British pound (GBP)</w:t>
      </w:r>
      <w:r>
        <w:rPr>
          <w:sz w:val="20"/>
          <w:szCs w:val="20"/>
          <w:color w:val="auto"/>
        </w:rPr>
        <w:tab/>
      </w:r>
      <w:r>
        <w:rPr>
          <w:rFonts w:ascii="Arial" w:cs="Arial" w:eastAsia="Arial" w:hAnsi="Arial"/>
          <w:sz w:val="18"/>
          <w:szCs w:val="18"/>
          <w:color w:val="auto"/>
        </w:rPr>
        <w:t>GBP</w:t>
      </w:r>
      <w:r>
        <w:rPr>
          <w:sz w:val="20"/>
          <w:szCs w:val="20"/>
          <w:color w:val="auto"/>
        </w:rPr>
        <w:tab/>
      </w:r>
      <w:r>
        <w:rPr>
          <w:rFonts w:ascii="Arial" w:cs="Arial" w:eastAsia="Arial" w:hAnsi="Arial"/>
          <w:sz w:val="18"/>
          <w:szCs w:val="18"/>
          <w:color w:val="auto"/>
        </w:rPr>
        <w:t>7,721</w:t>
        <w:tab/>
        <w:t>$</w:t>
      </w:r>
      <w:r>
        <w:rPr>
          <w:sz w:val="20"/>
          <w:szCs w:val="20"/>
          <w:color w:val="auto"/>
        </w:rPr>
        <w:tab/>
      </w:r>
      <w:r>
        <w:rPr>
          <w:rFonts w:ascii="Arial" w:cs="Arial" w:eastAsia="Arial" w:hAnsi="Arial"/>
          <w:sz w:val="18"/>
          <w:szCs w:val="18"/>
          <w:color w:val="auto"/>
        </w:rPr>
        <w:t>10,000</w:t>
        <w:tab/>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March 31, 2017 and September 30, 2016, respectively; therefore, their fair value was $0 on each of these dates.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Gains (losses) on derivative financial instruments are recorded in our condensed consolidated statements of income and comprehensive income as a component of other income (expense), net, and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4"/>
          </w:tcPr>
          <w:p>
            <w:pPr>
              <w:ind w:left="460"/>
              <w:spacing w:after="0"/>
              <w:rPr>
                <w:sz w:val="20"/>
                <w:szCs w:val="20"/>
                <w:color w:val="auto"/>
              </w:rPr>
            </w:pPr>
            <w:r>
              <w:rPr>
                <w:rFonts w:ascii="Arial" w:cs="Arial" w:eastAsia="Arial" w:hAnsi="Arial"/>
                <w:sz w:val="14"/>
                <w:szCs w:val="14"/>
                <w:b w:val="1"/>
                <w:bCs w:val="1"/>
                <w:color w:val="auto"/>
              </w:rPr>
              <w:t>Quarter Ended March 31,</w:t>
            </w:r>
          </w:p>
        </w:tc>
        <w:tc>
          <w:tcPr>
            <w:tcW w:w="500" w:type="dxa"/>
            <w:vAlign w:val="bottom"/>
          </w:tcPr>
          <w:p>
            <w:pPr>
              <w:spacing w:after="0"/>
              <w:rPr>
                <w:sz w:val="16"/>
                <w:szCs w:val="16"/>
                <w:color w:val="auto"/>
              </w:rPr>
            </w:pPr>
          </w:p>
        </w:tc>
        <w:tc>
          <w:tcPr>
            <w:tcW w:w="25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1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foreign currency forward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(505)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459"/>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839"/>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48" w:lineRule="exact"/>
        <w:rPr>
          <w:sz w:val="20"/>
          <w:szCs w:val="20"/>
          <w:color w:val="auto"/>
        </w:rPr>
      </w:pPr>
    </w:p>
    <w:p>
      <w:pPr>
        <w:ind w:firstLine="432"/>
        <w:spacing w:after="0" w:line="340" w:lineRule="auto"/>
        <w:rPr>
          <w:sz w:val="20"/>
          <w:szCs w:val="20"/>
          <w:color w:val="auto"/>
        </w:rPr>
      </w:pPr>
      <w:r>
        <w:rPr>
          <w:rFonts w:ascii="Arial" w:cs="Arial" w:eastAsia="Arial" w:hAnsi="Arial"/>
          <w:sz w:val="18"/>
          <w:szCs w:val="18"/>
          <w:color w:val="auto"/>
        </w:rPr>
        <w:t>Amortization expense associated with our intangible assets, which has been reflected as a separate operating expense caption within the accompanying condensed consolidated statements of income and comprehensive income, consisted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Quarter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1,687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1,840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1,625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1,667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3,340</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3,312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3,507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Cost of revenues reflects our amortization of completed technology and selling, general and administrative expenses reflects our amortization of other intangible assets. Intangible assets, gross were $147.8 million and $149.4 million as of March 31, 2017 and September 30, 2016, respectively.</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Estimated future intangible asset amortization expense associated with intangible assets existing at March 31, 2017 was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Year Ended September 30,</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(excluding the six months ended March 31, 2017)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6,254</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3,555</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2,456</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26,311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changes to goodwill during the six months ended March 31, 2017, both in total and as allocated to our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4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Decision Management</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5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Software</w:t>
            </w:r>
          </w:p>
        </w:tc>
        <w:tc>
          <w:tcPr>
            <w:tcW w:w="3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1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582,720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146,648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69,047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798,415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577,182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146,648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68,590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792,420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Composition of Certain Financial Statement Captions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property and equipment, and the related accumulated depreciation and amortization, at March 31, 2017 and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99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127,721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126,760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(84,993)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(81,638)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42,728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45,122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Revolving Line of Credit</w:t>
      </w:r>
    </w:p>
    <w:p>
      <w:pPr>
        <w:spacing w:after="0" w:line="12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December 30, 2019.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w:t>
      </w:r>
    </w:p>
    <w:p>
      <w:pPr>
        <w:jc w:val="both"/>
        <w:ind w:firstLine="8"/>
        <w:spacing w:after="0" w:line="252"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minimum fixed charge ratio of 2.5 and a maximum consolidated leverage ratio of 3.0, subject to a step up to 3.5 following certain permitted acquisitions. The credit agreement also contains other covenants typical of unsecured facilities. As of March 31, 2017, we had $310.0 million in borrowings outstanding at a weighted average interest rate of 2.326%, of which $275.0 million was classified as a long-term liability and recorded in long-term debt within the accompanying condensed consolidated balance sheets. We were in compliance with all financial covenants under this credit facility as of March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Notes</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May 7, 2008, we issued $275 million of senior notes in a private placement to a group of institutional investors (the “2008 Senior Notes”). The 2008 Senior Notes were issued in four series with maturities ranging from 5 to 10 years. The outstanding 2008 Senior Notes’ weighted average interest rate is 7.2% and the weighted average maturity is 10.0 years. On July 14, 2010, we issued $245 million of senior notes in a private placement to a group of institutional investors (the “2010 Senior Notes” and, with the 2008 Senior Notes, the “Senior Notes”). The 2010 Senior Notes were issued in four series with maturities ranging from 6 to 10 years. The outstanding 2010 Senior Notes’ weighted average interest rate is 5.4% and the weighted average maturity is 8.7 years. The Senior Notes require interest payments semi-annually and contain certain restrictive covenants, including the maintenance of consolidated net debt to consolidated EBITDA ratio and a fixed charge coverage ratio. The purchase agreements for the Senior Notes also contain certain covenants typical of unsecured facilities. As of March 31, 2017, we were in compliance with all financial covenants.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carrying amounts and fair values for the Senior Notes at March 31, 2017 and September 30,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4"/>
              </w:rPr>
              <w:t>March 31, 2017</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12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 (1)</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Amounts</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Amounts (1)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2008 Senior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131,000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136,675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139,902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The 2010 Senior Notes</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185,000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191,669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195,715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57"/>
        </w:trPr>
        <w:tc>
          <w:tcPr>
            <w:tcW w:w="516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315,720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328,064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315,624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335,241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40"/>
        <w:spacing w:after="0" w:line="277" w:lineRule="auto"/>
        <w:tabs>
          <w:tab w:leader="none" w:pos="687" w:val="left"/>
        </w:tabs>
        <w:numPr>
          <w:ilvl w:val="0"/>
          <w:numId w:val="7"/>
        </w:numPr>
        <w:rPr>
          <w:rFonts w:ascii="Arial" w:cs="Arial" w:eastAsia="Arial" w:hAnsi="Arial"/>
          <w:sz w:val="18"/>
          <w:szCs w:val="18"/>
          <w:color w:val="auto"/>
        </w:rPr>
      </w:pPr>
      <w:r>
        <w:rPr>
          <w:rFonts w:ascii="Arial" w:cs="Arial" w:eastAsia="Arial" w:hAnsi="Arial"/>
          <w:sz w:val="18"/>
          <w:szCs w:val="18"/>
          <w:color w:val="auto"/>
        </w:rPr>
        <w:t>Balances as of September 30, 2016 have been recast as a result of the adoption of ASU 2015-03 to present debt issuance costs of $0.4 million as a direct deduction from the carrying amount of the Senior Notes.</w:t>
      </w:r>
    </w:p>
    <w:p>
      <w:pPr>
        <w:spacing w:after="0" w:line="116"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We measure the fair value of the Senior Notes based on Level 2 inputs, which include quoted market prices and interest rate spreads of similar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Expenses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restructuring accruals related to certain FICO facility closures. The current portion and non-current portion is recorded in other accrued current liabilities and other long-term liabilities, respectively, within the accompanying condensed consolidated balance sheets. The balance for all the facilities charges will be paid by the end of our fiscal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right"/>
              <w:ind w:right="577"/>
              <w:spacing w:after="0"/>
              <w:rPr>
                <w:sz w:val="20"/>
                <w:szCs w:val="20"/>
                <w:color w:val="auto"/>
              </w:rPr>
            </w:pPr>
            <w:r>
              <w:rPr>
                <w:rFonts w:ascii="Arial" w:cs="Arial" w:eastAsia="Arial" w:hAnsi="Arial"/>
                <w:sz w:val="14"/>
                <w:szCs w:val="14"/>
                <w:b w:val="1"/>
                <w:bCs w:val="1"/>
                <w:color w:val="auto"/>
              </w:rPr>
              <w:t>Accrual at</w:t>
            </w:r>
          </w:p>
        </w:tc>
        <w:tc>
          <w:tcPr>
            <w:tcW w:w="420" w:type="dxa"/>
            <w:vAlign w:val="bottom"/>
          </w:tcPr>
          <w:p>
            <w:pPr>
              <w:spacing w:after="0"/>
              <w:rPr>
                <w:sz w:val="15"/>
                <w:szCs w:val="15"/>
                <w:color w:val="auto"/>
              </w:rPr>
            </w:pPr>
          </w:p>
        </w:tc>
        <w:tc>
          <w:tcPr>
            <w:tcW w:w="1720" w:type="dxa"/>
            <w:vAlign w:val="bottom"/>
          </w:tcPr>
          <w:p>
            <w:pPr>
              <w:jc w:val="center"/>
              <w:ind w:right="324"/>
              <w:spacing w:after="0"/>
              <w:rPr>
                <w:sz w:val="20"/>
                <w:szCs w:val="20"/>
                <w:color w:val="auto"/>
              </w:rPr>
            </w:pPr>
            <w:r>
              <w:rPr>
                <w:rFonts w:ascii="Arial" w:cs="Arial" w:eastAsia="Arial" w:hAnsi="Arial"/>
                <w:sz w:val="14"/>
                <w:szCs w:val="14"/>
                <w:b w:val="1"/>
                <w:bCs w:val="1"/>
                <w:color w:val="auto"/>
                <w:w w:val="93"/>
              </w:rPr>
              <w:t>Cash</w:t>
            </w:r>
          </w:p>
        </w:tc>
        <w:tc>
          <w:tcPr>
            <w:tcW w:w="320" w:type="dxa"/>
            <w:vAlign w:val="bottom"/>
          </w:tcPr>
          <w:p>
            <w:pPr>
              <w:spacing w:after="0"/>
              <w:rPr>
                <w:sz w:val="15"/>
                <w:szCs w:val="15"/>
                <w:color w:val="auto"/>
              </w:rPr>
            </w:pPr>
          </w:p>
        </w:tc>
        <w:tc>
          <w:tcPr>
            <w:tcW w:w="1620" w:type="dxa"/>
            <w:vAlign w:val="bottom"/>
          </w:tcPr>
          <w:p>
            <w:pPr>
              <w:jc w:val="right"/>
              <w:ind w:right="557"/>
              <w:spacing w:after="0"/>
              <w:rPr>
                <w:sz w:val="20"/>
                <w:szCs w:val="20"/>
                <w:color w:val="auto"/>
              </w:rPr>
            </w:pPr>
            <w:r>
              <w:rPr>
                <w:rFonts w:ascii="Arial" w:cs="Arial" w:eastAsia="Arial" w:hAnsi="Arial"/>
                <w:sz w:val="14"/>
                <w:szCs w:val="14"/>
                <w:b w:val="1"/>
                <w:bCs w:val="1"/>
                <w:color w:val="auto"/>
              </w:rPr>
              <w:t>Accrual at</w:t>
            </w:r>
          </w:p>
        </w:tc>
        <w:tc>
          <w:tcPr>
            <w:tcW w:w="0" w:type="dxa"/>
            <w:vAlign w:val="bottom"/>
          </w:tcPr>
          <w:p>
            <w:pPr>
              <w:spacing w:after="0"/>
              <w:rPr>
                <w:sz w:val="1"/>
                <w:szCs w:val="1"/>
                <w:color w:val="auto"/>
              </w:rPr>
            </w:pPr>
          </w:p>
        </w:tc>
      </w:tr>
      <w:tr>
        <w:trPr>
          <w:trHeight w:val="186"/>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w w:val="99"/>
              </w:rPr>
              <w:t>September 30, 2016</w:t>
            </w:r>
          </w:p>
        </w:tc>
        <w:tc>
          <w:tcPr>
            <w:tcW w:w="420" w:type="dxa"/>
            <w:vAlign w:val="bottom"/>
          </w:tcPr>
          <w:p>
            <w:pPr>
              <w:spacing w:after="0"/>
              <w:rPr>
                <w:sz w:val="16"/>
                <w:szCs w:val="16"/>
                <w:color w:val="auto"/>
              </w:rPr>
            </w:pPr>
          </w:p>
        </w:tc>
        <w:tc>
          <w:tcPr>
            <w:tcW w:w="1720" w:type="dxa"/>
            <w:vAlign w:val="bottom"/>
          </w:tcPr>
          <w:p>
            <w:pPr>
              <w:jc w:val="center"/>
              <w:ind w:right="324"/>
              <w:spacing w:after="0"/>
              <w:rPr>
                <w:sz w:val="20"/>
                <w:szCs w:val="20"/>
                <w:color w:val="auto"/>
              </w:rPr>
            </w:pPr>
            <w:r>
              <w:rPr>
                <w:rFonts w:ascii="Arial" w:cs="Arial" w:eastAsia="Arial" w:hAnsi="Arial"/>
                <w:sz w:val="14"/>
                <w:szCs w:val="14"/>
                <w:b w:val="1"/>
                <w:bCs w:val="1"/>
                <w:color w:val="auto"/>
                <w:w w:val="90"/>
              </w:rPr>
              <w:t>Payments</w:t>
            </w:r>
          </w:p>
        </w:tc>
        <w:tc>
          <w:tcPr>
            <w:tcW w:w="320" w:type="dxa"/>
            <w:vAlign w:val="bottom"/>
          </w:tcPr>
          <w:p>
            <w:pPr>
              <w:spacing w:after="0"/>
              <w:rPr>
                <w:sz w:val="16"/>
                <w:szCs w:val="16"/>
                <w:color w:val="auto"/>
              </w:rPr>
            </w:pPr>
          </w:p>
        </w:tc>
        <w:tc>
          <w:tcPr>
            <w:tcW w:w="162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01"/>
        </w:trPr>
        <w:tc>
          <w:tcPr>
            <w:tcW w:w="5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jc w:val="center"/>
              <w:ind w:right="344"/>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charges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9,233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(1,458)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(4,266)</w:t>
            </w: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4,967</w:t>
            </w:r>
          </w:p>
        </w:tc>
        <w:tc>
          <w:tcPr>
            <w:tcW w:w="4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20" w:right="9900" w:hanging="212"/>
        <w:spacing w:after="0" w:line="453" w:lineRule="auto"/>
        <w:tabs>
          <w:tab w:leader="none" w:pos="184"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i w:val="1"/>
          <w:iCs w:val="1"/>
          <w:color w:val="auto"/>
        </w:rPr>
        <w:t>Effective Tax Rate</w:t>
      </w:r>
    </w:p>
    <w:p>
      <w:pPr>
        <w:spacing w:after="0" w:line="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effective income tax rate was 24.3% and 28.1% during the quarters ended March 31, 2017 and 2016, respectively and (1.9)% and 24.3% during the six months ended March 31, 2017 and 2016,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 for the six months ended March 31, 2017 was significantly impacted by the recording of excess tax benefits relating to stock awards that vested in December 2016. As a result of the adoption of ASU 2016-09 on October 1, 2016, we no longer record excess tax benefits as an increase to additional paid-in capital, but record such excess tax benefits on a prospective basis as a reduction of income tax expense, which amounted to $20.9 million for the six months ended March 31, 2017. We also anticipate the potential for increased periodic volatility in future effective tax rates as the impact of the continued application of ASU 2016-09 is dependent upon our future grants of stock-based compensation, our future stock price in relation to the fair value of awards on grant date and the exercise behavior of our stock option holders.</w:t>
      </w:r>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total unrecognized tax benefit for uncertain tax positions is estimated to be approximately $7.5 million and $6.8 million at March 31, 2017 and September 30, 2016, respectively. We recognize interest expense related to unrecognized tax benefits and penalties as part of the provision for income taxes in our condensed consolidated statements of income and comprehensive income. We have accrued interest of $0.4 million and $0.3 million related to unrecognized tax benefits as of March 31, 2017 and September 30,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48"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8"/>
          <w:szCs w:val="18"/>
          <w:color w:val="auto"/>
        </w:rPr>
        <w:t>The following table presents reconciliations for the numerators and denominators of basic and diluted earnings per share (“EPS”) for the quarters and six months ended March 31, 2017 and 2016: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March 31,</w:t>
            </w:r>
          </w:p>
        </w:tc>
        <w:tc>
          <w:tcPr>
            <w:tcW w:w="360" w:type="dxa"/>
            <w:vAlign w:val="bottom"/>
          </w:tcPr>
          <w:p>
            <w:pPr>
              <w:spacing w:after="0"/>
              <w:rPr>
                <w:sz w:val="16"/>
                <w:szCs w:val="16"/>
                <w:color w:val="auto"/>
              </w:rPr>
            </w:pPr>
          </w:p>
        </w:tc>
        <w:tc>
          <w:tcPr>
            <w:tcW w:w="27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diluted and basic earnings per share: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25,084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23,116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62,985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42,357</w:t>
            </w: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 -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 weighted-average shares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31,017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31,226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Diluted weighted-average shares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32,260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32,398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32,349</w:t>
            </w: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1.36</w:t>
            </w: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exclude the options to purchase shares of common stock in the computation of the diluted EPS where the exercise price of the options exceeds the average market price of our common stock as their inclusion would be antidilutive. There were approximately 34,000 and 21,000 options excluded for the quarters ended March 31, 2017 and 2016, respectively. There were approximately 17,000 and 18,000 options excluded for the six months ended March 31, 2017 and 2016,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are organized into the following three operating segments, each of which is a reportable segment, to align with internal management of our worldwide business operations based on product offerings.</w:t>
      </w:r>
    </w:p>
    <w:p>
      <w:pPr>
        <w:spacing w:after="0" w:line="184" w:lineRule="exact"/>
        <w:rPr>
          <w:sz w:val="20"/>
          <w:szCs w:val="20"/>
          <w:color w:val="auto"/>
        </w:rPr>
      </w:pPr>
    </w:p>
    <w:p>
      <w:pPr>
        <w:jc w:val="both"/>
        <w:ind w:left="1300" w:hanging="563"/>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Applications</w:t>
      </w:r>
      <w:r>
        <w:rPr>
          <w:rFonts w:ascii="Arial" w:cs="Arial" w:eastAsia="Arial" w:hAnsi="Arial"/>
          <w:sz w:val="18"/>
          <w:szCs w:val="18"/>
          <w:color w:val="auto"/>
        </w:rPr>
        <w:t>. This segment includes pre-configured decision management applications designed for a specific type of business problem or</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 such as marketing, account origination, customer management, fraud, collections and insurance claims management — as well as associated professional services. These applications are available to our customers as on-premises software, and many are available as hosted, software-as-a-service (“SaaS”) applications through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w:t>
      </w:r>
    </w:p>
    <w:p>
      <w:pPr>
        <w:jc w:val="both"/>
        <w:ind w:left="1300" w:hanging="563"/>
        <w:spacing w:after="0" w:line="257" w:lineRule="auto"/>
        <w:tabs>
          <w:tab w:leader="none" w:pos="13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Scores. </w:t>
      </w:r>
      <w:r>
        <w:rPr>
          <w:rFonts w:ascii="Arial" w:cs="Arial" w:eastAsia="Arial" w:hAnsi="Arial"/>
          <w:sz w:val="18"/>
          <w:szCs w:val="18"/>
          <w:color w:val="auto"/>
        </w:rPr>
        <w:t>This segment includes our business-to-business scoring solutions, our myFICO® solutions for consumers and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Our scoring solutions give our clients access to analytics that can be easily integrated into their transaction streams and decision-making processes. Our scoring solutions are distributed through major credit reporting agencies, as well as services through which we provide our scores to clients directly.</w:t>
      </w:r>
    </w:p>
    <w:p>
      <w:pPr>
        <w:spacing w:after="0" w:line="81" w:lineRule="exact"/>
        <w:rPr>
          <w:rFonts w:ascii="Arial" w:cs="Arial" w:eastAsia="Arial" w:hAnsi="Arial"/>
          <w:sz w:val="18"/>
          <w:szCs w:val="18"/>
          <w:i w:val="1"/>
          <w:iCs w:val="1"/>
          <w:color w:val="auto"/>
        </w:rPr>
      </w:pPr>
    </w:p>
    <w:p>
      <w:pPr>
        <w:jc w:val="both"/>
        <w:ind w:left="1300" w:hanging="563"/>
        <w:spacing w:after="0" w:line="246" w:lineRule="auto"/>
        <w:tabs>
          <w:tab w:leader="none" w:pos="130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Decision Management Software. </w:t>
      </w:r>
      <w:r>
        <w:rPr>
          <w:rFonts w:ascii="Arial" w:cs="Arial" w:eastAsia="Arial" w:hAnsi="Arial"/>
          <w:sz w:val="17"/>
          <w:szCs w:val="17"/>
          <w:color w:val="auto"/>
        </w:rPr>
        <w:t>This segment is composed of analytic and decision management software tools that clients can use to</w:t>
      </w:r>
      <w:r>
        <w:rPr>
          <w:rFonts w:ascii="Arial" w:cs="Arial" w:eastAsia="Arial" w:hAnsi="Arial"/>
          <w:sz w:val="17"/>
          <w:szCs w:val="17"/>
          <w:i w:val="1"/>
          <w:iCs w:val="1"/>
          <w:color w:val="auto"/>
        </w:rPr>
        <w:t xml:space="preserve"> </w:t>
      </w:r>
      <w:r>
        <w:rPr>
          <w:rFonts w:ascii="Arial" w:cs="Arial" w:eastAsia="Arial" w:hAnsi="Arial"/>
          <w:sz w:val="17"/>
          <w:szCs w:val="17"/>
          <w:color w:val="auto"/>
        </w:rPr>
        <w:t>create their own custom decision management applications, our new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Decision Management Suite, as well as associated professional services. These tools are available to our customers as on-premises software or through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Analytic Cloud.</w:t>
      </w:r>
    </w:p>
    <w:p>
      <w:pPr>
        <w:spacing w:after="0" w:line="9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Chief Executive Officer evaluates segment financial performance based on segment revenues and segment operating income. Segment operating expenses consist of direct and indirect costs principally related to personnel, facilities,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expense, amortization expense, various corporate charges and certain other income and expense measures to our segments. These income and expense items are not allocated because they are not considered in evaluating the segment’s operating performance. Our Chief Executive Officer does not evaluate the financial performance of each segment based on its respective assets, nor capital expenditures where depreciation amounts are allocated to the segments from their internal cost centers as described above.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segment information for the quarters and six months ended March 31, 2017 and 2016:</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Quarter Ended March 31, 2017</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Decision Management</w:t>
            </w: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28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Scores</w:t>
            </w:r>
          </w:p>
        </w:tc>
        <w:tc>
          <w:tcPr>
            <w:tcW w:w="15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Software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86,013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63,628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11,608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161,249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41,284</w:t>
            </w: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License</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9,350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25,845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228,378</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Segment operating expense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(99,454)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(170,313)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34,883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50,949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58,065</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w w:val="89"/>
              </w:rPr>
              <w:t>Unallocated share-based compensation expense</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(14,712)</w:t>
            </w:r>
          </w:p>
        </w:tc>
        <w:tc>
          <w:tcPr>
            <w:tcW w:w="0" w:type="dxa"/>
            <w:vAlign w:val="bottom"/>
          </w:tcPr>
          <w:p>
            <w:pPr>
              <w:spacing w:after="0" w:line="20" w:lineRule="exact"/>
              <w:rPr>
                <w:sz w:val="1"/>
                <w:szCs w:val="1"/>
                <w:color w:val="auto"/>
              </w:rPr>
            </w:pPr>
          </w:p>
        </w:tc>
      </w:tr>
      <w:tr>
        <w:trPr>
          <w:trHeight w:val="230"/>
        </w:trPr>
        <w:tc>
          <w:tcPr>
            <w:tcW w:w="35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40,041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Unallocated other expense, net</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33,136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2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7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rPr>
              <w:t>Quarter Ended March 31, 2016</w:t>
            </w:r>
          </w:p>
        </w:tc>
        <w:tc>
          <w:tcPr>
            <w:tcW w:w="1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Decision Management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Scores</w:t>
            </w:r>
          </w:p>
        </w:tc>
        <w:tc>
          <w:tcPr>
            <w:tcW w:w="2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Corporate</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Software</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8"/>
              </w:rPr>
              <w:t>Expenses</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Transactional and maintenance</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80,751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59,265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10,727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150,743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31,719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License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9,447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739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6,407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16,593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segment revenues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121,917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Segment operating expense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(87,955)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(151,047)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33,962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47,026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ind w:left="40"/>
              <w:spacing w:after="0"/>
              <w:rPr>
                <w:sz w:val="20"/>
                <w:szCs w:val="20"/>
                <w:color w:val="auto"/>
              </w:rPr>
            </w:pPr>
            <w:r>
              <w:rPr>
                <w:rFonts w:ascii="Arial" w:cs="Arial" w:eastAsia="Arial" w:hAnsi="Arial"/>
                <w:sz w:val="18"/>
                <w:szCs w:val="18"/>
                <w:color w:val="auto"/>
                <w:w w:val="89"/>
              </w:rPr>
              <w:t>Unallocated share-based compensation expense</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(13,600)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interest expense, net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Unallocated other expense, net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32,144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Depreciation expense</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gridSpan w:val="2"/>
            <w:vMerge w:val="continue"/>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2,708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jc w:val="center"/>
              <w:ind w:left="814"/>
              <w:spacing w:after="0"/>
              <w:rPr>
                <w:sz w:val="20"/>
                <w:szCs w:val="20"/>
                <w:color w:val="auto"/>
              </w:rPr>
            </w:pPr>
            <w:r>
              <w:rPr>
                <w:rFonts w:ascii="Arial" w:cs="Arial" w:eastAsia="Arial" w:hAnsi="Arial"/>
                <w:sz w:val="14"/>
                <w:szCs w:val="14"/>
                <w:b w:val="1"/>
                <w:bCs w:val="1"/>
                <w:color w:val="auto"/>
                <w:w w:val="95"/>
              </w:rPr>
              <w:t>Six Months Ended March 31, 2017</w:t>
            </w: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1"/>
              </w:rPr>
              <w:t>Decision Management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Applications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Scores</w:t>
            </w:r>
          </w:p>
        </w:tc>
        <w:tc>
          <w:tcPr>
            <w:tcW w:w="2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4"/>
              </w:rPr>
              <w:t>Software</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170,894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121,880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22,135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314,909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66,981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84,827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380"/>
              <w:spacing w:after="0"/>
              <w:rPr>
                <w:sz w:val="20"/>
                <w:szCs w:val="20"/>
                <w:color w:val="auto"/>
              </w:rPr>
            </w:pPr>
            <w:r>
              <w:rPr>
                <w:rFonts w:ascii="Arial" w:cs="Arial" w:eastAsia="Arial" w:hAnsi="Arial"/>
                <w:sz w:val="18"/>
                <w:szCs w:val="18"/>
                <w:color w:val="auto"/>
              </w:rPr>
              <w:t>License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31,227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15,595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segment revenues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447,978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Segment operating expense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(199,251)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(60,237)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(337,147)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Segment operating income (loss)</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110,831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88"/>
              </w:rPr>
              <w:t>Unallocated share-based compensation expense</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(29,231)</w:t>
            </w: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5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74,968</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Unallocated other expense, net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61,791</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24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734"/>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4"/>
                <w:szCs w:val="14"/>
                <w:b w:val="1"/>
                <w:bCs w:val="1"/>
                <w:color w:val="auto"/>
                <w:w w:val="95"/>
              </w:rPr>
              <w:t>Six Months Ended March 31, 2016</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Decision Management</w:t>
            </w: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2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Scores</w:t>
            </w:r>
          </w:p>
        </w:tc>
        <w:tc>
          <w:tcPr>
            <w:tcW w:w="15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Software</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161,734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114,482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21,599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297,815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73,494</w:t>
            </w: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License</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21,479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406,754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Segment operating expense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(175,392)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(302,009)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66,666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88,859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104,745</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w w:val="89"/>
              </w:rPr>
              <w:t>Unallocated share-based compensation expense</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line="20" w:lineRule="exact"/>
              <w:rPr>
                <w:sz w:val="1"/>
                <w:szCs w:val="1"/>
                <w:color w:val="auto"/>
              </w:rPr>
            </w:pPr>
          </w:p>
        </w:tc>
      </w:tr>
      <w:tr>
        <w:trPr>
          <w:trHeight w:val="230"/>
        </w:trPr>
        <w:tc>
          <w:tcPr>
            <w:tcW w:w="35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69,358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Unallocated other expense, net</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55,920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2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line="13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Act. Examples of forward-looking statements include, but are not limited to: (i) projections of revenue, income or loss, earnings or loss per share, the payment or nonpayment of dividends, capital structure and other statements concerning future financial performance;</w:t>
      </w:r>
    </w:p>
    <w:p>
      <w:pPr>
        <w:spacing w:after="0" w:line="2" w:lineRule="exact"/>
        <w:rPr>
          <w:sz w:val="20"/>
          <w:szCs w:val="20"/>
          <w:color w:val="auto"/>
        </w:rPr>
      </w:pPr>
    </w:p>
    <w:p>
      <w:pPr>
        <w:jc w:val="both"/>
        <w:ind w:firstLine="8"/>
        <w:spacing w:after="0" w:line="267" w:lineRule="auto"/>
        <w:tabs>
          <w:tab w:leader="none" w:pos="301"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business relationships with vendors, customers or collaborators, including the proportion of revenues generated from international as opposed to domestic customers; and (v) statements regarding products, their characteristics, performance, sales potential or effect in the hands of customers. Words such as “believes,” “anticipates,” “expects,” “intends,” “targeted,” “should,” “potential,” “goals,” “strategy,”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Risk Factors.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reports on Forms 10-Q and 8-K to be filed by us in fiscal 2017.</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6"/>
          <w:szCs w:val="16"/>
          <w:color w:val="auto"/>
        </w:rPr>
        <w:t>We provide products and services that enable businesses to automate, improve and connect decisions across the enterprise, an approach we commonly refer to as decision management. Our predictive analytics, which includes the industry-standard FICO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Score, and our decision management systems power hundreds of billions of customer decisions each year. We help thousands of companies in over 100 countries use our decision management technology to target and acquire customers more efficiently, increase customer value, reduce fraud and credit losses, lower operating expenses, and enter new markets more profitably. Most leading banks and credit card issuers rely on our solutions, as do insurers, retailers, telecommunications providers, pharmaceutical companies, healthcare organizations, public agencies and organizations in other industries. We also serve consumers through online services that enable people to purchase and understand their FICO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Scores, the standard measure in the U.S. of consumer credit risk, empowering them to manage their financial health. Most of our solutions address customer engagement, including customer acquisition, customer servicing and management, and customer protection. We also help businesses improve noncustomer decisions such as transaction and claims processing. Our solutions enable users to make decisions that are more precise, consistent and agile, and that systematically advance business goals. This helps our clients to reduce the cost of doing business, increase revenues and profitability, reduce losses from risks and fraud, and increase customer loyalty.</w:t>
      </w:r>
    </w:p>
    <w:p>
      <w:pPr>
        <w:spacing w:after="0" w:line="17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derive a significant portion of our revenues from clients outside the United States. International revenues accounted for 37% and 35% of total consolidated revenues for the quarters ended March 31, 2017 and 2016, respectively, and 36% and 34% of total consolidated revenues for the six months ended March 31, 2017 and 2016, respectively. A significant portion of our revenues are derived from the sale of products and services within the banking (including consumer credit) industry, and 72% of our revenues were derived from within the same industry during the quarters ended March 31, 2017 and 2016, and 74% of our revenues were derived from within this industry during the six months ended March 31, 2017 and 2016. In addition, we derive a significant share of revenue from transactional or unit-based software license fees, transactional fees derived under scoring, network service or internal hosted software arrangements, annual software maintenance fees and annual license fees under long-term software license arrangements. Arrangements with transactional or unit-based pricing accounted for 71% and 73% of our revenues during the quarters ended March 31, 2017 and 2016, respectively. Arrangements with transactional or unit-based pricing accounted for 70% and 73% of our revenues during the six months ended March 31, 2017 and 2016, respectively.</w:t>
      </w:r>
    </w:p>
    <w:p>
      <w:pPr>
        <w:spacing w:after="0" w:line="19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6"/>
          <w:szCs w:val="16"/>
          <w:color w:val="auto"/>
        </w:rPr>
        <w:t>Operating income increased to $40.0 million and $75.0 million during the quarter and six months ended March 31, 2017, respectively, from $38.5 million and $69.4 million during the quarter and six months ended March 31, 2016, respectively. For our Scores segment, we continue to drive growth in both revenue and operating margin with our industry leading business-to-business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Scores expanding further into the larger, faster growing U.S. consumer market. Scores revenue increased to $65.4 million and $124.8 million during the quarter and six months ended March 31, 2017, respectively, from $61.1 million and $117.1 million during the quarter and six months ended March 31, 2016, respectively, a 7% increase quarter over quarter and year-to-date period over period. Scores operating income increased to $50.9 million and $97.0 million during the quarter and six months ended March 31, 2017, respectively, from $47.0 million and $88.9 million during the quarter and six months ended March 31, 2016, respectively, an 8% increase quarter over quarter and 9% increase year-to-date period over period. For our Applications and Decision Management Software segments, we continue to expand our investments in sales distributions and go-to-market, and began to broaden our investment into product delivery, support and infrastructure operations. Applications revenue increased 10% quarter over quarter and 11% year-to-date period over period, and Decision Management Software revenue increased 21% quarter over quarter and 14% year-to-date period over period, while the margins for both segments remained flat.</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margin increased from 10% to 14% year-to-date period over period, a 35% increase, primarily driven by our adoption of ASU 2016-09 effective October 1, 2016, as further described in Notes 1 and 9 to the accompanying condensed consolidated financial statements.</w:t>
      </w:r>
    </w:p>
    <w:p>
      <w:pPr>
        <w:spacing w:after="0" w:line="1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continue to enhance shareholder value by returning cash to shareholders through our stock repurchase program. During the quarter and six months ended March 31, 2017, we repurchased approximately 0.3 million shares at a total repurchase price of $44.2 million and 0.6 million shares at a total repurchase price of $74.6 million, respectively. As of March 31, 2017, we had $155.4 million remaining under our current stock repurchase program.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w:t>
      </w:r>
    </w:p>
    <w:p>
      <w:pPr>
        <w:spacing w:after="0" w:line="12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Management uses bookings as an indicator of our business performance. Bookings represent contracts signed in the current reporting period that generate current and future revenue streams. We consider contract terms, knowledge of the marketplace and experience with our customers, among other</w:t>
      </w:r>
    </w:p>
    <w:p>
      <w:pPr>
        <w:sectPr>
          <w:pgSz w:w="11900" w:h="16975" w:orient="portrait"/>
          <w:cols w:equalWidth="0" w:num="1">
            <w:col w:w="11420"/>
          </w:cols>
          <w:pgMar w:left="240" w:top="125"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factors, when determining the estimated value of contract bookings.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Bookings calculations have varying degrees of certainty depending on the revenue type and individual contract terms. Our revenue types are transactional and maintenance, professional services and license. Our estimate of bookings is as of the end of the period in which a contract is signed, and we do not update initial booking estimates in future periods for changes between estimated and actual results. Actual revenue and the timing thereof could differ materially from our initial estimates. The following paragraphs discuss the key assumptions used to calculate bookings and the susceptibility of these assumptions to variability.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Transactional and Maintenance Bookings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calculate transactional bookings as the total estimated volume of transactions or number of accounts under contract, multiplied by the contractual rate. Transactional contracts generally span multiple years and require us to make estimates about future transaction volumes or number of active accounts. We develop estimates from discussions with our customers and examinations of historical data from similar products and customer arrangements. Differences between estimated bookings and actual results occur due to variability in the volume of transactions or number of active accounts estimated. This variability is primarily caused by the following:</w:t>
      </w:r>
    </w:p>
    <w:p>
      <w:pPr>
        <w:spacing w:after="0" w:line="202" w:lineRule="exact"/>
        <w:rPr>
          <w:sz w:val="20"/>
          <w:szCs w:val="20"/>
          <w:color w:val="auto"/>
        </w:rPr>
      </w:pPr>
    </w:p>
    <w:p>
      <w:pPr>
        <w:ind w:left="1300" w:hanging="563"/>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health of the economy and economic trends in our customers’ industries;</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Individual performance of our customers relative to their competitors; and</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and other factors that affect the business environment in which our customers operate.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calculate maintenance bookings directly from the terms stated in the contract.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Professional Services Bookings</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calculate professional services bookings as the estimated number of hours to complete a project multiplied by the rate per hour. We estimate the number of hours based on our understanding of the project scope, conversations with customer personnel and our experience in estimating professional services projects. Estimated bookings may differ from actual results primarily due to differences in the actual number of hours incurred. These differences typically result from customer decisions to alter the mix of FICO and customer services resources used to complete a project.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License Bookings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Licenses are sold on a perpetual or term basis and bookings generally equal the fixed amount stated in the contract.</w:t>
      </w:r>
    </w:p>
    <w:p>
      <w:pPr>
        <w:spacing w:after="0" w:line="200" w:lineRule="exact"/>
        <w:rPr>
          <w:sz w:val="20"/>
          <w:szCs w:val="20"/>
          <w:color w:val="auto"/>
        </w:rPr>
      </w:pPr>
    </w:p>
    <w:p>
      <w:pPr>
        <w:spacing w:after="0" w:line="24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Bookings Trend Analysis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Bookings</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Bookings</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7"/>
              </w:rPr>
              <w:t>Bookings</w:t>
            </w:r>
          </w:p>
        </w:tc>
        <w:tc>
          <w:tcPr>
            <w:tcW w:w="100" w:type="dxa"/>
            <w:vAlign w:val="bottom"/>
            <w:vMerge w:val="restart"/>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over $1</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Yield (1)</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Million</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Term (2)</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(Months)</w:t>
            </w: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Quarter Ended March 31,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80" w:type="dxa"/>
            <w:vAlign w:val="bottom"/>
          </w:tcPr>
          <w:p>
            <w:pPr>
              <w:jc w:val="right"/>
              <w:ind w:right="2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Six Months Ended March 31, 2017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6"/>
              <w:spacing w:after="0" w:line="269" w:lineRule="exact"/>
              <w:rPr>
                <w:sz w:val="20"/>
                <w:szCs w:val="20"/>
                <w:color w:val="auto"/>
              </w:rPr>
            </w:pPr>
            <w:r>
              <w:rPr>
                <w:rFonts w:ascii="Arial" w:cs="Arial" w:eastAsia="Arial" w:hAnsi="Arial"/>
                <w:sz w:val="31"/>
                <w:szCs w:val="31"/>
                <w:color w:val="auto"/>
                <w:vertAlign w:val="subscript"/>
              </w:rPr>
              <w:t>NM</w:t>
            </w: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471"/>
        </w:trPr>
        <w:tc>
          <w:tcPr>
            <w:tcW w:w="5120" w:type="dxa"/>
            <w:vAlign w:val="bottom"/>
          </w:tcPr>
          <w:p>
            <w:pPr>
              <w:ind w:left="40"/>
              <w:spacing w:after="0"/>
              <w:rPr>
                <w:sz w:val="20"/>
                <w:szCs w:val="20"/>
                <w:color w:val="auto"/>
              </w:rPr>
            </w:pPr>
            <w:r>
              <w:rPr>
                <w:rFonts w:ascii="Arial" w:cs="Arial" w:eastAsia="Arial" w:hAnsi="Arial"/>
                <w:sz w:val="18"/>
                <w:szCs w:val="18"/>
                <w:color w:val="auto"/>
              </w:rPr>
              <w:t>Six Months Ended March 31,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480" w:type="dxa"/>
            <w:vAlign w:val="bottom"/>
          </w:tcPr>
          <w:p>
            <w:pPr>
              <w:jc w:val="right"/>
              <w:ind w:right="26"/>
              <w:spacing w:after="0"/>
              <w:rPr>
                <w:sz w:val="20"/>
                <w:szCs w:val="20"/>
                <w:color w:val="auto"/>
              </w:rPr>
            </w:pPr>
            <w:r>
              <w:rPr>
                <w:rFonts w:ascii="Arial" w:cs="Arial" w:eastAsia="Arial" w:hAnsi="Arial"/>
                <w:sz w:val="36"/>
                <w:szCs w:val="36"/>
                <w:color w:val="auto"/>
                <w:vertAlign w:val="subscript"/>
              </w:rPr>
              <w:t>NM</w:t>
            </w:r>
            <w:r>
              <w:rPr>
                <w:rFonts w:ascii="Arial" w:cs="Arial" w:eastAsia="Arial" w:hAnsi="Arial"/>
                <w:sz w:val="13"/>
                <w:szCs w:val="13"/>
                <w:color w:val="auto"/>
              </w:rPr>
              <w:t>(a)</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Bookings yield represents the percentage of revenue recognized from bookings for the periods indicated.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Weighted-average term of bookings measures the average term over which bookings are expected to be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340" w:hanging="332"/>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NM - Measure is not meaningful as our estimate of bookings is as of the end of the period in which a contract is signed, and we do not update our initial booking estimates in future periods for changes between estimated and actual results.</w:t>
      </w:r>
    </w:p>
    <w:p>
      <w:pPr>
        <w:spacing w:after="0" w:line="1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Transactional and maintenance bookings were 43% and 50% of total bookings for the quarters ended March 31, 2017 and 2016, respectively. Professional services bookings were 37% and 38% of total bookings for the quarters ended March 31, 2017 and 2016, respectively. License bookings were 20% and 12% of total bookings for the quarters ended March 31, 2017 and 2016, respectively.</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Transactional and maintenance bookings were 37% and 41% of total bookings for the six months ended March 31, 2017 and 2016, respectively. Professional services bookings were 46% and 44% of total bookings for the six months ended March 31, 2017 and 2016, respectively. License bookings were 17% and 15% of total bookings for the six months ended March 31, 2017 and 2016, respectively.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set forth certain summary information on a segment basis related to our revenues for the quarters and six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and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Quarter Ended March 31,</w:t>
            </w:r>
          </w:p>
        </w:tc>
        <w:tc>
          <w:tcPr>
            <w:tcW w:w="230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Percentage of Revenues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Period-to-Period</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71"/>
        </w:trPr>
        <w:tc>
          <w:tcPr>
            <w:tcW w:w="2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1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Change</w:t>
            </w: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134,337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121,917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12,420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7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65,433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61,116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28,608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23,645</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4,963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228,378</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206,678</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21,700</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Six Months Ended March 31,</w:t>
            </w:r>
          </w:p>
        </w:tc>
        <w:tc>
          <w:tcPr>
            <w:tcW w:w="230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Percentage of Revenues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Period-to-Period</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71"/>
        </w:trPr>
        <w:tc>
          <w:tcPr>
            <w:tcW w:w="2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1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Change</w:t>
            </w: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269,102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242,058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27,044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7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124,815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117,118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7,697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54,061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47,578</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6,483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447,978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406,754</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41,224</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31, 2017 Compared to Quarter Ended March 31, 2016</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Quarter Ended March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86,013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80,751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32,640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31,719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15,684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6,237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512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134,337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121,917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12,420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Applications segment revenues increased $12.4 million primarily due to a $6.8 million increase in our </w:t>
      </w:r>
      <w:r>
        <w:rPr>
          <w:rFonts w:ascii="Arial" w:cs="Arial" w:eastAsia="Arial" w:hAnsi="Arial"/>
          <w:sz w:val="17"/>
          <w:szCs w:val="17"/>
          <w:i w:val="1"/>
          <w:iCs w:val="1"/>
          <w:color w:val="auto"/>
        </w:rPr>
        <w:t>fraud</w:t>
      </w:r>
      <w:r>
        <w:rPr>
          <w:rFonts w:ascii="Arial" w:cs="Arial" w:eastAsia="Arial" w:hAnsi="Arial"/>
          <w:sz w:val="17"/>
          <w:szCs w:val="17"/>
          <w:color w:val="auto"/>
        </w:rPr>
        <w:t xml:space="preserve"> solutions, a $2.8 million increase in our </w:t>
      </w:r>
      <w:r>
        <w:rPr>
          <w:rFonts w:ascii="Arial" w:cs="Arial" w:eastAsia="Arial" w:hAnsi="Arial"/>
          <w:sz w:val="17"/>
          <w:szCs w:val="17"/>
          <w:i w:val="1"/>
          <w:iCs w:val="1"/>
          <w:color w:val="auto"/>
        </w:rPr>
        <w:t xml:space="preserve">originations </w:t>
      </w:r>
      <w:r>
        <w:rPr>
          <w:rFonts w:ascii="Arial" w:cs="Arial" w:eastAsia="Arial" w:hAnsi="Arial"/>
          <w:sz w:val="17"/>
          <w:szCs w:val="17"/>
          <w:color w:val="auto"/>
        </w:rPr>
        <w:t>solutions, and a $2.8 million increase in our</w:t>
      </w:r>
      <w:r>
        <w:rPr>
          <w:rFonts w:ascii="Arial" w:cs="Arial" w:eastAsia="Arial" w:hAnsi="Arial"/>
          <w:sz w:val="17"/>
          <w:szCs w:val="17"/>
          <w:i w:val="1"/>
          <w:iCs w:val="1"/>
          <w:color w:val="auto"/>
        </w:rPr>
        <w:t xml:space="preserve"> customer communications </w:t>
      </w:r>
      <w:r>
        <w:rPr>
          <w:rFonts w:ascii="Arial" w:cs="Arial" w:eastAsia="Arial" w:hAnsi="Arial"/>
          <w:sz w:val="17"/>
          <w:szCs w:val="17"/>
          <w:color w:val="auto"/>
        </w:rPr>
        <w:t>services. The increase in</w:t>
      </w:r>
      <w:r>
        <w:rPr>
          <w:rFonts w:ascii="Arial" w:cs="Arial" w:eastAsia="Arial" w:hAnsi="Arial"/>
          <w:sz w:val="17"/>
          <w:szCs w:val="17"/>
          <w:i w:val="1"/>
          <w:iCs w:val="1"/>
          <w:color w:val="auto"/>
        </w:rPr>
        <w:t xml:space="preserve"> fraud </w:t>
      </w:r>
      <w:r>
        <w:rPr>
          <w:rFonts w:ascii="Arial" w:cs="Arial" w:eastAsia="Arial" w:hAnsi="Arial"/>
          <w:sz w:val="17"/>
          <w:szCs w:val="17"/>
          <w:color w:val="auto"/>
        </w:rPr>
        <w:t>solutions was primarily attributable to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increase in license revenue mainly driven by one large multi-year license transaction. The increase in </w:t>
      </w:r>
      <w:r>
        <w:rPr>
          <w:rFonts w:ascii="Arial" w:cs="Arial" w:eastAsia="Arial" w:hAnsi="Arial"/>
          <w:sz w:val="17"/>
          <w:szCs w:val="17"/>
          <w:i w:val="1"/>
          <w:iCs w:val="1"/>
          <w:color w:val="auto"/>
        </w:rPr>
        <w:t>originations</w:t>
      </w:r>
      <w:r>
        <w:rPr>
          <w:rFonts w:ascii="Arial" w:cs="Arial" w:eastAsia="Arial" w:hAnsi="Arial"/>
          <w:sz w:val="17"/>
          <w:szCs w:val="17"/>
          <w:color w:val="auto"/>
        </w:rPr>
        <w:t xml:space="preserve"> solutions was primarily attributable to an increase in transactional and services revenues from our SaaS product. The increase in </w:t>
      </w:r>
      <w:r>
        <w:rPr>
          <w:rFonts w:ascii="Arial" w:cs="Arial" w:eastAsia="Arial" w:hAnsi="Arial"/>
          <w:sz w:val="17"/>
          <w:szCs w:val="17"/>
          <w:i w:val="1"/>
          <w:iCs w:val="1"/>
          <w:color w:val="auto"/>
        </w:rPr>
        <w:t>customer communication</w:t>
      </w:r>
      <w:r>
        <w:rPr>
          <w:rFonts w:ascii="Arial" w:cs="Arial" w:eastAsia="Arial" w:hAnsi="Arial"/>
          <w:sz w:val="17"/>
          <w:szCs w:val="17"/>
          <w:color w:val="auto"/>
        </w:rPr>
        <w:t xml:space="preserve"> services was primarily attributable to an increase in transactional revenue as a result of our growth in the mobile communication market.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Quarter Ended 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63,628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59,265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4,363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57"/>
        </w:trPr>
        <w:tc>
          <w:tcPr>
            <w:tcW w:w="508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65,433</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61,116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Scores segment revenues increased $4.3 million due to an increase of $3.4 million in our business-to-consumer services revenue and $0.9 million in our business-to-business scores revenue. The increase in business-to-consumer services was primarily attributable to an increase in royalties derived from scores sold indirectly to consumers through credit reporting agencies.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quarters ended March 31, 2017 and 2016, revenues generated from our agreements with Equifax, TransUnion and Experian collectively accounted for approximately 20% of our total revenues, including revenues from these customers recorded in our other segments.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Quarter Ended March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10,727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7,650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9,350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512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28,608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23,645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Decision Management Software segment revenues increased $5.0 million primarily attributable to an increase in license revenue related to our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Blaze Advisor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services revenue related to our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Optimizer.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2017 Compared to Six Months Ended March 31, 2016</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170,894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161,734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9,160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66,981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58,845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8,136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31,227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9,748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512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269,102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242,058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27,044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Applications segment revenues increased $27.0 million primarily due to a $12.9 million increase in our </w:t>
      </w:r>
      <w:r>
        <w:rPr>
          <w:rFonts w:ascii="Arial" w:cs="Arial" w:eastAsia="Arial" w:hAnsi="Arial"/>
          <w:sz w:val="17"/>
          <w:szCs w:val="17"/>
          <w:i w:val="1"/>
          <w:iCs w:val="1"/>
          <w:color w:val="auto"/>
        </w:rPr>
        <w:t>fraud</w:t>
      </w:r>
      <w:r>
        <w:rPr>
          <w:rFonts w:ascii="Arial" w:cs="Arial" w:eastAsia="Arial" w:hAnsi="Arial"/>
          <w:sz w:val="17"/>
          <w:szCs w:val="17"/>
          <w:color w:val="auto"/>
        </w:rPr>
        <w:t xml:space="preserve"> solutions, an $8.7 million increase in our </w:t>
      </w:r>
      <w:r>
        <w:rPr>
          <w:rFonts w:ascii="Arial" w:cs="Arial" w:eastAsia="Arial" w:hAnsi="Arial"/>
          <w:sz w:val="17"/>
          <w:szCs w:val="17"/>
          <w:i w:val="1"/>
          <w:iCs w:val="1"/>
          <w:color w:val="auto"/>
        </w:rPr>
        <w:t xml:space="preserve">originations </w:t>
      </w:r>
      <w:r>
        <w:rPr>
          <w:rFonts w:ascii="Arial" w:cs="Arial" w:eastAsia="Arial" w:hAnsi="Arial"/>
          <w:sz w:val="17"/>
          <w:szCs w:val="17"/>
          <w:color w:val="auto"/>
        </w:rPr>
        <w:t>solutions, and a $5.8 million increase in our</w:t>
      </w:r>
      <w:r>
        <w:rPr>
          <w:rFonts w:ascii="Arial" w:cs="Arial" w:eastAsia="Arial" w:hAnsi="Arial"/>
          <w:sz w:val="17"/>
          <w:szCs w:val="17"/>
          <w:i w:val="1"/>
          <w:iCs w:val="1"/>
          <w:color w:val="auto"/>
        </w:rPr>
        <w:t xml:space="preserve"> customer communications </w:t>
      </w:r>
      <w:r>
        <w:rPr>
          <w:rFonts w:ascii="Arial" w:cs="Arial" w:eastAsia="Arial" w:hAnsi="Arial"/>
          <w:sz w:val="17"/>
          <w:szCs w:val="17"/>
          <w:color w:val="auto"/>
        </w:rPr>
        <w:t>services. The increase in</w:t>
      </w:r>
      <w:r>
        <w:rPr>
          <w:rFonts w:ascii="Arial" w:cs="Arial" w:eastAsia="Arial" w:hAnsi="Arial"/>
          <w:sz w:val="17"/>
          <w:szCs w:val="17"/>
          <w:i w:val="1"/>
          <w:iCs w:val="1"/>
          <w:color w:val="auto"/>
        </w:rPr>
        <w:t xml:space="preserve"> fraud </w:t>
      </w:r>
      <w:r>
        <w:rPr>
          <w:rFonts w:ascii="Arial" w:cs="Arial" w:eastAsia="Arial" w:hAnsi="Arial"/>
          <w:sz w:val="17"/>
          <w:szCs w:val="17"/>
          <w:color w:val="auto"/>
        </w:rPr>
        <w:t>solutions was primarily attributable to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increase in license revenue mainly driven by a couple of large multi-year license transactions. The increase in </w:t>
      </w:r>
      <w:r>
        <w:rPr>
          <w:rFonts w:ascii="Arial" w:cs="Arial" w:eastAsia="Arial" w:hAnsi="Arial"/>
          <w:sz w:val="17"/>
          <w:szCs w:val="17"/>
          <w:i w:val="1"/>
          <w:iCs w:val="1"/>
          <w:color w:val="auto"/>
        </w:rPr>
        <w:t>originations</w:t>
      </w:r>
      <w:r>
        <w:rPr>
          <w:rFonts w:ascii="Arial" w:cs="Arial" w:eastAsia="Arial" w:hAnsi="Arial"/>
          <w:sz w:val="17"/>
          <w:szCs w:val="17"/>
          <w:color w:val="auto"/>
        </w:rPr>
        <w:t xml:space="preserve"> solutions was primarily attributable to an increase in services and transactional revenues from our SaaS product. The increase in </w:t>
      </w:r>
      <w:r>
        <w:rPr>
          <w:rFonts w:ascii="Arial" w:cs="Arial" w:eastAsia="Arial" w:hAnsi="Arial"/>
          <w:sz w:val="17"/>
          <w:szCs w:val="17"/>
          <w:i w:val="1"/>
          <w:iCs w:val="1"/>
          <w:color w:val="auto"/>
        </w:rPr>
        <w:t>customer communication</w:t>
      </w:r>
      <w:r>
        <w:rPr>
          <w:rFonts w:ascii="Arial" w:cs="Arial" w:eastAsia="Arial" w:hAnsi="Arial"/>
          <w:sz w:val="17"/>
          <w:szCs w:val="17"/>
          <w:color w:val="auto"/>
        </w:rPr>
        <w:t xml:space="preserve"> services was primarily attributable to an increase in transactional revenue as a result of our growth in the mobile communication market.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121,880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114,482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7,398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57"/>
        </w:trPr>
        <w:tc>
          <w:tcPr>
            <w:tcW w:w="508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124,815</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117,118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7,697</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Scores segment revenues increased $7.7 million due to an increase of $4.0 million in our business-to-consumer services revenue and $3.7 million in our business-to-business scores revenue. The increase in business-to-consumer services was primarily attributable to an increase in royalties derived from scores sold indirectly to consumers through credit reporting agencies. The increase in business-to-business scores was primarily attributable to an increase in our transactional scores driven by new originations and prescreen.</w:t>
      </w:r>
    </w:p>
    <w:p>
      <w:pPr>
        <w:spacing w:after="0" w:line="187"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During the six months ended March 31, 2017 and 2016, revenues generated from our agreements with Equifax, TransUnion and Experian collectively accounted for approximately 19% and 20%, respectively, of our total revenues, including revenues from these customers recorded in our other segments.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22,135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21,599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16,331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12,789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15,595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512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54,061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47,578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Decision Management Software segment revenues increased $6.5 million primarily attributable to an increase in services revenue related to our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Optimizer, and license revenue related to our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Blaze Advisor</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 Expenses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certain summary information related to our condensed consolidated statements of income and comprehensive income for the quarters and six months ended March 31, 2017 and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Quarter Ended March 31,</w:t>
            </w:r>
          </w:p>
        </w:tc>
        <w:tc>
          <w:tcPr>
            <w:tcW w:w="280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Percentage of Revenues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4"/>
              </w:rPr>
              <w:t>Period-to-Period</w:t>
            </w:r>
          </w:p>
        </w:tc>
        <w:tc>
          <w:tcPr>
            <w:tcW w:w="13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13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3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(In thousands, except</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88"/>
              </w:rPr>
              <w:t>employees)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except employees)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228,378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206,678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72,131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62,298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w w:val="91"/>
              </w:rPr>
              <w:t>Research and development</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26,663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24,848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86,231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77,501</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2420" w:type="dxa"/>
            <w:vAlign w:val="bottom"/>
          </w:tcPr>
          <w:p>
            <w:pPr>
              <w:ind w:left="380"/>
              <w:spacing w:after="0"/>
              <w:rPr>
                <w:sz w:val="20"/>
                <w:szCs w:val="20"/>
                <w:color w:val="auto"/>
              </w:rPr>
            </w:pPr>
            <w:r>
              <w:rPr>
                <w:rFonts w:ascii="Arial" w:cs="Arial" w:eastAsia="Arial" w:hAnsi="Arial"/>
                <w:sz w:val="18"/>
                <w:szCs w:val="18"/>
                <w:color w:val="auto"/>
                <w:w w:val="99"/>
              </w:rPr>
              <w:t>Amortization of intangible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8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3,507</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188,337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168,154</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40,041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38,524</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32,144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8,052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9,028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25,084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23,116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1"/>
              </w:rPr>
              <w:t>Number of employees at quarter</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end</w:t>
            </w:r>
          </w:p>
        </w:tc>
        <w:tc>
          <w:tcPr>
            <w:tcW w:w="34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70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Six Months Ended March 31,</w:t>
            </w:r>
          </w:p>
        </w:tc>
        <w:tc>
          <w:tcPr>
            <w:tcW w:w="280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Percentage of Revenues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4"/>
              </w:rPr>
              <w:t>Period-to-Period</w:t>
            </w:r>
          </w:p>
        </w:tc>
        <w:tc>
          <w:tcPr>
            <w:tcW w:w="13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13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3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447,978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406,754</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41,224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142,128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124,491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w w:val="91"/>
              </w:rPr>
              <w:t>Research and development</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52,805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49,479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171,445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156,339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15,106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2420" w:type="dxa"/>
            <w:vAlign w:val="bottom"/>
          </w:tcPr>
          <w:p>
            <w:pPr>
              <w:ind w:left="380"/>
              <w:spacing w:after="0"/>
              <w:rPr>
                <w:sz w:val="20"/>
                <w:szCs w:val="20"/>
                <w:color w:val="auto"/>
              </w:rPr>
            </w:pPr>
            <w:r>
              <w:rPr>
                <w:rFonts w:ascii="Arial" w:cs="Arial" w:eastAsia="Arial" w:hAnsi="Arial"/>
                <w:sz w:val="18"/>
                <w:szCs w:val="18"/>
                <w:color w:val="auto"/>
                <w:w w:val="99"/>
              </w:rPr>
              <w:t>Amortization of intangible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8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373,010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337,396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35,614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74,968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69,358</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13,563</w:t>
            </w:r>
          </w:p>
        </w:tc>
        <w:tc>
          <w:tcPr>
            <w:tcW w:w="12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62,985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42,357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459"/>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9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Cost of revenues consists primarily of employee salaries and benefits for personnel directly involved in developing, installing and supporting revenue products; travel costs; overhead costs; outside services; internal network hosting costs; software royalty fees; and credit bureau data and processing services.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Cost of revenues as a percentage of revenues increased to 31% during the quarter ended March 31, 2017 from 30% during the quarter ended March 31, 2016. The $9.8 million increase was primarily attributable to a $6.7 million increase in personnel and labor costs, and a $2.0 million increase in allocated facilities and infrastructure costs. The increase in personnel and labor costs was primarily attributable to an increase in professional services delivery cost, an increase in salaries and benefit costs as a result of our increased headcount, as well as an increase in incentive cost. The increase in allocated facilities and infrastructure costs was primarily attributable to increased resource requirement due to our expanded investment in product delivery, support and infrastructure operations.</w:t>
      </w:r>
    </w:p>
    <w:p>
      <w:pPr>
        <w:spacing w:after="0" w:line="19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Cost of revenues as a percentage of revenues increased to 32% during the six months ended March 31, 2017 from 31% during the six months ended March 31, 2016. The year-to-date period over period increase of $17.6 million was primarily attributable to an $11.3 million increase in personnel and labor costs, and a $4.8 million increase in allocated facilities and infrastructure costs. The increase in personnel and labor costs was primarily attributable to an increase in professional services delivery cost driven by higher services revenue, an increase in salaries and benefit costs as a result of our increased headcount, as well as an increase in incentive cost. The increase in allocated facilities and infrastructure costs was primarily attributable to increased resource requirement due to our expanded investment in product delivery, support and infrastructure operations.</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Over the next several quarters, we expect cost of revenues as a percentage of revenues will be consistent with those incurred during the quarter ended March 31, 2017.</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Research and development expenses include personnel and related overhead costs incurred in the development of new products and services, including research of mathematical and statistical models and development of new versions of Applications and Decision Management Software products.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Research and development expenses increased $1.9 million to $26.7 million during the quarter ended March 31, 2017 from $24.8 million during the quarter ended March 31, 2016. The increase was primarily attributable to an increase in personnel and labor cost driven by our increased headcount. Research and development expenses as a percentage of revenues was 12% during the quarter ended March 31, 2017, consistent with those incurred during the quarter ended March 31, 2016.</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Research and development expenses increased $3.3 million to $52.8 million during the six months ended March 31, 2017 from $49.5 million during the six months ended March 31, 2016. The increase was primarily attributable to an increase in personnel and labor cost driven by our increased headcount. Research and development expenses as a percentage of revenues was 12% during the six months ended March 31, 2017, consistent with those incurred during the six months ended March 31, 2016.</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Over the next several quarters, we expect research and development expenditures as a percentage of revenues will be consistent with those incurred during the quarter ended March 31, 2017.</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expenses consist principally of employee salaries, commissions and benefits; travel costs; overhead costs; advertising and other promotional expenses; corporate facilities expenses; legal expenses; business development expenses and the cost of operating computer systems.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expenses increased $8.7 million to $86.2 million during the quarter ended March 31, 2017 from $77.5 million during the quarter ended March 31, 2016, primarily driven by our continued investment in sales distribution and go-to-market. Selling, general and administrative expenses as a percentage of revenues was 38% during the quarter ended March 31, 2017, consistent with those incurred during the quarter ended March 31, 2016.</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expenses increased $15.1 million to $171.4 million during the six months ended March 31, 2017 from $156.3 million during the six months ended March 31, 2016, primarily driven by our continued investment in sales distribution and go-to-market. Selling, general and administrative expenses as a percentage of revenues was 38% during the six months ended March 31, 2017, materially consistent with those incurred during the six months ended March 31,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Over the next several quarters, we expect selling, general and administrative expenses as a percentage of revenues will be consistent with those incurred during the quarter ended March 31, 2017.</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four to fifteen years.</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Amortization expense was $3.3 million and $6.6 million for the quarter and six months ended March 31, 2017, respectively. Over the next several quarters we expect that amortization expense will be consistent with or lower than the amortization expense we recorded during the quarter ended March 31, 2017 due to certain intangible assets associated with our Adeptra acquisition becoming fully amortized in September 2017.</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expense includes primarily interest on the senior notes issued in May 2008 and July 2010, as well as interest and credit facility fees on the revolving line of credit. Our consolidated statements of income and comprehensive income include interest expense netted with interest income, which is derived primarily from the investment of funds in excess of our immediate operating requirements.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quarter over quarter decrease in interest expense of $0.2 million was primarily attributable to the $60.0 million principal payment in July 2016 on the senior notes issued in July 2010 resulting in lower average debt balance for the quarter ended March 31, 2017, partially offset by a higher average outstanding balance on our revolving line of credit.</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year-to-date period over period decrease in interest expense of $0.8 million was primarily attributable to the $60.0 million principal payment in July 2016 on the senior notes issued in July 2010 resulting in lower average debt balance for the six months ended March 31, 2017, partially offset by a higher average outstanding balance on our revolving line of credit.</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Over the next several quarters we expect net interest expense will be consistent with the net interest expense incurred during the quarter ended March 31, 2017.</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expense, net consists primarily of realized investment gains/losses, exchange rate gains/losses resulting from remeasurement of foreign-currency-denominated receivable and cash balances into their respective functional currencies at period-end market rates, net of the impact of offsetting foreign currency forward contracts, and other non-operating items.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effective income tax rate was 24.3% and 28.1% during the quarters ended March 31, 2017 and 2016, respectively, and (1.9)% and 24.3% during the six months ended March 31, 2017 and 2016,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 for the six months ended March 31, 2017 was significantly impacted by the recording of excess tax benefits relating to stock awards that vested in December 2016. As a result of the adoption of ASU 2016-09 on October 1, 2016, we no longer record excess tax benefits as an increase to additional paid-in capital, but record such excess tax benefits on a prospective basis as a reduction of income tax expense, which amounted to $20.9 million for the six months ended March 31, 2017. We also anticipate the potential for increased periodic volatility in future effective tax rates as the impact of the continued application of ASU 2016-09 is dependent upon our future grants of stock-based compensation, our future stock price in relation to the fair value of awards on grant date and the exercise behavior of the our stock option 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set forth certain summary information on a segment basis related to our operating income for the quarters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right="212"/>
              <w:spacing w:after="0"/>
              <w:rPr>
                <w:sz w:val="20"/>
                <w:szCs w:val="20"/>
                <w:color w:val="auto"/>
              </w:rPr>
            </w:pPr>
            <w:r>
              <w:rPr>
                <w:rFonts w:ascii="Arial" w:cs="Arial" w:eastAsia="Arial" w:hAnsi="Arial"/>
                <w:sz w:val="14"/>
                <w:szCs w:val="14"/>
                <w:b w:val="1"/>
                <w:bCs w:val="1"/>
                <w:color w:val="auto"/>
                <w:w w:val="96"/>
              </w:rPr>
              <w:t>Quarter Ended 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71"/>
        </w:trPr>
        <w:tc>
          <w:tcPr>
            <w:tcW w:w="5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40" w:type="dxa"/>
            <w:vAlign w:val="bottom"/>
          </w:tcPr>
          <w:p>
            <w:pPr>
              <w:spacing w:after="0"/>
              <w:rPr>
                <w:sz w:val="6"/>
                <w:szCs w:val="6"/>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50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Change</w:t>
            </w: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34,883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50,949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3,923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Corporate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58,065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Unallocated share-based compensation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40,041</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38,524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12"/>
              <w:spacing w:after="0"/>
              <w:rPr>
                <w:sz w:val="20"/>
                <w:szCs w:val="20"/>
                <w:color w:val="auto"/>
              </w:rPr>
            </w:pPr>
            <w:r>
              <w:rPr>
                <w:rFonts w:ascii="Arial" w:cs="Arial" w:eastAsia="Arial" w:hAnsi="Arial"/>
                <w:sz w:val="14"/>
                <w:szCs w:val="14"/>
                <w:b w:val="1"/>
                <w:bCs w:val="1"/>
                <w:color w:val="auto"/>
                <w:w w:val="94"/>
              </w:rPr>
              <w:t>Six Months Ended March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71"/>
        </w:trPr>
        <w:tc>
          <w:tcPr>
            <w:tcW w:w="5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40" w:type="dxa"/>
            <w:vAlign w:val="bottom"/>
          </w:tcPr>
          <w:p>
            <w:pPr>
              <w:spacing w:after="0"/>
              <w:rPr>
                <w:sz w:val="6"/>
                <w:szCs w:val="6"/>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50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Change</w:t>
            </w: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69,851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66,666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97,012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88,859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8,153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Corporate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(49,856)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110,831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6,086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Unallocated share-based compensation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74,968</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69,358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6"/>
              </w:rPr>
              <w:t>Quarter Ended</w:t>
            </w:r>
          </w:p>
        </w:tc>
        <w:tc>
          <w:tcPr>
            <w:tcW w:w="222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4"/>
                <w:szCs w:val="14"/>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Six Months Ended</w:t>
            </w: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5"/>
          </w:tcPr>
          <w:p>
            <w:pPr>
              <w:jc w:val="center"/>
              <w:ind w:left="638"/>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90"/>
              </w:rPr>
              <w:t>Revenues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134,337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121,917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269,102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242,058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40" w:type="dxa"/>
            <w:vAlign w:val="bottom"/>
            <w:gridSpan w:val="2"/>
          </w:tcPr>
          <w:p>
            <w:pPr>
              <w:ind w:left="40"/>
              <w:spacing w:after="0"/>
              <w:rPr>
                <w:sz w:val="20"/>
                <w:szCs w:val="20"/>
                <w:color w:val="auto"/>
              </w:rPr>
            </w:pPr>
            <w:r>
              <w:rPr>
                <w:rFonts w:ascii="Arial" w:cs="Arial" w:eastAsia="Arial" w:hAnsi="Arial"/>
                <w:sz w:val="18"/>
                <w:szCs w:val="18"/>
                <w:color w:val="auto"/>
                <w:w w:val="96"/>
              </w:rPr>
              <w:t>Segment operating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(99,454)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(87,955)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(199,251)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(175,392)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34,883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69,851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66,666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8"/>
                <w:szCs w:val="18"/>
                <w:b w:val="1"/>
                <w:bCs w:val="1"/>
                <w:i w:val="1"/>
                <w:iCs w:val="1"/>
                <w:color w:val="auto"/>
              </w:rPr>
              <w:t>Scores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4"/>
          </w:tcPr>
          <w:p>
            <w:pPr>
              <w:jc w:val="center"/>
              <w:ind w:left="340"/>
              <w:spacing w:after="0"/>
              <w:rPr>
                <w:sz w:val="20"/>
                <w:szCs w:val="20"/>
                <w:color w:val="auto"/>
              </w:rPr>
            </w:pPr>
            <w:r>
              <w:rPr>
                <w:rFonts w:ascii="Arial" w:cs="Arial" w:eastAsia="Arial" w:hAnsi="Arial"/>
                <w:sz w:val="14"/>
                <w:szCs w:val="14"/>
                <w:b w:val="1"/>
                <w:bCs w:val="1"/>
                <w:color w:val="auto"/>
                <w:w w:val="94"/>
              </w:rPr>
              <w:t>Quarter Ended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24"/>
                <w:szCs w:val="2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5"/>
          </w:tcPr>
          <w:p>
            <w:pPr>
              <w:jc w:val="center"/>
              <w:ind w:left="618"/>
              <w:spacing w:after="0"/>
              <w:rPr>
                <w:sz w:val="20"/>
                <w:szCs w:val="20"/>
                <w:color w:val="auto"/>
              </w:rPr>
            </w:pPr>
            <w:r>
              <w:rPr>
                <w:rFonts w:ascii="Arial" w:cs="Arial" w:eastAsia="Arial" w:hAnsi="Arial"/>
                <w:sz w:val="14"/>
                <w:szCs w:val="14"/>
                <w:b w:val="1"/>
                <w:bCs w:val="1"/>
                <w:color w:val="auto"/>
                <w:w w:val="90"/>
              </w:rPr>
              <w:t>Revenues</w:t>
            </w: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90"/>
              </w:rPr>
              <w:t>Revenues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4"/>
          </w:tcPr>
          <w:p>
            <w:pPr>
              <w:jc w:val="center"/>
              <w:ind w:left="380"/>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65,433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124,815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117,118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40" w:type="dxa"/>
            <w:vAlign w:val="bottom"/>
            <w:gridSpan w:val="2"/>
          </w:tcPr>
          <w:p>
            <w:pPr>
              <w:ind w:left="40"/>
              <w:spacing w:after="0"/>
              <w:rPr>
                <w:sz w:val="20"/>
                <w:szCs w:val="20"/>
                <w:color w:val="auto"/>
              </w:rPr>
            </w:pPr>
            <w:r>
              <w:rPr>
                <w:rFonts w:ascii="Arial" w:cs="Arial" w:eastAsia="Arial" w:hAnsi="Arial"/>
                <w:sz w:val="18"/>
                <w:szCs w:val="18"/>
                <w:color w:val="auto"/>
                <w:w w:val="96"/>
              </w:rPr>
              <w:t>Segment operating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(14,090)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(28,259)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50,949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97,012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88,859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left="598"/>
              <w:spacing w:after="0"/>
              <w:rPr>
                <w:sz w:val="20"/>
                <w:szCs w:val="20"/>
                <w:color w:val="auto"/>
              </w:rPr>
            </w:pPr>
            <w:r>
              <w:rPr>
                <w:rFonts w:ascii="Arial" w:cs="Arial" w:eastAsia="Arial" w:hAnsi="Arial"/>
                <w:sz w:val="18"/>
                <w:szCs w:val="18"/>
                <w:color w:val="auto"/>
                <w:w w:val="89"/>
              </w:rPr>
              <w:t>21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Quarter Ended</w:t>
            </w:r>
          </w:p>
        </w:tc>
        <w:tc>
          <w:tcPr>
            <w:tcW w:w="22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4"/>
                <w:szCs w:val="14"/>
                <w:color w:val="auto"/>
              </w:rPr>
            </w:pPr>
          </w:p>
        </w:tc>
        <w:tc>
          <w:tcPr>
            <w:tcW w:w="21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Percentage of</w:t>
            </w:r>
          </w:p>
        </w:tc>
      </w:tr>
      <w:tr>
        <w:trPr>
          <w:trHeight w:val="192"/>
        </w:trPr>
        <w:tc>
          <w:tcPr>
            <w:tcW w:w="2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4"/>
                <w:szCs w:val="14"/>
                <w:b w:val="1"/>
                <w:bCs w:val="1"/>
                <w:color w:val="auto"/>
                <w:w w:val="87"/>
              </w:rPr>
              <w:t>Revenues</w:t>
            </w:r>
          </w:p>
        </w:tc>
        <w:tc>
          <w:tcPr>
            <w:tcW w:w="700" w:type="dxa"/>
            <w:vAlign w:val="bottom"/>
            <w:tcBorders>
              <w:bottom w:val="single" w:sz="8" w:color="auto"/>
            </w:tcBorders>
          </w:tcPr>
          <w:p>
            <w:pPr>
              <w:spacing w:after="0"/>
              <w:rPr>
                <w:sz w:val="16"/>
                <w:szCs w:val="16"/>
                <w:color w:val="auto"/>
              </w:rPr>
            </w:pPr>
          </w:p>
        </w:tc>
      </w:tr>
      <w:tr>
        <w:trPr>
          <w:trHeight w:val="264"/>
        </w:trPr>
        <w:tc>
          <w:tcPr>
            <w:tcW w:w="2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50"/>
        </w:trPr>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6"/>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28,608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23,645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54,061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47,578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w w:val="95"/>
              </w:rPr>
              <w:t>Segment operating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(27,120)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(60,237)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(52,414)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quarter over quarter $1.5 million increase in operating income was attributable to a $21.6 million increase in segment revenues, and a $0.2 million decrease in amortization cost, partially offset by a $15.9 million increase in segment operating expenses, a $3.3 million increase in corporate expenses, and a $1.1 million increase in share-based compensation cost.</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the segment level, the quarter over quarter $2.4 million increase in segment operating income was the result of a $3.9 million increase in our Scores segment operating income, a $0.9 million increase in our Applications segment operating income, and a $0.9 million decrease in our Decision Management Software segment operating loss, partially offset by a $3.3 million increase in corporate expense.</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quarter over quarter $0.9 million increase in Applications segment operating income was due to a $12.4 million increase in segment revenues, partially offset by an $11.5 million increase in segment operating expenses. Segment operating income as a percentage of segment revenue for Applications was decreased to 26% from 28% primarily due to our expanded investment in product and services delivery, support and infrastructure operations, partially offset by an increase in sales of our higher-margin software products.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quarter over quarter $3.9 million increase in Scores segment operating income was due to a $4.3 million increase in segment revenue, partially offset by a $0.4 million increase in segment operating expenses. Segment operating income as a percentage of segment revenue for Scores was 78%, materially consistent with the quarter ended March 31, 2016.</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quarter over quarter $0.9 million decrease in Decision Management Software segment operating loss was due to a $4.9 million increase in segment revenue, partially offset by a $4.0 million increase in segment operating expenses. Segment operating margin for Decision Management Software improved to a negative 9% from a negative 15% primarily due to an increase in sales of our higher-margin software products, partially offset by our continued investment in sales distribution, an increase in services delivery cost driven by increased professional services revenue, as well as our expanded investment in cloud infrastructure operations.</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year-to-date period over period increase of $5.6 million in operating income was attributable to a $41.2 million increase in segment revenues and a $0.4 million decrease in amortization cost, partially offset by a $31.2 million increase in segment operating expenses, a $3.9 million increase in corporate expenses, and a $0.9 million increase in share-based compensation cost.</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the segment level, the year-to-date period over period increase of $6.1 million in segment operating income was the result of an $8.1 million increase in our Scores segment operating income and a $3.2 million increase in our Applications segment operating income, partially offset by a $3.9 million increase in corporate expenses and a $1.3 million increase in our Decision Management Software segment operating loss.</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year-to-date period over period $3.2 million increase in Applications segment operating income was due to a $27.0 million increase in segment revenue, partially offset by a $23.8 million increase in segment operating expenses. Segment operating income as a percentage of segment revenue for Applications decreased to 26% from 28% primarily due to our expanded investment in product and services delivery, support and infrastructure operations, partially offset by an increase in sales of our higher-margin software products.</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year-to-date period over period $8.1 million increase in Scores segment operating income was attributable to a $7.7 million increase in segment revenues and a $0.4 million decrease in segment operating expenses. Segment operating income as a percentage of segment revenue for Scores increased to 78% from 76% mainly due to an increase in sales of our higher-margin score products and a decrease in sales related expenses.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year-to-date period over period $1.3 million increase in Decision Management Software segment operating loss was attributable to a $7.8 million increase in segment operating expenses, partially offset by a $6.5 million increase in segment revenue. Segment operating loss as a percentage of segment revenue for Decision Management Software was a negative 11%, materially consistent with the six months ended March 31, 2016.</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March 31, 2017, we had $115.8 million in cash and cash equivalents, which included $101.6 million held off-shore by our foreign subsidiaries. We believe these balances, as well as available borrowings from our $400 million revolving line of credit and anticipated cash flows from operating activities, will be sufficient to fund our working and other capital requirements as well as the $72.0 million principal payment due in July 2017 on our senior notes issued in July 2010. Additionally, we do not anticipate the need to repatriate any undistributed earnings from our foreign subsidiaries for the foreseeable future.</w:t>
      </w:r>
    </w:p>
    <w:p>
      <w:pPr>
        <w:spacing w:after="0" w:line="1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3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Six Months Ended March 31,</w:t>
            </w:r>
          </w:p>
        </w:tc>
        <w:tc>
          <w:tcPr>
            <w:tcW w:w="280" w:type="dxa"/>
            <w:vAlign w:val="bottom"/>
          </w:tcPr>
          <w:p>
            <w:pPr>
              <w:spacing w:after="0"/>
              <w:rPr>
                <w:sz w:val="16"/>
                <w:szCs w:val="16"/>
                <w:color w:val="auto"/>
              </w:rPr>
            </w:pPr>
          </w:p>
        </w:tc>
        <w:tc>
          <w:tcPr>
            <w:tcW w:w="13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6"/>
              </w:rPr>
              <w:t>Period-to-Period</w:t>
            </w:r>
          </w:p>
        </w:tc>
        <w:tc>
          <w:tcPr>
            <w:tcW w:w="0" w:type="dxa"/>
            <w:vAlign w:val="bottom"/>
          </w:tcPr>
          <w:p>
            <w:pPr>
              <w:spacing w:after="0"/>
              <w:rPr>
                <w:sz w:val="1"/>
                <w:szCs w:val="1"/>
                <w:color w:val="auto"/>
              </w:rPr>
            </w:pPr>
          </w:p>
        </w:tc>
      </w:tr>
      <w:tr>
        <w:trPr>
          <w:trHeight w:val="71"/>
        </w:trPr>
        <w:tc>
          <w:tcPr>
            <w:tcW w:w="6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(In thousands)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99,397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92,334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(85,759)</w:t>
            </w: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37,074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486</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39,922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40,668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primary method for funding operations and growth has been through cash flows generated from operating activities. Net cash provided by operating activities increased to $99.4 million during the six months ended March 31, 2017 from $92.3 million during the six months ended March 31, 2016. The $7.1 million increase was mainly attributable to an $18.9 million increase in net income, partially offset by the $13.5 million excess tax benefits related to share-based payments that was recorded as an increase to additional paid-in capital in the prior year but was recorded as a reduction of income tax expense in the current year upon our early adoption of ASU 2016-09 effective October 1, 2016.</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cash used in investing activities increased to $9.6 million for six months ended March 31, 2017 from $7.8 million for the six months ended March 31, 2016. The $1.8 million increase was attributable to an increase in net cash used in purchases of property and equipment.</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cash used in financing activities decreased to $48.7 million for the six months ended March 31, 2017 from $85.8 million for the six months ended March 31, 2016. The $37.1 million decrease was due to a $52.0 million increase in proceeds, net of payments, from our revolving line of credit, and a $2.4 million increase in proceeds from stock options exercise, partially offset by an $11.0 million increase in taxes paid related to net share settlement of equity awards, and a $6.3 million increase in repurchases of common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July 2016,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 Pursuant to this program, we repurchased 348,164 shares of our common stock at a total repurchase price of $44.2 million and 606,340 shares of our common stock at a total repurchase price of $74.6 million during the quarter and six months ended March 31, 2017, respectively. We had $155.4 million remaining under the July 2016 authorization as of March 31,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quarter ended March 31, 2017, we paid a quarterly dividend of $0.02 per common share. Our dividend rate is set by the Board of Directors on a quarterly basis taking into account a variety of factors, including among others, our operating results and cash flows, general economic and industry conditions, our obligations, changes in applicable tax laws and other factors deemed relevant by the Board. Although we expect to continue to pay dividends at the current rate, our dividend rate is subject to change from time to time based on the Board’s business judgment with respect to these and other relevant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w:t>
      </w:r>
    </w:p>
    <w:p>
      <w:pPr>
        <w:spacing w:after="0" w:line="12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December 30, 2019.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w:t>
      </w:r>
    </w:p>
    <w:p>
      <w:pPr>
        <w:jc w:val="both"/>
        <w:ind w:firstLine="8"/>
        <w:spacing w:after="0" w:line="252" w:lineRule="auto"/>
        <w:tabs>
          <w:tab w:leader="none" w:pos="2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minimum fixed charge ratio of 2.5 and a maximum consolidated leverage ratio of 3.0, subject to a step up to 3.5 following certain permitted acquisitions. The credit agreement also contains other covenants typical of unsecured facilities. As of March 31, 2017, we had $310.0 million in borrowings outstanding at a weighted average interest rate of 2.326% and were in compliance with all financial covenants under this credit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May 7, 2008, we issued $275 million of senior notes in a private placement to a group of institutional investors (the “2008 Senior Notes”). The 2008 Senior Notes were issued in four series with maturities ranging from 5 to 10 years. The outstanding 2008 Senior Notes’ weighted average interest rate is 7.2% and the weighted average maturity is 10.0 years. On July 14, 2010, we issued $245 million of senior notes in a private placement to a group of institutional investors (the “2010 Senior Notes” and, with the 2008 Senior Notes, the “Senior Notes”). The 2010 Senior Notes were issued in four series with maturities ranging from 6 to 10 years. The 2010 Senior Notes’ weighted average interest rate is 5.4% and the weighted average maturity is 8.7 years. The Senior Notes are subject to certain restrictive covenants that are substantially similar to those in the credit agreement for the revolving credit facility, including maintenance of consolidated leverage and fixed charge coverage ratios. The purchase agreements for the Senior Notes also include covenants typical of unsecured facilities. As of March 31, 2017, the carrying value of the Senior Notes was $315.7 million and we were in compliance with all financial covenants under these facilities.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1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Software Licenses</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Software license fee revenue is recognized when persuasive evidence of an arrangement exists, software is made available to our customers, the fee is fixed or determinable and collection is probable. The determination of whether fees are fixed or determinable and collection is probable involves the use of assumptions. If at the outset of an arrangement we determine that the arrangement fee is not fixed or determinable, revenue is deferred until the arrangement fee becomes fixed or determinable, assuming all other revenue recognition criteria have been met. If at the outset of an arrangement we determine that collectability is not probable, revenue is deferred until the earlier of when collectability becomes probable or the receipt of payment. If there is uncertainty as to the customer’s acceptance of our deliverables, revenue is not recognized until the earlier of receipt of customer acceptance, expiration of the acceptance period, or when we can demonstrate we meet the acceptance criteria. We evaluate contract terms and customer information to ensure that these criteria are met prior to our recognition of license fee revenue.</w:t>
      </w:r>
    </w:p>
    <w:p>
      <w:pPr>
        <w:spacing w:after="0" w:line="1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use the residual method to recognize revenue when a software arrangement includes one or more elements to be delivered at a future date provided the following criteria are met: (i) vendor-specific objective evidence (“VSOE”) of the fair value does not exist for one or more of the delivered items but exists for all undelivered elements, (ii) all other applicable revenue recognition criteria are met and (iii) the fair value of all of the undelivered elements is less than the arrangement fee. VSOE of fair value is based on the normal pricing practices for those products and services when sold separately by us and customer renewal rates for post-contract customer support services. Under the residual method, the fair value of the undelivered elements is deferred and the remaining portion of the arrangement fee is recognized as revenue. If evidence of the fair value of one or more undelivered elements does not exist, the revenue is deferred and recognized when delivery of those elements occurs or when fair value can be established. Changes to the elements in a software arrangement, the ability to identify VSOE for those elements, the fair value of the respective elements, and change to a product’s estimated life cycle could materially impact the amount of earned and unearned revenue.</w:t>
      </w:r>
    </w:p>
    <w:p>
      <w:pPr>
        <w:spacing w:after="0" w:line="18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Revenues from post-contract customer support services, such as software maintenance, are recognized on a straight-line basis over the term of the support period. The majority of our software maintenance agreements provide technical support as well as unspecified software product upgrades and releases when and if made available by us during the term of the support period.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Transactional-Based Revenues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Transactional-based revenue is recognized when persuasive evidence of an arrangement exists, fees are fixed or determinable, and collection is probable. Revenues from our credit scoring, data processing, data management and internet delivery services are recognized as these services are performed. Revenues from transactional or unit-based license fees under software license arrangements, network service and internally-hosted software agreements are recognized based on minimum contractual amounts or on system usage that exceeds minimum contractual amounts. Certain of our transactional-based revenues are based on transaction or active account volumes as reported by our clients. In instances where volumes are reported to us in arrears, we estimate volumes based on preliminary customer transaction information or average actual reported volumes for an immediate trailing period. Differences between our estimates and actual final volumes reported are recorded in the period in which actual volumes are reported. We have not experienced significant variances between our estimates and actual reported volumes in the past and anticipate that we will be able to continue to make reasonable estimates in the future. If for some reason we were unable to reasonably estimate transaction volumes in the future, revenue may be deferred until actual customer data is received, and this could have a material impact on our consolidated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Consulting Services</w:t>
      </w:r>
    </w:p>
    <w:p>
      <w:pPr>
        <w:spacing w:after="0" w:line="11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provide consulting, training, model development and software integration services under both hourly-based time and materials and fixed-priced contracts. Revenues from these services are generally recognized as the services are performed. For fixed-price service contracts, we use a proportionate performance model with hours as the input method of attribution to determine progress towards completion, with consideration also given to output measures, such as contract milestones, when applicable. In such instances, management is required to estimate the total estimated hours of the project. Adjustments to estimates are made in the period in which the facts requiring such revisions become known and, accordingly, recognized revenues and profits are subject to revisions as the contract progresses to completion. Estimated losses, if any, are recorded in the period in which current estimates of total contract revenue and contract costs indicate a loss. If substantive uncertainty related to customer acceptance of services exists, we defer the associated revenue until the contract is completed. We have not experienced significant variances between our estimates and actual hours in the past and anticipate that we will be able to continue to make reasonable estimates in the future. If for some reason we are unable to accurately estimate the input measures, revenue would be deferred until the contract is complete, and this could have a material impact on our consolidated results of operations.</w:t>
      </w:r>
    </w:p>
    <w:p>
      <w:pPr>
        <w:spacing w:after="0" w:line="16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Services that are sold in connection with software license arrangements generally qualify for separate accounting from the license element because they do not involve significant production, modification or customization of our products and are not otherwise considered to be essential to the functionality of our software. In arrangements where the professional services do not qualify for separate accounting from the license element, the combined software license and professional services revenue are recognized based on contract accounting using either the percentage-of-completion or completed-contract method.</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Hosting Services</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are an application service provider (“ASP”), where we provide hosting services that allow customers access to software that resides on our servers. The ASP model typically includes an up-front fee and a monthly commitment from the customer that commences upon completion of the implementation through the remainder of the customer life. The up-front fee is the initial setup fee, or the implementation fee. The monthly commitment includes, but is not limited to, a fixed monthly fee or a transactional fee based on system usage that exceeds monthly minimums. Revenue is recognized from ASP transactions when there is persuasive evidence of an arrangement, the service has been provided to the customer, the amount of fees is fixed or determinable and the collection of our fees is probable. We do not view the activities of signing the contract or providing initial setup services as discrete earnings events. Revenue is typically deferred until the date the customer commences use of our services, at which point the up-front fees are recognized ratably over the expected life of the customer relationship. ASP transactional fees are recorded monthly as earned.</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Multiple-Deliverable Arrangements including Non-Software</w:t>
      </w:r>
    </w:p>
    <w:p>
      <w:pPr>
        <w:spacing w:after="0" w:line="11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When we enter into a multiple-deliverable arrangement that includes non-software, each deliverable is accounted for as a separate unit of accounting if the following criteria are met: (i) the delivered item or items have value to the customer on a standalone basis and (ii) for an arrangement that includes a general right of return relative to the delivered item(s), delivery or performance of the undelivered item(s) is considered probable and substantially in our control. We consider a deliverable to have standalone value if we sell this item separately or if the item is sold by another vendor or could be resold by the customer; for example, we conclude professional services offered along with our SaaS subscription services typically have standalone value using this criteria. Further, our revenue arrangements generally do not include a general right of return relative to delivered products. Revenue for multiple element arrangements is allocated to the software and non-software deliverables based on a relative selling price. We use VSOE in our allocation of arrangement consideration when it is available. We define VSOE as a median price of recent standalone transactions that are priced within a narrow range, as defined by us. If a product or service is seldom sold separately, it is unlikely that we can determine VSOE. In circumstances when VSOE does not exist, we then assess whether we can obtain third-party evidence (“TPE”) of the selling price. It may be difficult for us to obtain sufficient information on competitor pricing to substantiate TPE and therefore we may not always be able to use TPE. When we are unable to establish selling price using VSOE or TPE, we use estimated selling price (“ESP”) in our allocation of arrangement consideration. The objective of ESP is to determine the price at which we would transact if the product or service were sold by us on a standalone basis. Our determination of ESP involves weighting several factors based on the specific facts and circumstances of each arrangement. The factors include, but are not limited to, geographies, market conditions, gross margin objectives, pricing practices and controls, customer segment pricing strategies and the product lifecycle. Historically, there have been no significant changes in our ESP used in allocation of arrangement consideration. We do not believe there is a reasonable likelihood there will be a material change in the future estimates.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vs. Net Revenue Reporting</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apply accounting guidance to determine whether we report revenue for certain transactions based upon the gross amount billed to the customer, or the net amount retained by us. In accordance with the guidance we record revenue on a gross basis for sales in which we have acted as the principal and on a net basis for those sales in which we have in substance acted as an agent or broker in the transaction.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and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condensed consolidated statements of income and comprehensive income.</w:t>
      </w:r>
    </w:p>
    <w:p>
      <w:pPr>
        <w:spacing w:after="0" w:line="16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17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w:t>
      </w:r>
    </w:p>
    <w:p>
      <w:pPr>
        <w:jc w:val="both"/>
        <w:ind w:firstLine="8"/>
        <w:spacing w:after="0" w:line="253" w:lineRule="auto"/>
        <w:tabs>
          <w:tab w:leader="none" w:pos="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9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condensed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Acquisition Intangibles and Other Long-Lived Assets - Impairment Assessment</w:t>
      </w:r>
    </w:p>
    <w:p>
      <w:pPr>
        <w:spacing w:after="0" w:line="135"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7"/>
          <w:szCs w:val="17"/>
          <w:color w:val="auto"/>
        </w:rPr>
        <w:t>Goodwill represents the excess of cost over the fair value of identifiable assets acquired and liabilities assumed in business combinations. We assess goodwill for impairment for each of our reporting units on an annual basis during the fourth quarter using a July 1 measurement date unless circumstances require a more frequent measurement. 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the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Using assumptions that are different from those used in our estimates, but in each case reasonable, could produce significantly different results and materially affect the determination of fair value and/or goodwill impairment for each reporting unit. For example, if the economic environment impacts our forecasts beyond what we have anticipated, it could cause the fair value of a reporting unit to fall below its respective carrying value.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For fiscal 2016 and 2015,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in fiscal 2016 or 2015. For fiscal 2014, we elected to proceed directly to the step one quantitative analysis rather than perform the step zero qualitative assessment. There was a substantial excess of fair value over carrying value for each of our reporting units and we determined goodwill was not impaired for any of our reporting units.</w:t>
      </w:r>
    </w:p>
    <w:p>
      <w:pPr>
        <w:spacing w:after="0" w:line="119"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w:t>
      </w:r>
    </w:p>
    <w:p>
      <w:pPr>
        <w:spacing w:after="0" w:line="11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measure stock-based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a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 See Note 10 to the accompanying condensed consolidated financial statements for further discussion of our share-based employee benefit plans.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condensed consolidated balance sheet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likely, we establish a valuation allowance. When we establish a valuation allowance or increase this allowance in an accounting period, we record a corresponding income tax expense in our condensed consolidated statements of income and comprehensive income. In assessing the need for the valuation allowance, we consider future taxable income in the jurisdictions we operate;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 We have historically had minimal changes in our valuation allowances related to deferred tax assets, as described in Note 9 to the accompanying condensed consolidated financial statements.</w:t>
      </w:r>
    </w:p>
    <w:p>
      <w:pPr>
        <w:spacing w:after="0" w:line="17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 Historically, settlements related to our unrecognized tax benefits have been minimal, as described in Note 9 to the accompanying consolidated financial statements.</w:t>
      </w:r>
    </w:p>
    <w:p>
      <w:pPr>
        <w:spacing w:after="0" w:line="1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shareholder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Effective October 1, 2016, we early adopted ASU No. 2016-09, “</w:t>
      </w:r>
      <w:r>
        <w:rPr>
          <w:rFonts w:ascii="Arial" w:cs="Arial" w:eastAsia="Arial" w:hAnsi="Arial"/>
          <w:sz w:val="16"/>
          <w:szCs w:val="16"/>
          <w:i w:val="1"/>
          <w:iCs w:val="1"/>
          <w:color w:val="auto"/>
        </w:rPr>
        <w:t>Compensation - Stock Compensation (Topic 718): Improvements to Employee Share-Based Payment Accounting</w:t>
      </w:r>
      <w:r>
        <w:rPr>
          <w:rFonts w:ascii="Arial" w:cs="Arial" w:eastAsia="Arial" w:hAnsi="Arial"/>
          <w:sz w:val="16"/>
          <w:szCs w:val="16"/>
          <w:color w:val="auto"/>
        </w:rPr>
        <w:t>” (“ASU 2016-09”). ASU 2016-09 simplifies several aspects of the accounting for share-based payment transactions,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consequences, classification of awards as either equity or liabilities, and classification on the statement of cash flows. As a result of the adoption, we recognized $3.6 million and $20.9 million of excess tax benefits related to share-based payments in our provision for income taxes for the quarter and six months ended March 31, 2017, respectively. These items were historically recorded as additional paid-in capital. We elected to apply the change retrospectively in presentation to our condensed consolidated statements of cash flows and no longer classified the excess tax benefits from employee stock plans as a reduction from operating cash flows, which resulted in increases to both net cash provided by operating activities and net cash used in financing activities of $14.0 million for the six months ended March 31, 2016. Our adoption of ASU 2016-09 also impacted the calculation of diluted weighted-average shares under the treasury stock method as we no longer increase or decrease the assumed proceeds from an employee vesting in, or exercising, a share-based payment award by the amount of excess tax benefits or deficiencies taken to additional paid-in capital. For the quarter and six months ended March 31, 2017, the impact was immaterial. Given our historical practice of including employee withholding taxes paid within financing activities in the statement of cash flows, no prior period reclassifications are required by the clarifications on classification provided by ASU 2016-09. Furthermore, we elected to continue to estimate expected forfeitures of employee equity awards to determine the amount of compensation expense to be recognized in each period.</w:t>
      </w:r>
    </w:p>
    <w:p>
      <w:pPr>
        <w:spacing w:after="0" w:line="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October 1, 2016, we retrospectively adopted ASU No. 2015-03, “</w:t>
      </w:r>
      <w:r>
        <w:rPr>
          <w:rFonts w:ascii="Arial" w:cs="Arial" w:eastAsia="Arial" w:hAnsi="Arial"/>
          <w:sz w:val="18"/>
          <w:szCs w:val="18"/>
          <w:i w:val="1"/>
          <w:iCs w:val="1"/>
          <w:color w:val="auto"/>
        </w:rPr>
        <w:t>Simplifying the Presentation of Debt Issuance</w:t>
      </w:r>
      <w:r>
        <w:rPr>
          <w:rFonts w:ascii="Arial" w:cs="Arial" w:eastAsia="Arial" w:hAnsi="Arial"/>
          <w:sz w:val="18"/>
          <w:szCs w:val="18"/>
          <w:color w:val="auto"/>
        </w:rPr>
        <w:t>” (“ASU 2015-03”). ASU 2015-03 requires an entity to present debt issuance costs related to a recognized debt liability, other than those relating to line-of-credit arrangements, in the balance sheet as a direct deduction from the related debt liability rather than as an asset. As a result of the adoption, at March 31, 2017, the amount of debt issuance costs reflected as a deduction of long-term debt was $0.3 million. At September 30, 2016, the amount of debt issuance costs reclassified from other assets to a deduction of long-term debt was $0.4 million.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In May 2014, the Financial Accounting Standards Board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w:t>
      </w:r>
      <w:r>
        <w:rPr>
          <w:rFonts w:ascii="Arial" w:cs="Arial" w:eastAsia="Arial" w:hAnsi="Arial"/>
          <w:sz w:val="16"/>
          <w:szCs w:val="16"/>
          <w:i w:val="1"/>
          <w:iCs w:val="1"/>
          <w:color w:val="auto"/>
        </w:rPr>
        <w:t>Deferral of the Effective Date</w:t>
      </w:r>
      <w:r>
        <w:rPr>
          <w:rFonts w:ascii="Arial" w:cs="Arial" w:eastAsia="Arial" w:hAnsi="Arial"/>
          <w:sz w:val="16"/>
          <w:szCs w:val="16"/>
          <w:color w:val="auto"/>
        </w:rPr>
        <w:t>”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our fiscal year beginning October 1, 2018. Early adoption is permitted to the original effective date of December 15, 2016 (including interim reporting periods within those periods). In March 2016, the FASB issued ASU No. 2016-08, “</w:t>
      </w:r>
      <w:r>
        <w:rPr>
          <w:rFonts w:ascii="Arial" w:cs="Arial" w:eastAsia="Arial" w:hAnsi="Arial"/>
          <w:sz w:val="16"/>
          <w:szCs w:val="16"/>
          <w:i w:val="1"/>
          <w:iCs w:val="1"/>
          <w:color w:val="auto"/>
        </w:rPr>
        <w:t>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versus Net)</w:t>
      </w:r>
      <w:r>
        <w:rPr>
          <w:rFonts w:ascii="Arial" w:cs="Arial" w:eastAsia="Arial" w:hAnsi="Arial"/>
          <w:sz w:val="16"/>
          <w:szCs w:val="16"/>
          <w:color w:val="auto"/>
        </w:rPr>
        <w:t>” (“ASU 2016-08”), which clarifies the implementation guidance on principal versus agent considerations in the new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standard. In April 2016, the FASB issued ASU No. 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(“ASU 2016-10”), which reduces the complexity when applying the guidance for identifying performance obligations and improves the operability and understandability of the license implementation guidance. In May 2016, the FASB issued ASU No. 2016-12 “</w:t>
      </w:r>
      <w:r>
        <w:rPr>
          <w:rFonts w:ascii="Arial" w:cs="Arial" w:eastAsia="Arial" w:hAnsi="Arial"/>
          <w:sz w:val="16"/>
          <w:szCs w:val="16"/>
          <w:i w:val="1"/>
          <w:iCs w:val="1"/>
          <w:color w:val="auto"/>
        </w:rPr>
        <w:t>Narrow-Scope Improvements and Practical Expedients</w:t>
      </w:r>
      <w:r>
        <w:rPr>
          <w:rFonts w:ascii="Arial" w:cs="Arial" w:eastAsia="Arial" w:hAnsi="Arial"/>
          <w:sz w:val="16"/>
          <w:szCs w:val="16"/>
          <w:color w:val="auto"/>
        </w:rPr>
        <w:t>” (“ASU 2016-12”), which amends the guidance on transition, collectability, noncash consideration and the presentation of sales and other similar taxes. In December 2016, the FASB further issued ASU 2016-20, “</w:t>
      </w:r>
      <w:r>
        <w:rPr>
          <w:rFonts w:ascii="Arial" w:cs="Arial" w:eastAsia="Arial" w:hAnsi="Arial"/>
          <w:sz w:val="16"/>
          <w:szCs w:val="16"/>
          <w:i w:val="1"/>
          <w:iCs w:val="1"/>
          <w:color w:val="auto"/>
        </w:rPr>
        <w:t>Technical Corrections and Improvements to Topic 606, Revenue from Contracts with Customers</w:t>
      </w:r>
      <w:r>
        <w:rPr>
          <w:rFonts w:ascii="Arial" w:cs="Arial" w:eastAsia="Arial" w:hAnsi="Arial"/>
          <w:sz w:val="16"/>
          <w:szCs w:val="16"/>
          <w:color w:val="auto"/>
        </w:rPr>
        <w:t>”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issues that were raised by stakeholders and provide additional practical expedients to reduce the cost and complexity of applying the new revenue standard. These amendments have the same effective date as the new revenue standard. Preliminarily, we plan to adopt Topic 606 in the first quarter of our fiscal 2019 using the retrospective transition method, and are continuing to evaluate the impact our pending adoption of Topic 606 will have on our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In October 2016, the FASB issued ASU No.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(“ASU 2016-16”). ASU 2016-16 requires an entity to recognize the income tax consequences of an intra-entity transfer of an asset other than inventory when the transfer occurs. The guidance is effective for fiscal years and interim periods beginning after December 15, 2017, which means it will be effective for our fiscal year beginning October 1, 2018. ASU 2016-16 should be applied on a modified retrospective basis through a cumulative-effect adjustment directly to retained earnings at the beginning of the period of adoption. Early adoption is permitted in the first interim period of an entity's annual financial statements. We are currently evaluating the timing of our adoption and the impact that the updated standard will have on our consolidated financial statements.</w:t>
      </w:r>
    </w:p>
    <w:p>
      <w:pPr>
        <w:spacing w:after="0" w:line="11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which requires lessees to put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ASU 2016-02 is effective for fiscal years and interim periods within those fiscal years beginning after December 15, 2018, which means it will be effective for our fiscal year beginning October 1, 2019. Early adoption is permitted. We are currently evaluating the timing of our adoption and the impact that the updated standard will have on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March 31, 2017 and September 30, 2016: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March 31, 2017</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w w:val="93"/>
              </w:rPr>
              <w:t>September 30, 2016</w:t>
            </w:r>
          </w:p>
        </w:tc>
        <w:tc>
          <w:tcPr>
            <w:tcW w:w="1380" w:type="dxa"/>
            <w:vAlign w:val="bottom"/>
            <w:tcBorders>
              <w:bottom w:val="single" w:sz="8" w:color="auto"/>
            </w:tcBorders>
          </w:tcPr>
          <w:p>
            <w:pPr>
              <w:spacing w:after="0"/>
              <w:rPr>
                <w:sz w:val="16"/>
                <w:szCs w:val="16"/>
                <w:color w:val="auto"/>
              </w:rPr>
            </w:pPr>
          </w:p>
        </w:tc>
      </w:tr>
      <w:tr>
        <w:trPr>
          <w:trHeight w:val="152"/>
        </w:trPr>
        <w:tc>
          <w:tcPr>
            <w:tcW w:w="1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3"/>
                <w:szCs w:val="13"/>
                <w:color w:val="auto"/>
              </w:rPr>
            </w:pPr>
          </w:p>
        </w:tc>
        <w:tc>
          <w:tcPr>
            <w:tcW w:w="1500" w:type="dxa"/>
            <w:vAlign w:val="bottom"/>
          </w:tcPr>
          <w:p>
            <w:pPr>
              <w:jc w:val="center"/>
              <w:ind w:right="384"/>
              <w:spacing w:after="0" w:line="153" w:lineRule="exact"/>
              <w:rPr>
                <w:sz w:val="20"/>
                <w:szCs w:val="20"/>
                <w:color w:val="auto"/>
              </w:rPr>
            </w:pPr>
            <w:r>
              <w:rPr>
                <w:rFonts w:ascii="Arial" w:cs="Arial" w:eastAsia="Arial" w:hAnsi="Arial"/>
                <w:sz w:val="14"/>
                <w:szCs w:val="14"/>
                <w:b w:val="1"/>
                <w:bCs w:val="1"/>
                <w:color w:val="auto"/>
                <w:w w:val="97"/>
              </w:rPr>
              <w:t>Carrying</w:t>
            </w:r>
          </w:p>
        </w:tc>
        <w:tc>
          <w:tcPr>
            <w:tcW w:w="1840" w:type="dxa"/>
            <w:vAlign w:val="bottom"/>
            <w:gridSpan w:val="3"/>
          </w:tcPr>
          <w:p>
            <w:pPr>
              <w:jc w:val="center"/>
              <w:ind w:right="62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3"/>
                <w:szCs w:val="13"/>
                <w:color w:val="auto"/>
              </w:rPr>
            </w:pPr>
          </w:p>
        </w:tc>
        <w:tc>
          <w:tcPr>
            <w:tcW w:w="1580" w:type="dxa"/>
            <w:vAlign w:val="bottom"/>
          </w:tcPr>
          <w:p>
            <w:pPr>
              <w:jc w:val="center"/>
              <w:ind w:right="344"/>
              <w:spacing w:after="0" w:line="153" w:lineRule="exact"/>
              <w:rPr>
                <w:sz w:val="20"/>
                <w:szCs w:val="20"/>
                <w:color w:val="auto"/>
              </w:rPr>
            </w:pPr>
            <w:r>
              <w:rPr>
                <w:rFonts w:ascii="Arial" w:cs="Arial" w:eastAsia="Arial" w:hAnsi="Arial"/>
                <w:sz w:val="14"/>
                <w:szCs w:val="14"/>
                <w:b w:val="1"/>
                <w:bCs w:val="1"/>
                <w:color w:val="auto"/>
                <w:w w:val="97"/>
              </w:rPr>
              <w:t>Carrying</w:t>
            </w:r>
          </w:p>
        </w:tc>
        <w:tc>
          <w:tcPr>
            <w:tcW w:w="138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0"/>
              </w:rPr>
              <w:t>Average</w:t>
            </w:r>
          </w:p>
        </w:tc>
      </w:tr>
      <w:tr>
        <w:trPr>
          <w:trHeight w:val="192"/>
        </w:trPr>
        <w:tc>
          <w:tcPr>
            <w:tcW w:w="1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404"/>
              <w:spacing w:after="0"/>
              <w:rPr>
                <w:sz w:val="20"/>
                <w:szCs w:val="20"/>
                <w:color w:val="auto"/>
              </w:rPr>
            </w:pPr>
            <w:r>
              <w:rPr>
                <w:rFonts w:ascii="Arial" w:cs="Arial" w:eastAsia="Arial" w:hAnsi="Arial"/>
                <w:sz w:val="14"/>
                <w:szCs w:val="14"/>
                <w:b w:val="1"/>
                <w:bCs w:val="1"/>
                <w:color w:val="auto"/>
                <w:w w:val="94"/>
              </w:rPr>
              <w:t>Amount</w:t>
            </w:r>
          </w:p>
        </w:tc>
        <w:tc>
          <w:tcPr>
            <w:tcW w:w="184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5"/>
              </w:rPr>
              <w:t>Yield</w:t>
            </w: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Amount</w:t>
            </w:r>
          </w:p>
        </w:tc>
        <w:tc>
          <w:tcPr>
            <w:tcW w:w="13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Yield</w:t>
            </w:r>
          </w:p>
        </w:tc>
      </w:tr>
      <w:tr>
        <w:trPr>
          <w:trHeight w:val="196"/>
        </w:trPr>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980" w:type="dxa"/>
            <w:vAlign w:val="bottom"/>
            <w:gridSpan w:val="4"/>
          </w:tcPr>
          <w:p>
            <w:pPr>
              <w:jc w:val="right"/>
              <w:ind w:right="762"/>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5"/>
        </w:trPr>
        <w:tc>
          <w:tcPr>
            <w:tcW w:w="1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1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115,848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115,848</w:t>
            </w:r>
          </w:p>
        </w:tc>
        <w:tc>
          <w:tcPr>
            <w:tcW w:w="1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0.19%  $</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75,926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75,926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7"/>
        </w:trPr>
        <w:tc>
          <w:tcPr>
            <w:tcW w:w="1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May 7, 2008, we issued $275 million of senior notes to a group of institutional investors in a private placement (the “2008 Senior Notes”). On July 14, 2010 we issued an additional $245 million of senior notes to a group of institutional investors in a private placement (the “2010 Senior Notes” and, with the 2008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carrying amounts and fair values for the Senior Notes at March 31, 2017 and September 30, 2016: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4"/>
              </w:rPr>
              <w:t>March 31, 2017</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Amounts</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2008 Senior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131,000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136,675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139,902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The 2010 Senior Notes</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185,000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191,669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195,715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57"/>
        </w:trPr>
        <w:tc>
          <w:tcPr>
            <w:tcW w:w="516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315,720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328,064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315,624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335,241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December 30, 2019.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w:t>
      </w:r>
    </w:p>
    <w:p>
      <w:pPr>
        <w:jc w:val="both"/>
        <w:ind w:firstLine="8"/>
        <w:spacing w:after="0" w:line="253" w:lineRule="auto"/>
        <w:tabs>
          <w:tab w:leader="none" w:pos="2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A change in interest rates on this variable rate debt impacts the interest incurred and cash flows, but does not impact the fair value of the instrument. We had $310.0 million in borrowings outstanding at a weighted average interest rate of 2.326% under the credit facility as of March 31, 2017.</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March 31, 2017 and September 30, 2016:</w:t>
      </w:r>
    </w:p>
    <w:p>
      <w:pPr>
        <w:spacing w:after="0" w:line="174"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6740" w:type="dxa"/>
        <w:tblCellMar>
          <w:top w:w="0" w:type="dxa"/>
          <w:left w:w="0" w:type="dxa"/>
          <w:bottom w:w="0" w:type="dxa"/>
          <w:right w:w="0" w:type="dxa"/>
        </w:tblCellMar>
      </w:tblPr>
      <w:tr>
        <w:trPr>
          <w:trHeight w:val="192"/>
        </w:trPr>
        <w:tc>
          <w:tcPr>
            <w:tcW w:w="216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w w:val="99"/>
              </w:rPr>
              <w:t>Contract Amount</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2160" w:type="dxa"/>
            <w:vAlign w:val="bottom"/>
          </w:tcPr>
          <w:p>
            <w:pPr>
              <w:jc w:val="center"/>
              <w:ind w:right="568"/>
              <w:spacing w:after="0" w:line="153" w:lineRule="exact"/>
              <w:rPr>
                <w:sz w:val="20"/>
                <w:szCs w:val="20"/>
                <w:color w:val="auto"/>
              </w:rPr>
            </w:pPr>
            <w:r>
              <w:rPr>
                <w:rFonts w:ascii="Arial" w:cs="Arial" w:eastAsia="Arial" w:hAnsi="Arial"/>
                <w:sz w:val="14"/>
                <w:szCs w:val="14"/>
                <w:b w:val="1"/>
                <w:bCs w:val="1"/>
                <w:color w:val="auto"/>
                <w:w w:val="93"/>
              </w:rPr>
              <w:t>Foreign</w:t>
            </w: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86"/>
        </w:trPr>
        <w:tc>
          <w:tcPr>
            <w:tcW w:w="2160" w:type="dxa"/>
            <w:vAlign w:val="bottom"/>
          </w:tcPr>
          <w:p>
            <w:pPr>
              <w:jc w:val="center"/>
              <w:ind w:right="568"/>
              <w:spacing w:after="0"/>
              <w:rPr>
                <w:sz w:val="20"/>
                <w:szCs w:val="20"/>
                <w:color w:val="auto"/>
              </w:rPr>
            </w:pPr>
            <w:r>
              <w:rPr>
                <w:rFonts w:ascii="Arial" w:cs="Arial" w:eastAsia="Arial" w:hAnsi="Arial"/>
                <w:sz w:val="14"/>
                <w:szCs w:val="14"/>
                <w:b w:val="1"/>
                <w:bCs w:val="1"/>
                <w:color w:val="auto"/>
                <w:w w:val="97"/>
              </w:rPr>
              <w:t>Currency</w:t>
            </w:r>
          </w:p>
        </w:tc>
        <w:tc>
          <w:tcPr>
            <w:tcW w:w="104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7620</wp:posOffset>
            </wp:positionV>
            <wp:extent cx="29673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tcPr>
          <w:p>
            <w:pPr>
              <w:ind w:left="380"/>
              <w:spacing w:after="0"/>
              <w:rPr>
                <w:sz w:val="20"/>
                <w:szCs w:val="20"/>
                <w:color w:val="auto"/>
              </w:rPr>
            </w:pPr>
            <w:r>
              <w:rPr>
                <w:rFonts w:ascii="Arial" w:cs="Arial" w:eastAsia="Arial" w:hAnsi="Arial"/>
                <w:sz w:val="18"/>
                <w:szCs w:val="18"/>
                <w:color w:val="auto"/>
              </w:rPr>
              <w:t>Euro (EUR)</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EUR</w:t>
            </w: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5,700</w:t>
            </w:r>
          </w:p>
        </w:tc>
        <w:tc>
          <w:tcPr>
            <w:tcW w:w="6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6,113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Buy foreign currency:</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British pound (GBP)</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GBP</w:t>
            </w:r>
          </w:p>
        </w:tc>
        <w:tc>
          <w:tcPr>
            <w:tcW w:w="10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4,479</w:t>
            </w:r>
          </w:p>
        </w:tc>
        <w:tc>
          <w:tcPr>
            <w:tcW w:w="6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0"/>
        </w:trPr>
        <w:tc>
          <w:tcPr>
            <w:tcW w:w="6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1"/>
              </w:rPr>
              <w:t>September 30, 2016</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9"/>
              </w:rPr>
              <w:t>Contract Amount</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center"/>
              <w:ind w:right="361"/>
              <w:spacing w:after="0" w:line="153" w:lineRule="exact"/>
              <w:rPr>
                <w:sz w:val="20"/>
                <w:szCs w:val="20"/>
                <w:color w:val="auto"/>
              </w:rPr>
            </w:pPr>
            <w:r>
              <w:rPr>
                <w:rFonts w:ascii="Arial" w:cs="Arial" w:eastAsia="Arial" w:hAnsi="Arial"/>
                <w:sz w:val="14"/>
                <w:szCs w:val="14"/>
                <w:b w:val="1"/>
                <w:bCs w:val="1"/>
                <w:color w:val="auto"/>
                <w:w w:val="93"/>
              </w:rPr>
              <w:t>Foreign</w:t>
            </w:r>
          </w:p>
        </w:tc>
        <w:tc>
          <w:tcPr>
            <w:tcW w:w="640" w:type="dxa"/>
            <w:vAlign w:val="bottom"/>
          </w:tcPr>
          <w:p>
            <w:pPr>
              <w:spacing w:after="0"/>
              <w:rPr>
                <w:sz w:val="13"/>
                <w:szCs w:val="13"/>
                <w:color w:val="auto"/>
              </w:rPr>
            </w:pPr>
          </w:p>
        </w:tc>
        <w:tc>
          <w:tcPr>
            <w:tcW w:w="10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5"/>
              </w:rPr>
              <w:t>US$</w:t>
            </w:r>
          </w:p>
        </w:tc>
        <w:tc>
          <w:tcPr>
            <w:tcW w:w="280" w:type="dxa"/>
            <w:vAlign w:val="bottom"/>
          </w:tcPr>
          <w:p>
            <w:pPr>
              <w:spacing w:after="0"/>
              <w:rPr>
                <w:sz w:val="13"/>
                <w:szCs w:val="13"/>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center"/>
              <w:ind w:right="361"/>
              <w:spacing w:after="0"/>
              <w:rPr>
                <w:sz w:val="20"/>
                <w:szCs w:val="20"/>
                <w:color w:val="auto"/>
              </w:rPr>
            </w:pPr>
            <w:r>
              <w:rPr>
                <w:rFonts w:ascii="Arial" w:cs="Arial" w:eastAsia="Arial" w:hAnsi="Arial"/>
                <w:sz w:val="14"/>
                <w:szCs w:val="14"/>
                <w:b w:val="1"/>
                <w:bCs w:val="1"/>
                <w:color w:val="auto"/>
                <w:w w:val="97"/>
              </w:rPr>
              <w:t>Currency</w:t>
            </w:r>
          </w:p>
        </w:tc>
        <w:tc>
          <w:tcPr>
            <w:tcW w:w="6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7620</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tcPr>
          <w:p>
            <w:pPr>
              <w:ind w:left="380"/>
              <w:spacing w:after="0"/>
              <w:rPr>
                <w:sz w:val="20"/>
                <w:szCs w:val="20"/>
                <w:color w:val="auto"/>
              </w:rPr>
            </w:pPr>
            <w:r>
              <w:rPr>
                <w:rFonts w:ascii="Arial" w:cs="Arial" w:eastAsia="Arial" w:hAnsi="Arial"/>
                <w:sz w:val="18"/>
                <w:szCs w:val="18"/>
                <w:color w:val="auto"/>
              </w:rPr>
              <w:t>Euro (EUR)</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7,850</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8,743</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Buy foreign currency:</w:t>
            </w: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British pound (GBP)</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GBP</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7,721</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March 31, 2017 and September 30, 2016, respectively; therefore, their fair value was $0 on each of these dates.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FICO’s management, including the Chief Executive Officer and Chief Financial Officer, of the effectiveness of the design and operation of FICO’s disclosure controls and procedures (as defined in Rule 13a-15(e) under the Securities Exchange Act of 1934, as amended (the “Exchange Act”)) as of the end of the period covered by this quarterly report. Based on that evaluation, the Chief Executive Officer and Chief Financial Officer have concluded that FICO’s disclosure controls and procedures are effective to ensure that information required to be disclosed by FICO in reports that it files or submits under the Exchange Act is (i) recorded, processed, summarized and reported within the time periods specified in SEC rules and forms and (ii) accumulated and communicated to the Chief Executive Officer and Chief Financial Officer to allow timely decisions regarding required disclosure.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 13a-15(d) of the Exchange Act that occurred during the period covered by this quarterly report and that has materially affected, or is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continue to expand the pursuit of our Decision Management strategy, and we may not be successful, which could cause our growth prospects and results of operations to suffer.</w:t>
      </w:r>
    </w:p>
    <w:p>
      <w:pPr>
        <w:spacing w:after="0" w:line="170"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continue to expand the pursuit of our business objective to become a leader in helping businesses automate and improve decisions across their enterprises, an approach that we commonly refer to as Decision Management, or “DM.” Our DM strategy is designed to enable us to increase our business by selling multiple products to clients, as well as to enable the development of custom client solutions that may lead to opportunities to develop new proprietary scores or other new proprietary products. The market may be unreceptive to this general DM business approach, including being unreceptive to purchasing multiple products from us or unreceptive to our customized solutions. If our DM strategy is not successful, we may not be able to grow our business, growth may occur more slowly than we anticipate, or our revenues and profits may decline.</w:t>
      </w:r>
    </w:p>
    <w:p>
      <w:pPr>
        <w:spacing w:after="0" w:line="17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expect that revenues derived from our scoring solutions, fraud solutions, customer management solutions and tools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expect that part of the growth that we seek to achieve through our DM strategy will be derived from the sale of DM products and service solutions in industries and markets we do not currently serve. We also expect to grow our business by delivering our DM solutions through additional distribution channels. If we fail to penetrate these industries and markets to the degree we anticipate utilizing our DM strategy, or if we fail to develop additional distribution channels, we may not be able to grow our business, growth may occur more slowly than we anticipate, or our revenues and profits may decline.</w:t>
      </w:r>
    </w:p>
    <w:p>
      <w:pPr>
        <w:spacing w:after="0" w:line="154"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70"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Our growth and the success of our DM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183" w:lineRule="exact"/>
        <w:rPr>
          <w:sz w:val="20"/>
          <w:szCs w:val="20"/>
          <w:color w:val="auto"/>
        </w:rPr>
      </w:pPr>
    </w:p>
    <w:p>
      <w:pPr>
        <w:jc w:val="both"/>
        <w:ind w:left="180"/>
        <w:spacing w:after="0" w:line="327" w:lineRule="auto"/>
        <w:rPr>
          <w:sz w:val="20"/>
          <w:szCs w:val="20"/>
          <w:color w:val="auto"/>
        </w:rPr>
      </w:pPr>
      <w:r>
        <w:rPr>
          <w:rFonts w:ascii="Arial" w:cs="Arial" w:eastAsia="Arial" w:hAnsi="Arial"/>
          <w:sz w:val="15"/>
          <w:szCs w:val="15"/>
          <w:b w:val="1"/>
          <w:bCs w:val="1"/>
          <w:i w:val="1"/>
          <w:iCs w:val="1"/>
          <w:color w:val="auto"/>
        </w:rPr>
        <w:t>We rely on relatively few customers, as well as our contracts with the three major credit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14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Most of our customers are relatively large enterprises, such as banks, credit card processors, insurance companies, healthcare firms, retailers and public agencies. As a result, many of our customers and potential customers are significantly larger than we are and may have sufficient bargaining power to demand reduced prices and favorable nonstandard terms.</w:t>
      </w:r>
    </w:p>
    <w:p>
      <w:pPr>
        <w:spacing w:after="0" w:line="18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addition, the U.S. and other key international economies have experienced in the past a downturn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 European Union continues to face great economic uncertainty which could impact the overall world economy or various other regional economies. The potential for economic disruption presents considerable risks to our business, including potential bankruptcies or credit deterioration of financial institutions with which we have substantial relationships. Such disruption could result in a decline in the volume of transactions that we execute for our customers.</w:t>
      </w:r>
    </w:p>
    <w:p>
      <w:pPr>
        <w:sectPr>
          <w:pgSz w:w="11900" w:h="16838" w:orient="portrait"/>
          <w:cols w:equalWidth="0" w:num="1">
            <w:col w:w="11420"/>
          </w:cols>
          <w:pgMar w:left="240" w:top="125" w:right="239" w:bottom="0" w:gutter="0" w:footer="0" w:header="0"/>
        </w:sectPr>
      </w:pPr>
    </w:p>
    <w:bookmarkStart w:id="38" w:name="page39"/>
    <w:bookmarkEnd w:id="38"/>
    <w:p>
      <w:pPr>
        <w:jc w:val="both"/>
        <w:ind w:firstLine="230"/>
        <w:spacing w:after="0" w:line="271" w:lineRule="auto"/>
        <w:rPr>
          <w:sz w:val="20"/>
          <w:szCs w:val="20"/>
          <w:color w:val="auto"/>
        </w:rPr>
      </w:pPr>
      <w:r>
        <w:rPr>
          <w:rFonts w:ascii="Arial" w:cs="Arial" w:eastAsia="Arial" w:hAnsi="Arial"/>
          <w:sz w:val="16"/>
          <w:szCs w:val="16"/>
          <w:color w:val="auto"/>
        </w:rPr>
        <w:t>We also derive a substantial portion of our revenues and operating income from our contracts with the three major credit reporting agencies, TransUnion, Equifax and Experian, and other parties that distribute our products to certain markets. The loss of or a significant change in a relationship with one of these credit reporting agencies with respect to their distribution of our products or with respect to our myFICO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offerings, the loss of or a significant change in a relationship with a major customer, the loss of or a significant change in a relationship with a significant third-party distributor (including credit card processors), or the delay of significant revenues from these sources, could have a material adverse effect on our revenues and results of operations.</w:t>
      </w:r>
    </w:p>
    <w:p>
      <w:pPr>
        <w:spacing w:after="0" w:line="180"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our future revenues may be adversely affected.</w:t>
      </w:r>
    </w:p>
    <w:p>
      <w:pPr>
        <w:spacing w:after="0" w:line="170"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Most of our products rely on distributors, and we intend to continue to market and distribute our products through existing and future distributor relationships. Our Scores segment relies on, among others, TransUnion, Equifax and Experian. Failure of our existing and future distributors to generate significant revenues,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TransUnion, Equifax and Experian have developed a credit scoring product to compete directly with our products and are collectively attempting to sell the product. Competition from distributors or other sales and marketing partners could significantly harm sales of our products and services.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Our acquisition and divestiture activities may disrupt our ongoing business and may involve increased expenses, and we may not realize the financial and strategic goals contemplated at the time of a transaction.</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acquired and expect to continue to acquire companies, businesses, products, services and technologies. Acquisitions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ongoing business may be disrupted and our management’s attention may be diverted by acquisition, transition or integration activities;</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jc w:val="both"/>
        <w:ind w:left="66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claims or liabilities we assume from an acquired company, business, product or technology, including claims by government agencies, terminated employees, current or former customers, former stockholders or other third parties; pre-existing contractual relationships of an acquired company we would not have otherwise entered into; unfavorable revenue recognition or other accounting treatment as a result of an acquired company’s practices; and intellectual property claims or disputes;</w:t>
      </w:r>
    </w:p>
    <w:p>
      <w:pPr>
        <w:jc w:val="both"/>
        <w:ind w:left="66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fail to identify or assess the magnitude of certain liabilities or other circumstances prior to acquiring a company, business, product or technology, which could result in unexpected litigation or regulatory exposure, unfavorable accounting treatment, unexpected increases in taxes due, a loss of anticipated tax benefits or other adverse effects on our business, operating results or financial condition;</w:t>
      </w: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realize the anticipated increase in our revenues from an acquisition for a number of reasons, including if a larger than predicted number of customers decline to renew their contracts, if we are unable to sell the acquired products to our customer base or if contract models of an acquired company do not allow us to recognize revenues on a timely basis;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difficulty incorporating acquired technologies or products with our existing product lines and maintaining uniform standards, architecture, controls, procedures and policies;</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use of cash to pay for acquisitions may limit other potential uses of our cash, including stock repurchases, dividend payments and retirement of outstanding indebtedness;</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 and</w:t>
      </w: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additional or unexpected changes in how we are required to account for our acquisitions pursuant to U.S. generally accepted accounting principles, including arrangements we assume from an acquisition.</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also divested ourselves of businesses in the past and may do so again in the future. Divestitures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liabilities, legal risks and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distraction of management from our ongoing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of relationships with employees and customers as a result of migrating a business to new owners.</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acquisitions and divestitures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business combination accounting standards, we recognize the identifiable assets acquired and the liabilities assumed in acquired companies generally at their acquisition-date fair values and separately from goodwill. Goodwill is measured as the excess amount of consideration transferred, which is also generally measured at fair value, and the net of the amounts of the identifiable assets acquired and the liabilities assumed as of the acquisition date.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of goodwill or intangible assets, or a reduction in the useful lives of intangible assets acquired;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 both income tax and non-income tax related, after our final determination of the amounts for these contingencies or the conclusion of the measurement period (generally up to one year from the acquisition date), whichever comes first;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charges to our operating results to maintain certain duplicative pre-merger activities for an extended period of time or to maintain these activities for a period of time that is longer than we had anticipated, charges to eliminate certain duplicative pre-merger activities, and charges to restructure our operations or to reduce our cost structure;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these costs will be accounted for as expenses that will decrease our net income and earnings per share for the periods in which those costs are incurred. Charges to our operating results in any given period could differ substantially from other periods based on the timing and size of our future acquisitions and the extent of integration activities. A more detailed discussion of our accounting for business combinations and other items is presented in the “Critical Accounting Policies and Estimates” section of Management’s Discussion and Analysis of Financial Condition and Results of Operations (Item 7).</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reengineering initiative may cause our growth prospects and profitability to suffer.</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As part of our management approach, we implemented an ongoing reengineering initiative designed to grow revenues through strategic resource allocation and improve profitability through cost reductions. Our reengineering initiative may not be successful over the long term as a result of our failure to reduce expenses at the anticipated level, or a lower, or no, positive impact on revenues from strategic resource allocation. If our reengineering initiative is not successful over the long term, our revenues, results of operations and business may suffer.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occurrence of certain negative events may cause fluctuations in our stock price.</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market price of our common stock may be volatile and could be subject to wide fluctuations due to a number of factors, including variations in our revenues and operating results. We believe that you should not rely on period-to-period comparisons of financial results as an indication of future performance. Because many of our operating expenses are fixed and will not be affected by short-term fluctuations in revenues, short-term fluctuations in revenues may significantly impact operating results. Additional factors that may cause our stock price to fluctuate include the following:</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or customer dissatisfaction with, or problems caused by, the performance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competitive and other conditions in the consumer credit, banking and insurance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domestic and international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complete large installations on schedule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21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addition,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170"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As a result of our sales approach and lengthening sales cycles, revenues and operating results may vary significantly from period to period. For example, the sales cycle for licensing our products typically ranges from 60 days to 18 months.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178" w:lineRule="exact"/>
        <w:rPr>
          <w:sz w:val="20"/>
          <w:szCs w:val="20"/>
          <w:color w:val="auto"/>
        </w:rPr>
      </w:pPr>
    </w:p>
    <w:p>
      <w:pPr>
        <w:ind w:left="180" w:right="700"/>
        <w:spacing w:after="0" w:line="277"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17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Large portions of our software license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225"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Our DM strategy and our future success will depend in large part on our ability to attract and retain experienced sales, consulting, research and development, marketing, technical support and management personnel. The complexity of our products requires highly trained customer service and technical support personnel to assist customers with product installation and deployment.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225"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alliances provide us with the data we require to analyze transactions, report results and build new models. Our DM strategy depends in part upon our ability to access new forms of data to develop custom and proprietary analytic tools. If we fail to maintain sufficient data sourcing relationships with our customers and business alliances, or if they decline to provide such data due to privacy concerns, competition concerns, prohibitions or a lack of permission from their customers or partners, we could lose access to required data and our products, and the development of new products, might become less effective. Third parties have asserted copyright and other intellectual property interests in these data, and these assertions, if successful, could prevent us from using these data. Any interruption of our supply of data could seriously harm our business, financial condition or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will continue to rely upon proprietary technology rights, and if we are unable to protect them, our business could be harmed.</w:t>
      </w:r>
    </w:p>
    <w:p>
      <w:pPr>
        <w:spacing w:after="0" w:line="225"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6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 party claiming infringement, which license may not be available or might require substantial royalties or license fees that would reduce our margins.</w:t>
      </w:r>
    </w:p>
    <w:p>
      <w:pPr>
        <w:spacing w:after="0" w:line="18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188"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our 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Our business requires the storage, transmission and utilization of sensitive consumer and customer information. Many of our products are provided by us through the Internet. Security breaches could expose us to a risk of loss, the unauthorized disclosure of consumer or customer information, litigation, indemnity obligations and other liability. If our security measures are breached as a result of third-party action, employee error, malfeasance or otherwise, and as a result, someone obtains unauthorized access to our systems or to consumer or customer information, our reputation may be damaged, our business may suffer and we could incur significant liability.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curtail or cease their use of our products and services or subject us to third-party lawsuits, regulatory fines or other action or liability, which could materially and adversely affect our business and operating results.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Protection from system interruptions is important to our business. If we experience system interruptions, it could harm our business.</w:t>
      </w:r>
    </w:p>
    <w:p>
      <w:pPr>
        <w:spacing w:after="0" w:line="237"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Systems or network interruptions, including interruptions experienced in connection with our cloud-based and other product offerings, could delay and disrupt our ability to develop, deliver or maintain our products and services, causing harm to our business and reputation and resulting in loss of customers or revenue. These interruptions can include software or hardware malfunctions, communication failures, outages or other failures of third party environments or service providers, fires, floods, earthquakes, power losses, equipment failures and other events beyond our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70"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We have a significant share of the available market in portions of our Scores segment and for certain services in our Applications segment, specifically, the markets for account management services at credit card processors and credit card fraud detection software. 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DM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our markets, technology changes rapidly, and there are continuous improvements in computer hardware, network operating systems, programming tools, programming languages, operating systems, database technology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15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our competitors introduce new products and pricing strategies, it could decrease our product sales and market share, or could pressure us to reduce our product prices in a manner that reduces our margins.</w:t>
      </w:r>
    </w:p>
    <w:p>
      <w:pPr>
        <w:spacing w:after="0" w:line="170"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We may not be able to compete successfully against our competitors, and this inability could impair our capacity to sell our products. The market for business analytics is new, rapidly evolving and highly competitive, and we expect competition in this market to persist and intensify. Our regional and global competitors vary in size and in the scope of the products and services they offer, and include:</w:t>
      </w:r>
    </w:p>
    <w:p>
      <w:pPr>
        <w:spacing w:after="0" w:line="18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enterprise resource planning, customer relationship management, and customer communication and mobility solution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credit report and credit score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process modeling tools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automated application processing services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data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account/workflow management software providers;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software tools companies supplying modeling, rules, or analytic development tools; collections and recovery solutions providers; entity resolution and social network analysis solutions providers; and</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cloud-based customer engagement and risk management solutions providers.</w:t>
      </w:r>
    </w:p>
    <w:p>
      <w:pPr>
        <w:spacing w:after="0" w:line="21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We expect to experience additional competition from other established and emerging companies, as well as from other technologies. For example, certain of our fraud solutions products compete against other methods of preventing credit card fraud, such as credit cards that contain the cardholder’s photograph; smart cards; cardholder verification and authentication solutions; biometric measures on devices including fingerprint and face matching; and other card authorization techniques and user verification techniques. Many of our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TransUnion, Equifax and Experian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18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187" w:lineRule="exact"/>
        <w:rPr>
          <w:sz w:val="20"/>
          <w:szCs w:val="20"/>
          <w:color w:val="auto"/>
        </w:rPr>
      </w:pPr>
    </w:p>
    <w:p>
      <w:pPr>
        <w:jc w:val="both"/>
        <w:ind w:left="180"/>
        <w:spacing w:after="0" w:line="279" w:lineRule="auto"/>
        <w:rPr>
          <w:sz w:val="20"/>
          <w:szCs w:val="20"/>
          <w:color w:val="auto"/>
        </w:rPr>
      </w:pPr>
      <w:r>
        <w:rPr>
          <w:rFonts w:ascii="Arial" w:cs="Arial" w:eastAsia="Arial" w:hAnsi="Arial"/>
          <w:sz w:val="17"/>
          <w:szCs w:val="17"/>
          <w:b w:val="1"/>
          <w:bCs w:val="1"/>
          <w:i w:val="1"/>
          <w:iCs w:val="1"/>
          <w:color w:val="auto"/>
        </w:rPr>
        <w:t>Legislation that is enacted by the U.S. Congress, the states, Canadian provinces, and other countries, and government regulations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current products and services, it could adversely affect our business and results of operations.</w:t>
      </w:r>
    </w:p>
    <w:p>
      <w:pPr>
        <w:spacing w:after="0" w:line="17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Legislation and governmental regulation affect how our business is conducted and, in some cases, subject us to the possibility of government supervision and future lawsuits arising from our products and services. Globally, legislation and governmental regulation also influence our current and prospective customers’ activities, as well as their expectations and needs in relation to our products and services. Both our core businesses and our newer initiatives are affected globally by federal, regional, provincial, state and other jurisdictional regulations, including those in the following significant regulatory areas:</w:t>
      </w:r>
    </w:p>
    <w:p>
      <w:pPr>
        <w:spacing w:after="0" w:line="154" w:lineRule="exact"/>
        <w:rPr>
          <w:sz w:val="20"/>
          <w:szCs w:val="20"/>
          <w:color w:val="auto"/>
        </w:rPr>
      </w:pPr>
    </w:p>
    <w:p>
      <w:pPr>
        <w:ind w:left="560" w:hanging="322"/>
        <w:spacing w:after="0" w:line="277"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Examples in the U.S. include the Fair Credit Reporting Act, as amended by the Fair and Accurate Credit Transactions 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60" w:hanging="322"/>
        <w:spacing w:after="0" w:line="258"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such as state “mortgage trigger” laws, state “inquiries” laws, state insurance restrictions on the use of credit based insurance scores, and the Consumer Credit Directive in the European Union;</w:t>
      </w:r>
    </w:p>
    <w:p>
      <w:pPr>
        <w:spacing w:after="0" w:line="1"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 lending laws, such as the Truth In Lending Act and Regulation Z, as amended by the Credit Card Accountability Responsibility and Disclosure Act of 2009, the Equal Credit Opportunity Act and Regulation B, and the Fair Housing Act;</w:t>
      </w:r>
    </w:p>
    <w:p>
      <w:pPr>
        <w:jc w:val="both"/>
        <w:ind w:left="560" w:hanging="322"/>
        <w:spacing w:after="0" w:line="265" w:lineRule="auto"/>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Privacy and security laws and regulations that limit the use and disclosure of personally identifiable information or require security procedures, including but not limited to the provisions of the Financial Services Modernization Act of 1999, also known as the Gramm Leach Bliley Act (“GLBA”); the Health Insurance Portability and Accountability Act of 1996, as amended by the Health Information Technology for Economic and Clinical Health Act; the Cybersecurity Act of 2015; the Department of Commerce’s National Institute of Standards and Technology’s Cybersecurity Framework; and identity theft, file freezing, security breach notification and similar state privacy laws;</w:t>
      </w:r>
    </w:p>
    <w:p>
      <w:pPr>
        <w:spacing w:after="0" w:line="1" w:lineRule="exact"/>
        <w:rPr>
          <w:rFonts w:ascii="Arial" w:cs="Arial" w:eastAsia="Arial" w:hAnsi="Arial"/>
          <w:sz w:val="17"/>
          <w:szCs w:val="17"/>
          <w:color w:val="auto"/>
        </w:rPr>
      </w:pPr>
    </w:p>
    <w:p>
      <w:pPr>
        <w:ind w:left="560" w:right="20" w:hanging="322"/>
        <w:spacing w:after="0" w:line="216" w:lineRule="exact"/>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ind w:left="560" w:hanging="322"/>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Regulations applicable to secondary market participants such as Fannie Mae and Freddie Mac that could have an impact on our products;</w:t>
      </w:r>
    </w:p>
    <w:p>
      <w:pPr>
        <w:spacing w:after="0" w:line="20" w:lineRule="exact"/>
        <w:rPr>
          <w:rFonts w:ascii="Arial" w:cs="Arial" w:eastAsia="Arial" w:hAnsi="Arial"/>
          <w:sz w:val="17"/>
          <w:szCs w:val="17"/>
          <w:color w:val="auto"/>
        </w:rPr>
      </w:pPr>
    </w:p>
    <w:p>
      <w:pPr>
        <w:ind w:left="560" w:right="20" w:hanging="322"/>
        <w:spacing w:after="0" w:line="250"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regulations applicable to our customer communication clients and their use of our products and services, including the Telephone Consumer Protection Act and regulations promulgated thereunder;</w:t>
      </w:r>
    </w:p>
    <w:p>
      <w:pPr>
        <w:ind w:left="560" w:hanging="32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Insurance laws and regulations applicable to our insurance clients and their use of our insurance products and services;</w:t>
      </w:r>
    </w:p>
    <w:p>
      <w:pPr>
        <w:spacing w:after="0" w:line="9" w:lineRule="exact"/>
        <w:rPr>
          <w:rFonts w:ascii="Arial" w:cs="Arial" w:eastAsia="Arial" w:hAnsi="Arial"/>
          <w:sz w:val="18"/>
          <w:szCs w:val="18"/>
          <w:color w:val="auto"/>
        </w:rPr>
      </w:pPr>
    </w:p>
    <w:p>
      <w:pPr>
        <w:jc w:val="both"/>
        <w:ind w:left="560" w:hanging="322"/>
        <w:spacing w:after="0" w:line="250"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such as the Consumer Financial Protection Act, the Fair Debt Collection Practices Act, the Servicemembers Civil Relief Act, and the Military Lending Act, and laws governing the use of the Internet and telemarketing, advertising, endorsements and testimonials and credit repair;</w:t>
      </w:r>
    </w:p>
    <w:p>
      <w:pPr>
        <w:spacing w:after="0" w:line="1"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regulations applicable to operations in other countries, for example, the European Union’s General Data Protection Regulation, and the Foreign Corrupt Practices Act;</w:t>
      </w:r>
    </w:p>
    <w:p>
      <w:pPr>
        <w:ind w:left="560" w:hanging="322"/>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Sarbanes-Oxley Act requirements to maintain and verify internal process controls, including controls for material event awareness and notification;</w:t>
      </w:r>
    </w:p>
    <w:p>
      <w:pPr>
        <w:spacing w:after="0" w:line="32" w:lineRule="exact"/>
        <w:rPr>
          <w:rFonts w:ascii="Arial" w:cs="Arial" w:eastAsia="Arial" w:hAnsi="Arial"/>
          <w:sz w:val="16"/>
          <w:szCs w:val="16"/>
          <w:color w:val="auto"/>
        </w:rPr>
      </w:pPr>
    </w:p>
    <w:p>
      <w:pPr>
        <w:jc w:val="both"/>
        <w:ind w:left="560" w:hanging="322"/>
        <w:spacing w:after="0" w:line="250"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expectations for management of third parties (e.g., vendors, contractors, suppliers, distributors), such as OCC Bulletin 2013-29; Federal Reserve Supervisory Letter 13-19 / CA 13-21; Federal Housing Finance Agency Advisory Bulletin AB 2014-07; CFPB Bulletin 2012-03; and FFIEC Outsourcing Technology Services June 2004;</w:t>
      </w:r>
    </w:p>
    <w:p>
      <w:pPr>
        <w:spacing w:after="0" w:line="1"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Regulations applicable to anti-money laundering, such as the Bank Secrecy Act, as amended by the Uniting and Strengthening America by Providing Appropriate Tools Required to Intercept and Obstruct Terrorism Act of 2001;</w:t>
      </w:r>
    </w:p>
    <w:p>
      <w:pPr>
        <w:ind w:left="560" w:right="20" w:hanging="322"/>
        <w:spacing w:after="0" w:line="281" w:lineRule="auto"/>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Financial regulatory reform stemming from the Dodd-Frank Wall Street Reform and Consumer Protection Act and the many regulations mandated by that Act, including regulations issued by, and the supervisory and investigative authority of, the Bureau of Consumer Financial Protection; and</w:t>
      </w:r>
    </w:p>
    <w:p>
      <w:pPr>
        <w:spacing w:after="0" w:line="1" w:lineRule="exact"/>
        <w:rPr>
          <w:rFonts w:ascii="Arial" w:cs="Arial" w:eastAsia="Arial" w:hAnsi="Arial"/>
          <w:sz w:val="16"/>
          <w:szCs w:val="16"/>
          <w:color w:val="auto"/>
        </w:rPr>
      </w:pPr>
    </w:p>
    <w:p>
      <w:pPr>
        <w:ind w:left="560" w:hanging="32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regulations regarding export controls as they apply to FICO products delivered in non-U.S. countries.</w:t>
      </w:r>
    </w:p>
    <w:p>
      <w:pPr>
        <w:spacing w:after="0" w:line="211"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making credit evaluations of consumers, or in performing fraud screening or user authentication, our customers are subject to requirements of multiple jurisdictions, which may impose onerous and contradictory requirements. Privacy legislation such as GLBA or the European Union’s General Data Protection Regulation may also affect the nature and extent of the products or services that we can provide to customers, as well as our ability to collect, monitor and disseminate information subject to privacy protection. In addition to existing regulation, changes in legislative, judicial, regulatory or consumer environments could harm our business, financial condition or results of operations. These regulations and amendments to them could affect the demand for or profitability of some of our products, including scoring and consumer products. New regulations pertaining to financial institutions could cause them to pursue new strategies, reducing the demand for our products.</w:t>
      </w:r>
    </w:p>
    <w:p>
      <w:pPr>
        <w:spacing w:after="0" w:line="17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response to market disruptions over the past several years, legislators and financial regulators implemented a number of mechanisms designed to add stability to the financial markets, including the provision of direct and indirect assistance to distressed financial institutions, assistance by the banking authorities in arranging acquisitions of weakened banks and broker-dealers, and implementation of programs by the Federal Reserve to provide liquidity to the commercial paper markets. The overall effects of these and other legislative and regulatory efforts on the financial markets are uncertain, and they may not have the intended stabilization effects. Should these or other legislative or regulatory initiatives fail to stabilize and add liquidity to the financial markets over the long term, our business, financial condition, results of operations and prospects could be materially and adversely affected. Whether or not legislative or regulatory initiatives or other efforts designed to address recent economic conditions successfully stabilize and add liquidity to the financial markets over the long term, we may need to modify our strategies, businesses or operations, and we may incur additional costs in order to compete in a changed business environment.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and insurance industries. If our clients’ industries experience uncertainty, it will likely harm our business, financial condition or results of operations.</w:t>
      </w:r>
    </w:p>
    <w:p>
      <w:pPr>
        <w:spacing w:after="0" w:line="17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During fiscal 2016, 74% of our revenues were derived from sales of products and services to the banking and insurance industries. Global economic uncertainty experienced in the U.S. and other key international economies in the past produced substantial stress, volatility, illiquidity and disruption of global credit and other financial markets, resulting in the bankruptcy or acquisition of, or government assistance to, several major domestic and international financial institutions. The potential for disruptions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w:t>
      </w:r>
    </w:p>
    <w:p>
      <w:pPr>
        <w:spacing w:after="0" w:line="193"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While the rate of account growth in the U.S. bankcard industry has been slow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17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While we are attempting to expand our sales of consumer credit, banking and insurance products and services into international markets, the risks are greater as these markets are also experiencing substantial disruption and we are less well-known in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External Conditions</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170"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has produced substantial stress, volatility, illiquidity and disruption of global credit and other financial markets in the past. Any economic uncertainty can negatively affect the businesses and purchasing decisions of companies in the industries we serve. The potential for disruptions presents considerable risks to our businesses and operations. If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1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For example, on June 23, 2016, the United Kingdom (U.K.) held a referendum in which voters approved an exit from the European Union, commonly referred to as “Brexit”. As a result of the referendum, it is expected that the British government will begin negotiating the terms of the U.K.’s future relationship with the European Union. Although it is unknown what those terms will be, the announcement of Brexit caused, and may continue to create, volatility in global stock markets and regional and global economic uncertainty, which may cause our customers to closely monitor their costs and reduce their spending budget on our products and services.</w:t>
      </w:r>
    </w:p>
    <w:p>
      <w:pPr>
        <w:spacing w:after="0" w:line="18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Whether or not recent or new legislative or regulatory initiatives or other efforts successfully stabilize and add liquidity to the financial markets,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In operations outside the U.S., we are subject to unique risks that may harm our business, financial condition or results of operations.</w:t>
      </w:r>
    </w:p>
    <w:p>
      <w:pPr>
        <w:spacing w:after="0" w:line="23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 growing portion of our revenues is derived from international sales. During fiscal 2016, 36%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15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tariffs and other trade barriers;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211"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There can be no assurance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14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18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70"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 party to acquire, or discouraging a third 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16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70"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58"/>
        </w:trPr>
        <w:tc>
          <w:tcPr>
            <w:tcW w:w="5000" w:type="dxa"/>
            <w:vAlign w:val="bottom"/>
            <w:gridSpan w:val="3"/>
            <w:vMerge w:val="continue"/>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per Share</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 (2)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81"/>
              <w:spacing w:after="0" w:line="158" w:lineRule="exact"/>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January 1, 2017 through January 31, 2017</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164,679</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122.93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158,164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180,119,819</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February 1, 2017 through February 28, 2017</w:t>
            </w: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110,457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129.98</w:t>
            </w:r>
          </w:p>
        </w:tc>
        <w:tc>
          <w:tcPr>
            <w:tcW w:w="100" w:type="dxa"/>
            <w:vAlign w:val="bottom"/>
          </w:tcPr>
          <w:p>
            <w:pPr>
              <w:spacing w:after="0"/>
              <w:rPr>
                <w:sz w:val="21"/>
                <w:szCs w:val="21"/>
                <w:color w:val="auto"/>
              </w:rPr>
            </w:pPr>
          </w:p>
        </w:tc>
        <w:tc>
          <w:tcPr>
            <w:tcW w:w="1560" w:type="dxa"/>
            <w:vAlign w:val="bottom"/>
          </w:tcPr>
          <w:p>
            <w:pPr>
              <w:jc w:val="right"/>
              <w:ind w:right="20"/>
              <w:spacing w:after="0"/>
              <w:rPr>
                <w:sz w:val="20"/>
                <w:szCs w:val="20"/>
                <w:color w:val="auto"/>
              </w:rPr>
            </w:pPr>
            <w:r>
              <w:rPr>
                <w:rFonts w:ascii="Arial" w:cs="Arial" w:eastAsia="Arial" w:hAnsi="Arial"/>
                <w:sz w:val="18"/>
                <w:szCs w:val="18"/>
                <w:color w:val="auto"/>
              </w:rPr>
              <w:t>110,000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165,822,063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 2017 through March 31, 2017</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83,520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130.75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80,000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155,354,116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358,656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126.92</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348,164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155,354,116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hanging="332"/>
        <w:spacing w:after="0" w:line="25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10,492 shares delivered in satisfaction of the tax withholding obligations resulting from the vesting of restricted stock units held by employees during the quarter ended March 31, 2017.</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July 2016,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44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Other Information</w:t>
      </w:r>
    </w:p>
    <w:p>
      <w:pPr>
        <w:spacing w:after="0" w:line="144" w:lineRule="exact"/>
        <w:rPr>
          <w:sz w:val="20"/>
          <w:szCs w:val="20"/>
          <w:color w:val="auto"/>
        </w:rPr>
      </w:pPr>
    </w:p>
    <w:p>
      <w:pPr>
        <w:jc w:val="center"/>
        <w:ind w:right="9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9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482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3"/>
                <w:szCs w:val="13"/>
                <w:color w:val="auto"/>
              </w:rPr>
            </w:pPr>
          </w:p>
        </w:tc>
        <w:tc>
          <w:tcPr>
            <w:tcW w:w="482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1"/>
                <w:szCs w:val="21"/>
                <w:color w:val="auto"/>
              </w:rPr>
            </w:pP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w w:val="91"/>
              </w:rPr>
              <w:t>Composite Restated Certificate of Incorporation of Fair Isaac Corporation (incorporated by reference to Exhibit 3.2 to the Company’s</w:t>
            </w:r>
          </w:p>
        </w:tc>
        <w:tc>
          <w:tcPr>
            <w:tcW w:w="0" w:type="dxa"/>
            <w:vAlign w:val="bottom"/>
          </w:tcPr>
          <w:p>
            <w:pPr>
              <w:spacing w:after="0"/>
              <w:rPr>
                <w:sz w:val="1"/>
                <w:szCs w:val="1"/>
                <w:color w:val="auto"/>
              </w:rPr>
            </w:pPr>
          </w:p>
        </w:tc>
      </w:tr>
      <w:tr>
        <w:trPr>
          <w:trHeight w:val="122"/>
        </w:trPr>
        <w:tc>
          <w:tcPr>
            <w:tcW w:w="6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9860" w:type="dxa"/>
            <w:vAlign w:val="bottom"/>
            <w:gridSpan w:val="3"/>
            <w:vMerge w:val="restart"/>
          </w:tcPr>
          <w:p>
            <w:pPr>
              <w:ind w:left="240"/>
              <w:spacing w:after="0"/>
              <w:rPr>
                <w:sz w:val="20"/>
                <w:szCs w:val="20"/>
                <w:color w:val="auto"/>
              </w:rPr>
            </w:pPr>
            <w:r>
              <w:rPr>
                <w:rFonts w:ascii="Arial" w:cs="Arial" w:eastAsia="Arial" w:hAnsi="Arial"/>
                <w:sz w:val="18"/>
                <w:szCs w:val="18"/>
                <w:color w:val="auto"/>
              </w:rPr>
              <w:t>Form 10-Q for the quarter ended December 31, 2009 (file no. 001-11689)).</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w w:val="95"/>
              </w:rPr>
              <w:t>By-laws of Fair Isaac Corporation (incorporated by reference to Exhibit 3.1 to the Company’s Form 10-Q for the quarter ended</w:t>
            </w:r>
          </w:p>
        </w:tc>
        <w:tc>
          <w:tcPr>
            <w:tcW w:w="0" w:type="dxa"/>
            <w:vAlign w:val="bottom"/>
          </w:tcPr>
          <w:p>
            <w:pPr>
              <w:spacing w:after="0"/>
              <w:rPr>
                <w:sz w:val="1"/>
                <w:szCs w:val="1"/>
                <w:color w:val="auto"/>
              </w:rPr>
            </w:pPr>
          </w:p>
        </w:tc>
      </w:tr>
      <w:tr>
        <w:trPr>
          <w:trHeight w:val="122"/>
        </w:trPr>
        <w:tc>
          <w:tcPr>
            <w:tcW w:w="6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9860" w:type="dxa"/>
            <w:vAlign w:val="bottom"/>
            <w:gridSpan w:val="3"/>
            <w:vMerge w:val="restart"/>
          </w:tcPr>
          <w:p>
            <w:pPr>
              <w:ind w:left="240"/>
              <w:spacing w:after="0"/>
              <w:rPr>
                <w:sz w:val="20"/>
                <w:szCs w:val="20"/>
                <w:color w:val="auto"/>
              </w:rPr>
            </w:pPr>
            <w:r>
              <w:rPr>
                <w:rFonts w:ascii="Arial" w:cs="Arial" w:eastAsia="Arial" w:hAnsi="Arial"/>
                <w:sz w:val="18"/>
                <w:szCs w:val="18"/>
                <w:color w:val="auto"/>
              </w:rPr>
              <w:t>December 31, 2009 (file no. 001-11689)).</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10.1*</w:t>
            </w:r>
          </w:p>
        </w:tc>
        <w:tc>
          <w:tcPr>
            <w:tcW w:w="32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Form of Director Non-Statutory Stock Option Agreement under the 2012 Long-Term Incentive Plan.</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3"/>
              </w:rPr>
              <w:t>10.2 *</w:t>
            </w:r>
          </w:p>
        </w:tc>
        <w:tc>
          <w:tcPr>
            <w:tcW w:w="32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Form of Director Restricted Stock Unit Award Agreement under the 2012 Long-Term Incentive Plan.</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3"/>
              </w:rPr>
              <w:t>31.1 *</w:t>
            </w:r>
          </w:p>
        </w:tc>
        <w:tc>
          <w:tcPr>
            <w:tcW w:w="32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Rule 13a-14(a)/15d-14(a) Certifications of CEO.</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3"/>
              </w:rPr>
              <w:t>31.2 *</w:t>
            </w:r>
          </w:p>
        </w:tc>
        <w:tc>
          <w:tcPr>
            <w:tcW w:w="32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Rule 13a-14(a)/15d-14(a) Certifications of CFO.</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3"/>
              </w:rPr>
              <w:t>32.1 *</w:t>
            </w:r>
          </w:p>
        </w:tc>
        <w:tc>
          <w:tcPr>
            <w:tcW w:w="32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Section 1350 Certification of CEO.</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3"/>
              </w:rPr>
              <w:t>32.2 *</w:t>
            </w:r>
          </w:p>
        </w:tc>
        <w:tc>
          <w:tcPr>
            <w:tcW w:w="32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Section 1350 Certification of CFO.</w:t>
            </w:r>
          </w:p>
        </w:tc>
        <w:tc>
          <w:tcPr>
            <w:tcW w:w="0" w:type="dxa"/>
            <w:vAlign w:val="bottom"/>
          </w:tcPr>
          <w:p>
            <w:pPr>
              <w:spacing w:after="0"/>
              <w:rPr>
                <w:sz w:val="1"/>
                <w:szCs w:val="1"/>
                <w:color w:val="auto"/>
              </w:rPr>
            </w:pPr>
          </w:p>
        </w:tc>
      </w:tr>
      <w:tr>
        <w:trPr>
          <w:trHeight w:val="392"/>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101.INS</w:t>
            </w: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101.SCH</w:t>
            </w: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101.PRE</w:t>
            </w:r>
          </w:p>
        </w:tc>
        <w:tc>
          <w:tcPr>
            <w:tcW w:w="98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240" w:top="125" w:right="5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FAIR ISAAC CORPORATION</w:t>
      </w:r>
    </w:p>
    <w:p>
      <w:pPr>
        <w:spacing w:after="0" w:line="38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2017</w:t>
      </w:r>
    </w:p>
    <w:p>
      <w:pPr>
        <w:spacing w:after="0" w:line="387" w:lineRule="exact"/>
        <w:rPr>
          <w:sz w:val="20"/>
          <w:szCs w:val="20"/>
          <w:color w:val="auto"/>
        </w:rPr>
      </w:pPr>
    </w:p>
    <w:p>
      <w:pPr>
        <w:ind w:left="542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Michael J. Pung</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(for Registrant as duly authorized officer and</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as Principal Financial Officer)</w:t>
      </w:r>
    </w:p>
    <w:p>
      <w:pPr>
        <w:spacing w:after="0" w:line="38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2017</w:t>
      </w:r>
    </w:p>
    <w:p>
      <w:pPr>
        <w:spacing w:after="0" w:line="387" w:lineRule="exact"/>
        <w:rPr>
          <w:sz w:val="20"/>
          <w:szCs w:val="20"/>
          <w:color w:val="auto"/>
        </w:rPr>
      </w:pPr>
    </w:p>
    <w:p>
      <w:pPr>
        <w:ind w:left="542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Michael S. Leonard</w:t>
      </w:r>
    </w:p>
    <w:p>
      <w:pPr>
        <w:spacing w:after="0" w:line="63"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To Fair Isaac Corporation Report On Form 10-Q</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3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3640" w:type="dxa"/>
            <w:vAlign w:val="bottom"/>
          </w:tcPr>
          <w:p>
            <w:pPr>
              <w:spacing w:after="0"/>
              <w:rPr>
                <w:sz w:val="14"/>
                <w:szCs w:val="14"/>
                <w:color w:val="auto"/>
              </w:rPr>
            </w:pPr>
          </w:p>
        </w:tc>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Number</w:t>
            </w:r>
          </w:p>
        </w:tc>
        <w:tc>
          <w:tcPr>
            <w:tcW w:w="3640" w:type="dxa"/>
            <w:vAlign w:val="bottom"/>
          </w:tcPr>
          <w:p>
            <w:pPr>
              <w:spacing w:after="0"/>
              <w:rPr>
                <w:sz w:val="13"/>
                <w:szCs w:val="13"/>
                <w:color w:val="auto"/>
              </w:rPr>
            </w:pPr>
          </w:p>
        </w:tc>
        <w:tc>
          <w:tcPr>
            <w:tcW w:w="4080" w:type="dxa"/>
            <w:vAlign w:val="bottom"/>
            <w:gridSpan w:val="2"/>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2"/>
                <w:szCs w:val="22"/>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Composite Restated Certificate of Incorporation of Fair Isaac Corporation.</w:t>
            </w:r>
          </w:p>
        </w:tc>
        <w:tc>
          <w:tcPr>
            <w:tcW w:w="2200" w:type="dxa"/>
            <w:vAlign w:val="bottom"/>
          </w:tcPr>
          <w:p>
            <w:pPr>
              <w:ind w:left="280"/>
              <w:spacing w:after="0"/>
              <w:rPr>
                <w:sz w:val="20"/>
                <w:szCs w:val="20"/>
                <w:color w:val="auto"/>
              </w:rPr>
            </w:pPr>
            <w:r>
              <w:rPr>
                <w:rFonts w:ascii="Arial" w:cs="Arial" w:eastAsia="Arial" w:hAnsi="Arial"/>
                <w:sz w:val="18"/>
                <w:szCs w:val="18"/>
                <w:color w:val="auto"/>
                <w:w w:val="89"/>
              </w:rPr>
              <w:t>Incorporated by Reference</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ind w:left="11"/>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By-laws of Fair Isaac Corporation.</w:t>
            </w:r>
          </w:p>
        </w:tc>
        <w:tc>
          <w:tcPr>
            <w:tcW w:w="2200" w:type="dxa"/>
            <w:vAlign w:val="bottom"/>
          </w:tcPr>
          <w:p>
            <w:pPr>
              <w:ind w:left="280"/>
              <w:spacing w:after="0"/>
              <w:rPr>
                <w:sz w:val="20"/>
                <w:szCs w:val="20"/>
                <w:color w:val="auto"/>
              </w:rPr>
            </w:pPr>
            <w:r>
              <w:rPr>
                <w:rFonts w:ascii="Arial" w:cs="Arial" w:eastAsia="Arial" w:hAnsi="Arial"/>
                <w:sz w:val="18"/>
                <w:szCs w:val="18"/>
                <w:color w:val="auto"/>
                <w:w w:val="89"/>
              </w:rPr>
              <w:t>Incorporated by Reference</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w w:val="95"/>
              </w:rPr>
              <w:t>Form of Director Non-Statutory Stock Option Agreement under the 2012 Long-Term Incentive Plan.</w:t>
            </w:r>
          </w:p>
        </w:tc>
        <w:tc>
          <w:tcPr>
            <w:tcW w:w="2200" w:type="dxa"/>
            <w:vAlign w:val="bottom"/>
          </w:tcPr>
          <w:p>
            <w:pPr>
              <w:ind w:left="28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w w:val="95"/>
              </w:rPr>
              <w:t>Form of Director Restricted Stock Unit Award Agreement under the 2012 Long-Term Incentive Plan.</w:t>
            </w:r>
          </w:p>
        </w:tc>
        <w:tc>
          <w:tcPr>
            <w:tcW w:w="2200" w:type="dxa"/>
            <w:vAlign w:val="bottom"/>
          </w:tcPr>
          <w:p>
            <w:pPr>
              <w:ind w:left="28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24"/>
                <w:szCs w:val="24"/>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Rule 13a-14(a)/15d-14(a) Certifications of CEO.</w:t>
            </w:r>
          </w:p>
        </w:tc>
        <w:tc>
          <w:tcPr>
            <w:tcW w:w="2200" w:type="dxa"/>
            <w:vAlign w:val="bottom"/>
          </w:tcPr>
          <w:p>
            <w:pPr>
              <w:ind w:left="28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24"/>
                <w:szCs w:val="24"/>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Rule 13a-14(a)/15d-14(a) Certifications of CFO.</w:t>
            </w:r>
          </w:p>
        </w:tc>
        <w:tc>
          <w:tcPr>
            <w:tcW w:w="2200" w:type="dxa"/>
            <w:vAlign w:val="bottom"/>
          </w:tcPr>
          <w:p>
            <w:pPr>
              <w:ind w:left="28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24"/>
                <w:szCs w:val="24"/>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Section 1350 Certification of CEO.</w:t>
            </w:r>
          </w:p>
        </w:tc>
        <w:tc>
          <w:tcPr>
            <w:tcW w:w="2200" w:type="dxa"/>
            <w:vAlign w:val="bottom"/>
          </w:tcPr>
          <w:p>
            <w:pPr>
              <w:ind w:left="28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220" w:type="dxa"/>
            <w:vAlign w:val="bottom"/>
          </w:tcPr>
          <w:p>
            <w:pPr>
              <w:spacing w:after="0"/>
              <w:rPr>
                <w:sz w:val="24"/>
                <w:szCs w:val="24"/>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Section 1350 Certification of CFO.</w:t>
            </w:r>
          </w:p>
        </w:tc>
        <w:tc>
          <w:tcPr>
            <w:tcW w:w="2200" w:type="dxa"/>
            <w:vAlign w:val="bottom"/>
          </w:tcPr>
          <w:p>
            <w:pPr>
              <w:ind w:left="28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392"/>
        </w:trPr>
        <w:tc>
          <w:tcPr>
            <w:tcW w:w="8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101.INS</w:t>
            </w: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101.SCH</w:t>
            </w: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gridSpan w:val="3"/>
          </w:tcPr>
          <w:p>
            <w:pPr>
              <w:jc w:val="center"/>
              <w:ind w:right="140"/>
              <w:spacing w:after="0"/>
              <w:rPr>
                <w:sz w:val="20"/>
                <w:szCs w:val="20"/>
                <w:color w:val="auto"/>
              </w:rPr>
            </w:pPr>
            <w:r>
              <w:rPr>
                <w:rFonts w:ascii="Arial" w:cs="Arial" w:eastAsia="Arial" w:hAnsi="Arial"/>
                <w:sz w:val="18"/>
                <w:szCs w:val="18"/>
                <w:color w:val="auto"/>
                <w:w w:val="97"/>
              </w:rPr>
              <w:t>101.CAL</w:t>
            </w: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101.DEF</w:t>
            </w: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101.LAB</w:t>
            </w: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101.PRE</w:t>
            </w: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3"/>
          </w:tcPr>
          <w:p>
            <w:pPr>
              <w:ind w:left="4680"/>
              <w:spacing w:after="0"/>
              <w:rPr>
                <w:sz w:val="20"/>
                <w:szCs w:val="20"/>
                <w:color w:val="auto"/>
              </w:rPr>
            </w:pPr>
            <w:r>
              <w:rPr>
                <w:rFonts w:ascii="Arial" w:cs="Arial" w:eastAsia="Arial" w:hAnsi="Arial"/>
                <w:sz w:val="18"/>
                <w:szCs w:val="18"/>
                <w:color w:val="auto"/>
              </w:rPr>
              <w:t>47</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125" w:right="7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Isaac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Long-Term Incentive Plan</w:t>
      </w:r>
    </w:p>
    <w:p>
      <w:pPr>
        <w:jc w:val="center"/>
        <w:spacing w:after="0"/>
        <w:rPr>
          <w:sz w:val="20"/>
          <w:szCs w:val="20"/>
          <w:color w:val="auto"/>
        </w:rPr>
      </w:pPr>
      <w:r>
        <w:rPr>
          <w:rFonts w:ascii="Arial" w:cs="Arial" w:eastAsia="Arial" w:hAnsi="Arial"/>
          <w:sz w:val="20"/>
          <w:szCs w:val="20"/>
          <w:b w:val="1"/>
          <w:bCs w:val="1"/>
          <w:color w:val="auto"/>
        </w:rPr>
        <w:t>Director Non-Statutory Stock Option Agreement</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20"/>
          <w:szCs w:val="20"/>
          <w:b w:val="1"/>
          <w:bCs w:val="1"/>
          <w:u w:val="single" w:color="auto"/>
          <w:color w:val="auto"/>
        </w:rPr>
        <w:t>Option Terms and Conditions</w:t>
      </w:r>
      <w:r>
        <w:rPr>
          <w:rFonts w:ascii="Arial" w:cs="Arial" w:eastAsia="Arial" w:hAnsi="Arial"/>
          <w:sz w:val="25"/>
          <w:szCs w:val="25"/>
          <w:color w:val="auto"/>
          <w:vertAlign w:val="superscript"/>
        </w:rPr>
        <w:t>*</w:t>
      </w:r>
    </w:p>
    <w:p>
      <w:pPr>
        <w:spacing w:after="0" w:line="347" w:lineRule="exact"/>
        <w:rPr>
          <w:sz w:val="20"/>
          <w:szCs w:val="20"/>
          <w:color w:val="auto"/>
        </w:rPr>
      </w:pPr>
    </w:p>
    <w:p>
      <w:pPr>
        <w:jc w:val="both"/>
        <w:ind w:left="660" w:hanging="652"/>
        <w:spacing w:after="0" w:line="253"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Stock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hereby grants to you, subject to the terms and conditions in this Director Non-Statutory Stock</w:t>
      </w:r>
      <w:r>
        <w:rPr>
          <w:rFonts w:ascii="Arial" w:cs="Arial" w:eastAsia="Arial" w:hAnsi="Arial"/>
          <w:sz w:val="20"/>
          <w:szCs w:val="20"/>
          <w:b w:val="1"/>
          <w:bCs w:val="1"/>
          <w:color w:val="auto"/>
        </w:rPr>
        <w:t xml:space="preserve"> </w:t>
      </w:r>
      <w:r>
        <w:rPr>
          <w:rFonts w:ascii="Arial" w:cs="Arial" w:eastAsia="Arial" w:hAnsi="Arial"/>
          <w:sz w:val="20"/>
          <w:szCs w:val="20"/>
          <w:color w:val="auto"/>
        </w:rPr>
        <w:t>Option Agreement (the “Agreement”) and subject to the terms and conditions of the Plan, an option to purchase the number of Shares specified on the cover page of this Agreement (the “Option”).</w:t>
      </w:r>
    </w:p>
    <w:p>
      <w:pPr>
        <w:spacing w:after="0" w:line="177" w:lineRule="exact"/>
        <w:rPr>
          <w:rFonts w:ascii="Arial" w:cs="Arial" w:eastAsia="Arial" w:hAnsi="Arial"/>
          <w:sz w:val="20"/>
          <w:szCs w:val="20"/>
          <w:color w:val="auto"/>
        </w:rPr>
      </w:pPr>
    </w:p>
    <w:p>
      <w:pPr>
        <w:ind w:left="660" w:hanging="652"/>
        <w:spacing w:after="0" w:line="267"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Non-Statutory Stock Option</w:t>
      </w:r>
      <w:r>
        <w:rPr>
          <w:rFonts w:ascii="Arial" w:cs="Arial" w:eastAsia="Arial" w:hAnsi="Arial"/>
          <w:sz w:val="20"/>
          <w:szCs w:val="20"/>
          <w:color w:val="auto"/>
        </w:rPr>
        <w:t>. This Option 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not</w:t>
      </w:r>
      <w:r>
        <w:rPr>
          <w:rFonts w:ascii="Arial" w:cs="Arial" w:eastAsia="Arial" w:hAnsi="Arial"/>
          <w:sz w:val="20"/>
          <w:szCs w:val="20"/>
          <w:b w:val="1"/>
          <w:bCs w:val="1"/>
          <w:color w:val="auto"/>
        </w:rPr>
        <w:t xml:space="preserve"> </w:t>
      </w:r>
      <w:r>
        <w:rPr>
          <w:rFonts w:ascii="Arial" w:cs="Arial" w:eastAsia="Arial" w:hAnsi="Arial"/>
          <w:sz w:val="20"/>
          <w:szCs w:val="20"/>
          <w:color w:val="auto"/>
        </w:rPr>
        <w:t>intended to be an “incentive stock option” within the meaning of Section 422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Code and will be interpreted accordingly.</w:t>
      </w:r>
    </w:p>
    <w:p>
      <w:pPr>
        <w:spacing w:after="0" w:line="163"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and Exercise Schedule</w:t>
      </w:r>
      <w:r>
        <w:rPr>
          <w:rFonts w:ascii="Arial" w:cs="Arial" w:eastAsia="Arial" w:hAnsi="Arial"/>
          <w:sz w:val="20"/>
          <w:szCs w:val="20"/>
          <w:color w:val="auto"/>
        </w:rPr>
        <w:t>. This Option will vest and become exercisable as to the portion of Shares and on the dates specified 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cover page to this Agreement, so long as you remain a Service Provider. The vesting and exercise schedule is cumulative, meaning that to the extent the Option has not already been exercised and has not expired, terminated or been cancelled, you or the person otherwise entitled to exercise the Option as provided in this Agreement may at any time purchase all or any portion of the Shares that may then be purchased under that schedule.</w:t>
      </w:r>
    </w:p>
    <w:p>
      <w:pPr>
        <w:spacing w:after="0" w:line="191"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Vesting and exercisability of this Option will be accelerated during the term of the Option if your Service to the Company or any Affiliate terminates because of your death or Disability, as provided in Section 6(e)(2) of the Plan. Vesting and exercisability will also be accelerated under the circumstances described in Section 13(d) of the Plan or upon a Change in Control and may be accelerated by action of the Committee in accordance with Section 3(b)(2) of the Plan.</w:t>
      </w:r>
    </w:p>
    <w:p>
      <w:pPr>
        <w:spacing w:after="0" w:line="18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Expiration</w:t>
      </w:r>
      <w:r>
        <w:rPr>
          <w:rFonts w:ascii="Arial" w:cs="Arial" w:eastAsia="Arial" w:hAnsi="Arial"/>
          <w:sz w:val="20"/>
          <w:szCs w:val="20"/>
          <w:color w:val="auto"/>
        </w:rPr>
        <w:t>. This Option will expire and will no longer be exercisable at 5:00 p.m. Central Time on the earlier of:</w:t>
      </w:r>
    </w:p>
    <w:p>
      <w:pPr>
        <w:spacing w:after="0" w:line="221" w:lineRule="exact"/>
        <w:rPr>
          <w:rFonts w:ascii="Arial" w:cs="Arial" w:eastAsia="Arial" w:hAnsi="Arial"/>
          <w:sz w:val="20"/>
          <w:szCs w:val="20"/>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20"/>
          <w:szCs w:val="20"/>
          <w:color w:val="auto"/>
        </w:rPr>
        <w:t>the expiration date specified on the cover page of this Agreement; or</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20"/>
          <w:szCs w:val="20"/>
          <w:color w:val="auto"/>
        </w:rPr>
        <w:t>the date that is one year after the termination of your Service as a Service Provider.</w:t>
      </w:r>
    </w:p>
    <w:p>
      <w:pPr>
        <w:spacing w:after="0" w:line="209"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Service Requirement</w:t>
      </w:r>
      <w:r>
        <w:rPr>
          <w:rFonts w:ascii="Arial" w:cs="Arial" w:eastAsia="Arial" w:hAnsi="Arial"/>
          <w:sz w:val="20"/>
          <w:szCs w:val="20"/>
          <w:color w:val="auto"/>
        </w:rPr>
        <w:t>. Except as otherwise provided in Section 3(b) of this Agreement and Section 6(e)(2) of the Plan, this Option</w:t>
      </w:r>
      <w:r>
        <w:rPr>
          <w:rFonts w:ascii="Arial" w:cs="Arial" w:eastAsia="Arial" w:hAnsi="Arial"/>
          <w:sz w:val="20"/>
          <w:szCs w:val="20"/>
          <w:b w:val="1"/>
          <w:bCs w:val="1"/>
          <w:color w:val="auto"/>
        </w:rPr>
        <w:t xml:space="preserve"> </w:t>
      </w:r>
      <w:r>
        <w:rPr>
          <w:rFonts w:ascii="Arial" w:cs="Arial" w:eastAsia="Arial" w:hAnsi="Arial"/>
          <w:sz w:val="20"/>
          <w:szCs w:val="20"/>
          <w:color w:val="auto"/>
        </w:rPr>
        <w:t>may be exercised only while you continue to provide Service to the Company or an Affiliate as a Service Provider, and only if you have continuously provided such Service since the date this Option was granted.</w:t>
      </w:r>
    </w:p>
    <w:p>
      <w:pPr>
        <w:spacing w:after="0" w:line="177" w:lineRule="exact"/>
        <w:rPr>
          <w:rFonts w:ascii="Arial" w:cs="Arial" w:eastAsia="Arial" w:hAnsi="Arial"/>
          <w:sz w:val="20"/>
          <w:szCs w:val="20"/>
          <w:color w:val="auto"/>
        </w:rPr>
      </w:pPr>
    </w:p>
    <w:p>
      <w:pPr>
        <w:jc w:val="both"/>
        <w:ind w:left="660" w:hanging="652"/>
        <w:spacing w:after="0" w:line="28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Subject to Section 5 of this Agreement and the Company’s policies governing trading in its securities, the vested</w:t>
      </w:r>
      <w:r>
        <w:rPr>
          <w:rFonts w:ascii="Arial" w:cs="Arial" w:eastAsia="Arial" w:hAnsi="Arial"/>
          <w:sz w:val="18"/>
          <w:szCs w:val="18"/>
          <w:b w:val="1"/>
          <w:bCs w:val="1"/>
          <w:color w:val="auto"/>
        </w:rPr>
        <w:t xml:space="preserve"> </w:t>
      </w:r>
      <w:r>
        <w:rPr>
          <w:rFonts w:ascii="Arial" w:cs="Arial" w:eastAsia="Arial" w:hAnsi="Arial"/>
          <w:sz w:val="18"/>
          <w:szCs w:val="18"/>
          <w:color w:val="auto"/>
        </w:rPr>
        <w:t>and exercisable portion of this Option may be exercised through use of an account maintained for you by a securities broker approved by the Company or through delivery to the Company’s Stock Administration office of written notification of exercise that states the number of Shares to be purchased and is signed or otherwise authenticated by the person exercising this Option. If the person exercising this Option is not the Optionee, he or she also must submit appropriate proof of his or her right to exercise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16656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65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line="27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the extent any capitalized term used in this Agreement is not defined, it has the meaning assigned to it in the Plan as the Plan currently exists or as it is amended in the future.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652"/>
        <w:spacing w:after="0" w:line="293" w:lineRule="auto"/>
        <w:tabs>
          <w:tab w:leader="none" w:pos="660"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of Exercise Price</w:t>
      </w:r>
      <w:r>
        <w:rPr>
          <w:rFonts w:ascii="Arial" w:cs="Arial" w:eastAsia="Arial" w:hAnsi="Arial"/>
          <w:sz w:val="19"/>
          <w:szCs w:val="19"/>
          <w:color w:val="auto"/>
        </w:rPr>
        <w:t>. When you submit your notice of exercise pursuant to Section 6 of this Agreement, you must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of the exercise price of the Shares being purchased through one or a combination of the following methods:</w:t>
      </w:r>
    </w:p>
    <w:p>
      <w:pPr>
        <w:spacing w:after="0" w:line="147" w:lineRule="exact"/>
        <w:rPr>
          <w:rFonts w:ascii="Arial" w:cs="Arial" w:eastAsia="Arial" w:hAnsi="Arial"/>
          <w:sz w:val="19"/>
          <w:szCs w:val="19"/>
          <w:color w:val="auto"/>
        </w:rPr>
      </w:pPr>
    </w:p>
    <w:p>
      <w:pPr>
        <w:ind w:left="2200" w:hanging="409"/>
        <w:spacing w:after="0"/>
        <w:tabs>
          <w:tab w:leader="none" w:pos="2200" w:val="left"/>
        </w:tabs>
        <w:numPr>
          <w:ilvl w:val="1"/>
          <w:numId w:val="32"/>
        </w:numPr>
        <w:rPr>
          <w:rFonts w:ascii="Arial" w:cs="Arial" w:eastAsia="Arial" w:hAnsi="Arial"/>
          <w:sz w:val="20"/>
          <w:szCs w:val="20"/>
          <w:color w:val="auto"/>
        </w:rPr>
      </w:pPr>
      <w:r>
        <w:rPr>
          <w:rFonts w:ascii="Arial" w:cs="Arial" w:eastAsia="Arial" w:hAnsi="Arial"/>
          <w:sz w:val="20"/>
          <w:szCs w:val="20"/>
          <w:color w:val="auto"/>
        </w:rPr>
        <w:t>your personal check, a cashier’s check or money order;</w:t>
      </w:r>
    </w:p>
    <w:p>
      <w:pPr>
        <w:spacing w:after="0" w:line="215" w:lineRule="exact"/>
        <w:rPr>
          <w:rFonts w:ascii="Arial" w:cs="Arial" w:eastAsia="Arial" w:hAnsi="Arial"/>
          <w:sz w:val="20"/>
          <w:szCs w:val="20"/>
          <w:color w:val="auto"/>
        </w:rPr>
      </w:pPr>
    </w:p>
    <w:p>
      <w:pPr>
        <w:jc w:val="both"/>
        <w:ind w:left="1140" w:firstLine="651"/>
        <w:spacing w:after="0" w:line="250" w:lineRule="auto"/>
        <w:tabs>
          <w:tab w:leader="none" w:pos="22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to the extent permitted by law, a broker-assisted cashless exercise in which you irrevocably instruct a broker to deliver proceeds of a sale of all or a portion of the Shares for which the Option is being exercised to the Company in payment of the purchase price of such Shares;</w:t>
      </w:r>
    </w:p>
    <w:p>
      <w:pPr>
        <w:spacing w:after="0" w:line="186" w:lineRule="exact"/>
        <w:rPr>
          <w:rFonts w:ascii="Arial" w:cs="Arial" w:eastAsia="Arial" w:hAnsi="Arial"/>
          <w:sz w:val="20"/>
          <w:szCs w:val="20"/>
          <w:color w:val="auto"/>
        </w:rPr>
      </w:pPr>
    </w:p>
    <w:p>
      <w:pPr>
        <w:ind w:left="1140" w:firstLine="651"/>
        <w:spacing w:after="0" w:line="287" w:lineRule="auto"/>
        <w:tabs>
          <w:tab w:leader="none" w:pos="2188" w:val="left"/>
        </w:tabs>
        <w:numPr>
          <w:ilvl w:val="1"/>
          <w:numId w:val="32"/>
        </w:numPr>
        <w:rPr>
          <w:rFonts w:ascii="Arial" w:cs="Arial" w:eastAsia="Arial" w:hAnsi="Arial"/>
          <w:sz w:val="19"/>
          <w:szCs w:val="19"/>
          <w:color w:val="auto"/>
        </w:rPr>
      </w:pPr>
      <w:r>
        <w:rPr>
          <w:rFonts w:ascii="Arial" w:cs="Arial" w:eastAsia="Arial" w:hAnsi="Arial"/>
          <w:sz w:val="19"/>
          <w:szCs w:val="19"/>
          <w:color w:val="auto"/>
        </w:rPr>
        <w:t>by delivery to the Company or its designated agent of unencumbered Shares having an aggregate Fair Market Value on the date of exercise equal to the exercise price of the Shares for which the Option is being exercised; or</w:t>
      </w:r>
    </w:p>
    <w:p>
      <w:pPr>
        <w:spacing w:after="0" w:line="152" w:lineRule="exact"/>
        <w:rPr>
          <w:rFonts w:ascii="Arial" w:cs="Arial" w:eastAsia="Arial" w:hAnsi="Arial"/>
          <w:sz w:val="19"/>
          <w:szCs w:val="19"/>
          <w:color w:val="auto"/>
        </w:rPr>
      </w:pPr>
    </w:p>
    <w:p>
      <w:pPr>
        <w:jc w:val="both"/>
        <w:ind w:left="1140" w:firstLine="651"/>
        <w:spacing w:after="0" w:line="250" w:lineRule="auto"/>
        <w:tabs>
          <w:tab w:leader="none" w:pos="2212" w:val="left"/>
        </w:tabs>
        <w:numPr>
          <w:ilvl w:val="1"/>
          <w:numId w:val="32"/>
        </w:numPr>
        <w:rPr>
          <w:rFonts w:ascii="Arial" w:cs="Arial" w:eastAsia="Arial" w:hAnsi="Arial"/>
          <w:sz w:val="20"/>
          <w:szCs w:val="20"/>
          <w:color w:val="auto"/>
        </w:rPr>
      </w:pPr>
      <w:r>
        <w:rPr>
          <w:rFonts w:ascii="Arial" w:cs="Arial" w:eastAsia="Arial" w:hAnsi="Arial"/>
          <w:sz w:val="20"/>
          <w:szCs w:val="20"/>
          <w:color w:val="auto"/>
        </w:rPr>
        <w:t>by a reduction in the number of Shares to be delivered to you upon exercise, such number of Shares to be withheld having an aggregate Fair Market Value on the date of exercise equal to the exercise price of the Shares for which the Option is being exercised.</w:t>
      </w:r>
    </w:p>
    <w:p>
      <w:pPr>
        <w:spacing w:after="0" w:line="186"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However, if the Committee determines, in any given circumstance, that payment of the exercise price with Shares pursuant to subsection (c) above or by authorizing the Company to retain Shares pursuant to subsection (d) above is undesirable for any reason, you will not be permitted to pay any portion of the exercise price in that manner. Moreover, if the Committee determines that payment of the exercise price by one of the methods specified above is required or desirable for legal or administrative reasons, you will be required to pay the exercise price by such method.</w:t>
      </w:r>
    </w:p>
    <w:p>
      <w:pPr>
        <w:spacing w:after="0" w:line="189" w:lineRule="exact"/>
        <w:rPr>
          <w:sz w:val="20"/>
          <w:szCs w:val="20"/>
          <w:color w:val="auto"/>
        </w:rPr>
      </w:pPr>
    </w:p>
    <w:p>
      <w:pPr>
        <w:ind w:left="660" w:hanging="652"/>
        <w:spacing w:after="0" w:line="267"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 Taxes</w:t>
      </w:r>
      <w:r>
        <w:rPr>
          <w:rFonts w:ascii="Arial" w:cs="Arial" w:eastAsia="Arial" w:hAnsi="Arial"/>
          <w:sz w:val="20"/>
          <w:szCs w:val="20"/>
          <w:color w:val="auto"/>
        </w:rPr>
        <w:t>. Provided you are a U.S. based director, you are responsible for paying any withholding taxes that may be due as a</w:t>
      </w:r>
      <w:r>
        <w:rPr>
          <w:rFonts w:ascii="Arial" w:cs="Arial" w:eastAsia="Arial" w:hAnsi="Arial"/>
          <w:sz w:val="20"/>
          <w:szCs w:val="20"/>
          <w:b w:val="1"/>
          <w:bCs w:val="1"/>
          <w:color w:val="auto"/>
        </w:rPr>
        <w:t xml:space="preserve"> </w:t>
      </w:r>
      <w:r>
        <w:rPr>
          <w:rFonts w:ascii="Arial" w:cs="Arial" w:eastAsia="Arial" w:hAnsi="Arial"/>
          <w:sz w:val="20"/>
          <w:szCs w:val="20"/>
          <w:color w:val="auto"/>
        </w:rPr>
        <w:t>result of your exercise of this Option. The Company will not withhold any taxes on your behalf.</w:t>
      </w:r>
    </w:p>
    <w:p>
      <w:pPr>
        <w:spacing w:after="0" w:line="163" w:lineRule="exact"/>
        <w:rPr>
          <w:rFonts w:ascii="Arial" w:cs="Arial" w:eastAsia="Arial" w:hAnsi="Arial"/>
          <w:sz w:val="20"/>
          <w:szCs w:val="20"/>
          <w:color w:val="auto"/>
        </w:rPr>
      </w:pPr>
    </w:p>
    <w:p>
      <w:pPr>
        <w:jc w:val="both"/>
        <w:ind w:left="660" w:hanging="652"/>
        <w:spacing w:after="0" w:line="262" w:lineRule="auto"/>
        <w:tabs>
          <w:tab w:leader="none" w:pos="660"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Delivery of Shares</w:t>
      </w:r>
      <w:r>
        <w:rPr>
          <w:rFonts w:ascii="Arial" w:cs="Arial" w:eastAsia="Arial" w:hAnsi="Arial"/>
          <w:sz w:val="19"/>
          <w:szCs w:val="19"/>
          <w:color w:val="auto"/>
        </w:rPr>
        <w:t>. As soon as practicable after the Company receives the notice of exercise and exercise price provided for above,</w:t>
      </w:r>
      <w:r>
        <w:rPr>
          <w:rFonts w:ascii="Arial" w:cs="Arial" w:eastAsia="Arial" w:hAnsi="Arial"/>
          <w:sz w:val="19"/>
          <w:szCs w:val="19"/>
          <w:b w:val="1"/>
          <w:bCs w:val="1"/>
          <w:color w:val="auto"/>
        </w:rPr>
        <w:t xml:space="preserve"> </w:t>
      </w:r>
      <w:r>
        <w:rPr>
          <w:rFonts w:ascii="Arial" w:cs="Arial" w:eastAsia="Arial" w:hAnsi="Arial"/>
          <w:sz w:val="19"/>
          <w:szCs w:val="19"/>
          <w:color w:val="auto"/>
        </w:rPr>
        <w:t>and determines that all conditions to exercise and delivery of Shares and the compliance provisions of Section 17 of this Agreement, have been satisfied, it will arrange for the delivery of the Shares being purchased. Delivery of the Shares shall be effected by the electronic delivery of the Shares to a brokerage account designated by you and acceptable to the Company, or by another method provided by the Company. All Shares so issued will be fully paid and nonassessable.</w:t>
      </w:r>
    </w:p>
    <w:p>
      <w:pPr>
        <w:spacing w:after="0" w:line="171" w:lineRule="exact"/>
        <w:rPr>
          <w:rFonts w:ascii="Arial" w:cs="Arial" w:eastAsia="Arial" w:hAnsi="Arial"/>
          <w:sz w:val="19"/>
          <w:szCs w:val="19"/>
          <w:color w:val="auto"/>
        </w:rPr>
      </w:pPr>
    </w:p>
    <w:p>
      <w:pPr>
        <w:jc w:val="both"/>
        <w:ind w:left="660" w:hanging="652"/>
        <w:spacing w:after="0" w:line="258" w:lineRule="auto"/>
        <w:tabs>
          <w:tab w:leader="none" w:pos="660"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Transfer of Option</w:t>
      </w:r>
      <w:r>
        <w:rPr>
          <w:rFonts w:ascii="Arial" w:cs="Arial" w:eastAsia="Arial" w:hAnsi="Arial"/>
          <w:sz w:val="19"/>
          <w:szCs w:val="19"/>
          <w:color w:val="auto"/>
        </w:rPr>
        <w:t>. During your lifetime, only you (or your guardian or legal representative in the event of legal incapacity) may</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this Option except in the case of a transfer described below. You may not assign or transfer this Option other than (i) a transfer upon your death in accordance with your will, by the laws of descent and distribution or pursuant to a beneficiary designation submitted in accordance with Section 6(d) of the Plan, (ii) pursuant to a qualified domestic relations order, or (iii) by gift to any “family member” (as defined in General Instruction A.1(a)(5) to Form S-8 under the Securities Act of 1933). Following any such transfer, this Option shall continue to be subject to the same terms and conditions that were applicable to this Option immediately prior to its transfer and may be exercised by such permitted transferee as and to the extent that this Option has become exercisable and has not terminated in accordance with the provisions of the Plan and this Agreement.</w:t>
      </w:r>
    </w:p>
    <w:p>
      <w:pPr>
        <w:spacing w:after="0" w:line="173" w:lineRule="exact"/>
        <w:rPr>
          <w:rFonts w:ascii="Arial" w:cs="Arial" w:eastAsia="Arial" w:hAnsi="Arial"/>
          <w:sz w:val="19"/>
          <w:szCs w:val="19"/>
          <w:color w:val="auto"/>
        </w:rPr>
      </w:pPr>
    </w:p>
    <w:p>
      <w:pPr>
        <w:jc w:val="both"/>
        <w:ind w:left="660" w:hanging="652"/>
        <w:spacing w:after="0" w:line="28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No Shareholder Rights Before Delivery of Shares</w:t>
      </w:r>
      <w:r>
        <w:rPr>
          <w:rFonts w:ascii="Arial" w:cs="Arial" w:eastAsia="Arial" w:hAnsi="Arial"/>
          <w:sz w:val="18"/>
          <w:szCs w:val="18"/>
          <w:color w:val="auto"/>
        </w:rPr>
        <w:t>. Neither you nor any permitted transferee of this Option will have any of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a shareholder of the Company with respect to any Shares subject to this Option until such Shares have been delivered to you or your permitted transferee pursuant to Section 9 of this Agreement. No adjustments shall be made for dividends or other rights if the applicable record date occurs before such delivery has been effected, except as otherwise described in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64" w:lineRule="exact"/>
        <w:rPr>
          <w:sz w:val="20"/>
          <w:szCs w:val="20"/>
          <w:color w:val="auto"/>
        </w:rPr>
      </w:pPr>
    </w:p>
    <w:p>
      <w:pPr>
        <w:jc w:val="both"/>
        <w:ind w:left="660" w:hanging="652"/>
        <w:spacing w:after="0" w:line="253"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Discontinuance of Service</w:t>
      </w:r>
      <w:r>
        <w:rPr>
          <w:rFonts w:ascii="Arial" w:cs="Arial" w:eastAsia="Arial" w:hAnsi="Arial"/>
          <w:sz w:val="20"/>
          <w:szCs w:val="20"/>
          <w:color w:val="auto"/>
        </w:rPr>
        <w:t>. This Agreement does not give you a right to continued Service with the Company or any Affiliate,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any such Affiliate may terminate your Service at any time and otherwise deal with you without regard to the effect it may have upon you under this Agreement.</w:t>
      </w:r>
    </w:p>
    <w:p>
      <w:pPr>
        <w:spacing w:after="0" w:line="177" w:lineRule="exact"/>
        <w:rPr>
          <w:rFonts w:ascii="Arial" w:cs="Arial" w:eastAsia="Arial" w:hAnsi="Arial"/>
          <w:sz w:val="20"/>
          <w:szCs w:val="20"/>
          <w:color w:val="auto"/>
        </w:rPr>
      </w:pPr>
    </w:p>
    <w:p>
      <w:pPr>
        <w:jc w:val="both"/>
        <w:ind w:left="660" w:hanging="652"/>
        <w:spacing w:after="0" w:line="273" w:lineRule="auto"/>
        <w:tabs>
          <w:tab w:leader="none" w:pos="660"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This Agreement and Option are subject to all the provisions of the Plan, and to all interpretations, rules</w:t>
      </w:r>
      <w:r>
        <w:rPr>
          <w:rFonts w:ascii="Arial" w:cs="Arial" w:eastAsia="Arial" w:hAnsi="Arial"/>
          <w:sz w:val="19"/>
          <w:szCs w:val="19"/>
          <w:b w:val="1"/>
          <w:bCs w:val="1"/>
          <w:color w:val="auto"/>
        </w:rPr>
        <w:t xml:space="preserve"> </w:t>
      </w:r>
      <w:r>
        <w:rPr>
          <w:rFonts w:ascii="Arial" w:cs="Arial" w:eastAsia="Arial" w:hAnsi="Arial"/>
          <w:sz w:val="19"/>
          <w:szCs w:val="19"/>
          <w:color w:val="auto"/>
        </w:rPr>
        <w:t>and regulations which may, from time to time, be adopted and promulgated by the Committee pursuant to the Plan. If there is any conflict between the provisions of this Agreement and the Plan, the provisions of the Plan will govern.</w:t>
      </w:r>
    </w:p>
    <w:p>
      <w:pPr>
        <w:spacing w:after="0" w:line="159" w:lineRule="exact"/>
        <w:rPr>
          <w:rFonts w:ascii="Arial" w:cs="Arial" w:eastAsia="Arial" w:hAnsi="Arial"/>
          <w:sz w:val="19"/>
          <w:szCs w:val="19"/>
          <w:color w:val="auto"/>
        </w:rPr>
      </w:pPr>
    </w:p>
    <w:p>
      <w:pPr>
        <w:jc w:val="both"/>
        <w:ind w:left="660" w:hanging="652"/>
        <w:spacing w:after="0" w:line="248"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spacing w:after="0" w:line="183" w:lineRule="exact"/>
        <w:rPr>
          <w:rFonts w:ascii="Arial" w:cs="Arial" w:eastAsia="Arial" w:hAnsi="Arial"/>
          <w:sz w:val="20"/>
          <w:szCs w:val="20"/>
          <w:color w:val="auto"/>
        </w:rPr>
      </w:pPr>
    </w:p>
    <w:p>
      <w:pPr>
        <w:jc w:val="both"/>
        <w:ind w:left="660" w:hanging="652"/>
        <w:spacing w:after="0" w:line="266" w:lineRule="auto"/>
        <w:tabs>
          <w:tab w:leader="none" w:pos="660"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and Venue</w:t>
      </w:r>
      <w:r>
        <w:rPr>
          <w:rFonts w:ascii="Arial" w:cs="Arial" w:eastAsia="Arial" w:hAnsi="Arial"/>
          <w:sz w:val="19"/>
          <w:szCs w:val="19"/>
          <w:color w:val="auto"/>
        </w:rPr>
        <w:t>. This Option and Agreement will be interpreted and construed in accordance with and governed by the laws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State of Minnesota and you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w:t>
      </w:r>
    </w:p>
    <w:p>
      <w:pPr>
        <w:spacing w:after="0" w:line="165" w:lineRule="exact"/>
        <w:rPr>
          <w:rFonts w:ascii="Arial" w:cs="Arial" w:eastAsia="Arial" w:hAnsi="Arial"/>
          <w:sz w:val="19"/>
          <w:szCs w:val="19"/>
          <w:color w:val="auto"/>
        </w:rPr>
      </w:pPr>
    </w:p>
    <w:p>
      <w:pPr>
        <w:ind w:left="660" w:right="20" w:hanging="652"/>
        <w:spacing w:after="0" w:line="267"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of the Company.</w:t>
      </w:r>
    </w:p>
    <w:p>
      <w:pPr>
        <w:spacing w:after="0" w:line="163" w:lineRule="exact"/>
        <w:rPr>
          <w:rFonts w:ascii="Arial" w:cs="Arial" w:eastAsia="Arial" w:hAnsi="Arial"/>
          <w:sz w:val="20"/>
          <w:szCs w:val="20"/>
          <w:color w:val="auto"/>
        </w:rPr>
      </w:pPr>
    </w:p>
    <w:p>
      <w:pPr>
        <w:jc w:val="both"/>
        <w:ind w:left="660" w:hanging="652"/>
        <w:spacing w:after="0" w:line="27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Plan or this Agreement, unless there is an exemption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qualification or other legal requirement applicable to the Shares, the Company shall not be required to deliver any Shares issuable upon exercise of the Option prior to the completion of any registration or qualification of the shares under any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spacing w:after="0" w:line="166" w:lineRule="exact"/>
        <w:rPr>
          <w:rFonts w:ascii="Arial" w:cs="Arial" w:eastAsia="Arial" w:hAnsi="Arial"/>
          <w:sz w:val="18"/>
          <w:szCs w:val="18"/>
          <w:color w:val="auto"/>
        </w:rPr>
      </w:pPr>
    </w:p>
    <w:p>
      <w:pPr>
        <w:ind w:left="660" w:right="40" w:hanging="652"/>
        <w:spacing w:after="0" w:line="253"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Insider Trading Policy</w:t>
      </w:r>
      <w:r>
        <w:rPr>
          <w:rFonts w:ascii="Arial" w:cs="Arial" w:eastAsia="Arial" w:hAnsi="Arial"/>
          <w:sz w:val="20"/>
          <w:szCs w:val="20"/>
          <w:color w:val="auto"/>
        </w:rPr>
        <w:t>. You acknowledge that you are subject to the Company's insider trading policy as set forth in the "Statement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Policy as to Trades in the Company’s Securities. By Company Personnel and Confidential Information" and that you are responsible for ensuring compliance with the restrictions and requirements therein.</w:t>
      </w:r>
    </w:p>
    <w:p>
      <w:pPr>
        <w:spacing w:after="0" w:line="177" w:lineRule="exact"/>
        <w:rPr>
          <w:rFonts w:ascii="Arial" w:cs="Arial" w:eastAsia="Arial" w:hAnsi="Arial"/>
          <w:sz w:val="20"/>
          <w:szCs w:val="20"/>
          <w:color w:val="auto"/>
        </w:rPr>
      </w:pPr>
    </w:p>
    <w:p>
      <w:pPr>
        <w:jc w:val="both"/>
        <w:ind w:left="660" w:hanging="652"/>
        <w:spacing w:after="0" w:line="248"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your participation in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on the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83" w:lineRule="exact"/>
        <w:rPr>
          <w:rFonts w:ascii="Arial" w:cs="Arial" w:eastAsia="Arial" w:hAnsi="Arial"/>
          <w:sz w:val="20"/>
          <w:szCs w:val="20"/>
          <w:color w:val="auto"/>
        </w:rPr>
      </w:pPr>
    </w:p>
    <w:p>
      <w:pPr>
        <w:jc w:val="both"/>
        <w:ind w:left="740" w:hanging="651"/>
        <w:spacing w:after="0" w:line="248" w:lineRule="auto"/>
        <w:tabs>
          <w:tab w:leader="none" w:pos="740" w:val="left"/>
        </w:tabs>
        <w:numPr>
          <w:ilvl w:val="1"/>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83" w:lineRule="exact"/>
        <w:rPr>
          <w:rFonts w:ascii="Arial" w:cs="Arial" w:eastAsia="Arial" w:hAnsi="Arial"/>
          <w:sz w:val="20"/>
          <w:szCs w:val="20"/>
          <w:color w:val="auto"/>
        </w:rPr>
      </w:pPr>
    </w:p>
    <w:p>
      <w:pPr>
        <w:ind w:left="740" w:hanging="651"/>
        <w:spacing w:after="0" w:line="293" w:lineRule="auto"/>
        <w:tabs>
          <w:tab w:leader="none" w:pos="740" w:val="left"/>
        </w:tabs>
        <w:numPr>
          <w:ilvl w:val="1"/>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color w:val="auto"/>
        </w:rPr>
        <w:t>. You acknowledge that a waiver by the Company of breach of any provision of this Agreement shall not operate or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as a waiver of any other provision of this Agreement, or of any subsequent breach by you or any other Participant.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40" w:right="20" w:hanging="651"/>
        <w:spacing w:after="0" w:line="293" w:lineRule="auto"/>
        <w:tabs>
          <w:tab w:leader="none" w:pos="740" w:val="left"/>
        </w:tabs>
        <w:numPr>
          <w:ilvl w:val="0"/>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By accepting this Option in the manner prescribed by the Company, you agree to all the terms and conditions described in this Agreement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Rev 2/15/2017</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6" w:name="page57"/>
    <w:bookmarkEnd w:id="56"/>
    <w:p>
      <w:pPr>
        <w:ind w:left="1048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Isaac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Long-Term Incentive Plan</w:t>
      </w:r>
    </w:p>
    <w:p>
      <w:pPr>
        <w:jc w:val="center"/>
        <w:spacing w:after="0"/>
        <w:rPr>
          <w:sz w:val="20"/>
          <w:szCs w:val="20"/>
          <w:color w:val="auto"/>
        </w:rPr>
      </w:pPr>
      <w:r>
        <w:rPr>
          <w:rFonts w:ascii="Arial" w:cs="Arial" w:eastAsia="Arial" w:hAnsi="Arial"/>
          <w:sz w:val="20"/>
          <w:szCs w:val="20"/>
          <w:b w:val="1"/>
          <w:bCs w:val="1"/>
          <w:color w:val="auto"/>
        </w:rPr>
        <w:t>Director Restricted Stock Unit Award Agreement</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Terms and Conditions</w:t>
      </w:r>
      <w:r>
        <w:rPr>
          <w:rFonts w:ascii="Arial" w:cs="Arial" w:eastAsia="Arial" w:hAnsi="Arial"/>
          <w:sz w:val="25"/>
          <w:szCs w:val="25"/>
          <w:color w:val="auto"/>
          <w:vertAlign w:val="superscript"/>
        </w:rPr>
        <w:t>*</w:t>
      </w:r>
    </w:p>
    <w:p>
      <w:pPr>
        <w:spacing w:after="0" w:line="158" w:lineRule="exact"/>
        <w:rPr>
          <w:sz w:val="20"/>
          <w:szCs w:val="20"/>
          <w:color w:val="auto"/>
        </w:rPr>
      </w:pPr>
    </w:p>
    <w:p>
      <w:pPr>
        <w:jc w:val="both"/>
        <w:ind w:left="660" w:hanging="652"/>
        <w:spacing w:after="0" w:line="28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The Company hereby grants to you, subject to the terms and conditions in this Director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 Award Agreement (the “Agreement”) and subject to the terms and conditions of the Plan, an Award of the number of Stock Units (the “Units”) specified on the cover page of this Agreement. Each Unit represents the right to receive one Share and will be credited to an account in your name maintained by the Company or its agent. This account shall be unfunded and maintained for book-keeping purposes only, with the Units simply representing an unfunded and unsecured obligation of the Company.</w:t>
      </w:r>
    </w:p>
    <w:p>
      <w:pPr>
        <w:spacing w:after="0" w:line="156" w:lineRule="exact"/>
        <w:rPr>
          <w:rFonts w:ascii="Arial" w:cs="Arial" w:eastAsia="Arial" w:hAnsi="Arial"/>
          <w:sz w:val="18"/>
          <w:szCs w:val="18"/>
          <w:color w:val="auto"/>
        </w:rPr>
      </w:pPr>
    </w:p>
    <w:p>
      <w:pPr>
        <w:jc w:val="both"/>
        <w:ind w:left="660" w:hanging="652"/>
        <w:spacing w:after="0" w:line="27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Units</w:t>
      </w:r>
      <w:r>
        <w:rPr>
          <w:rFonts w:ascii="Arial" w:cs="Arial" w:eastAsia="Arial" w:hAnsi="Arial"/>
          <w:sz w:val="18"/>
          <w:szCs w:val="18"/>
          <w:color w:val="auto"/>
        </w:rPr>
        <w:t>. Neither this Award nor the Units subject to this Award may be assigned or transferred other than (i) a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upon your death in accordance with your will, by the applicable laws of descent and distribution or pursuant to a beneficiary designation submitted in accordance with Section 6(d) of the Plan (to the extent such designation is valid under applicable law), (ii) pursuant to a qualified domestic relations order, or (iii) by gift to any “family member” (as defined in General Instruction A.1(a)(5) to Form S-8 under the Securities Act of 1933). Following any such transfer, this Award and the Units subject to this Award shall continue to be subject to the same terms and conditions that were applicable to them immediately prior to the transfer. The Units and the right you or your permitted transferee has to receive Shares in settlement of the Units under this Agreement shall be subject to forfeiture as provided in Section 4 of this Agreement until satisfaction of the vesting conditions set forth in Section 3 of this Agreement.</w:t>
      </w:r>
    </w:p>
    <w:p>
      <w:pPr>
        <w:spacing w:after="0" w:line="162"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of Units</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jc w:val="both"/>
        <w:ind w:left="660" w:hanging="4"/>
        <w:spacing w:after="0" w:line="278" w:lineRule="auto"/>
        <w:tabs>
          <w:tab w:leader="none" w:pos="1508" w:val="left"/>
        </w:tabs>
        <w:numPr>
          <w:ilvl w:val="1"/>
          <w:numId w:val="36"/>
        </w:numPr>
        <w:rPr>
          <w:rFonts w:ascii="Arial" w:cs="Arial" w:eastAsia="Arial" w:hAnsi="Arial"/>
          <w:sz w:val="18"/>
          <w:szCs w:val="18"/>
          <w:color w:val="auto"/>
        </w:rPr>
      </w:pPr>
      <w:r>
        <w:rPr>
          <w:rFonts w:ascii="Arial" w:cs="Arial" w:eastAsia="Arial" w:hAnsi="Arial"/>
          <w:sz w:val="20"/>
          <w:szCs w:val="20"/>
          <w:u w:val="single" w:color="auto"/>
          <w:color w:val="auto"/>
        </w:rPr>
        <w:t>Scheduled Vesting</w:t>
      </w:r>
      <w:r>
        <w:rPr>
          <w:rFonts w:ascii="Arial" w:cs="Arial" w:eastAsia="Arial" w:hAnsi="Arial"/>
          <w:sz w:val="20"/>
          <w:szCs w:val="20"/>
          <w:color w:val="auto"/>
        </w:rPr>
        <w:t>. If you remain a Service Provider continuously from the Grant Date specified on the cover page of this Agreement, then the Units will vest in the numbers and on the dates specified in the vesting schedule on the cover page of this Agreement.</w:t>
      </w:r>
    </w:p>
    <w:p>
      <w:pPr>
        <w:spacing w:after="0" w:line="186" w:lineRule="exact"/>
        <w:rPr>
          <w:rFonts w:ascii="Arial" w:cs="Arial" w:eastAsia="Arial" w:hAnsi="Arial"/>
          <w:sz w:val="18"/>
          <w:szCs w:val="18"/>
          <w:color w:val="auto"/>
        </w:rPr>
      </w:pPr>
    </w:p>
    <w:p>
      <w:pPr>
        <w:jc w:val="both"/>
        <w:ind w:left="660" w:hanging="4"/>
        <w:spacing w:after="0" w:line="274" w:lineRule="auto"/>
        <w:tabs>
          <w:tab w:leader="none" w:pos="1518" w:val="left"/>
        </w:tabs>
        <w:numPr>
          <w:ilvl w:val="1"/>
          <w:numId w:val="36"/>
        </w:numPr>
        <w:rPr>
          <w:rFonts w:ascii="Arial" w:cs="Arial" w:eastAsia="Arial" w:hAnsi="Arial"/>
          <w:sz w:val="18"/>
          <w:szCs w:val="18"/>
          <w:color w:val="auto"/>
        </w:rPr>
      </w:pPr>
      <w:r>
        <w:rPr>
          <w:rFonts w:ascii="Arial" w:cs="Arial" w:eastAsia="Arial" w:hAnsi="Arial"/>
          <w:sz w:val="20"/>
          <w:szCs w:val="20"/>
          <w:u w:val="single" w:color="auto"/>
          <w:color w:val="auto"/>
        </w:rPr>
        <w:t>Accelerated Vesting</w:t>
      </w:r>
      <w:r>
        <w:rPr>
          <w:rFonts w:ascii="Arial" w:cs="Arial" w:eastAsia="Arial" w:hAnsi="Arial"/>
          <w:sz w:val="20"/>
          <w:szCs w:val="20"/>
          <w:color w:val="auto"/>
        </w:rPr>
        <w:t>. Vesting of the Units will be accelerated if your Service to the Company or any Affiliate terminates because of your death or Disability, as provided in Section 6(e)(2) of the Plan. Vesting will also be accelerated under the circumstances described in Section 13(d) of the Plan or upon a Change in Control and may be accelerated by action of the Committee in accordance with Section 3(b)(2) of the Plan.</w:t>
      </w:r>
    </w:p>
    <w:p>
      <w:pPr>
        <w:spacing w:after="0" w:line="172" w:lineRule="exact"/>
        <w:rPr>
          <w:rFonts w:ascii="Arial" w:cs="Arial" w:eastAsia="Arial" w:hAnsi="Arial"/>
          <w:sz w:val="18"/>
          <w:szCs w:val="18"/>
          <w:color w:val="auto"/>
        </w:rPr>
      </w:pPr>
    </w:p>
    <w:p>
      <w:pPr>
        <w:ind w:left="660" w:hanging="652"/>
        <w:spacing w:after="0" w:line="293" w:lineRule="auto"/>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Service Requirement</w:t>
      </w:r>
      <w:r>
        <w:rPr>
          <w:rFonts w:ascii="Arial" w:cs="Arial" w:eastAsia="Arial" w:hAnsi="Arial"/>
          <w:sz w:val="19"/>
          <w:szCs w:val="19"/>
          <w:color w:val="auto"/>
        </w:rPr>
        <w:t>. Except as otherwise provided in accordance with Section 3(b) of this Agreement, if you cease to be a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Provider prior to the vesting date(s) specified on the cover page of this Agreement, you will forfeit all unvested Units.</w:t>
      </w:r>
    </w:p>
    <w:p>
      <w:pPr>
        <w:spacing w:after="0" w:line="141" w:lineRule="exact"/>
        <w:rPr>
          <w:rFonts w:ascii="Arial" w:cs="Arial" w:eastAsia="Arial" w:hAnsi="Arial"/>
          <w:sz w:val="19"/>
          <w:szCs w:val="19"/>
          <w:color w:val="auto"/>
        </w:rPr>
      </w:pPr>
    </w:p>
    <w:p>
      <w:pPr>
        <w:ind w:right="260" w:firstLine="8"/>
        <w:spacing w:after="0" w:line="267" w:lineRule="auto"/>
        <w:tabs>
          <w:tab w:leader="none" w:pos="328" w:val="left"/>
        </w:tabs>
        <w:numPr>
          <w:ilvl w:val="0"/>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Settlement of Units</w:t>
      </w:r>
      <w:r>
        <w:rPr>
          <w:rFonts w:ascii="Arial" w:cs="Arial" w:eastAsia="Arial" w:hAnsi="Arial"/>
          <w:sz w:val="20"/>
          <w:szCs w:val="20"/>
          <w:color w:val="auto"/>
        </w:rPr>
        <w:t>. After any Units vest pursuant to Section 3 of this Agreement, the Company shall, as soon as practicable (but in any</w:t>
      </w:r>
      <w:r>
        <w:rPr>
          <w:rFonts w:ascii="Arial" w:cs="Arial" w:eastAsia="Arial" w:hAnsi="Arial"/>
          <w:sz w:val="20"/>
          <w:szCs w:val="20"/>
          <w:b w:val="1"/>
          <w:bCs w:val="1"/>
          <w:color w:val="auto"/>
        </w:rPr>
        <w:t xml:space="preserve"> </w:t>
      </w:r>
      <w:r>
        <w:rPr>
          <w:rFonts w:ascii="Arial" w:cs="Arial" w:eastAsia="Arial" w:hAnsi="Arial"/>
          <w:sz w:val="20"/>
          <w:szCs w:val="20"/>
          <w:color w:val="auto"/>
        </w:rPr>
        <w:t>event within the period specified in Treas.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829945</wp:posOffset>
            </wp:positionV>
            <wp:extent cx="1665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65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652"/>
        <w:spacing w:after="0" w:line="27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the extent any capitalized term used in this Agreement is not defined, it has the meaning assigned to it in the Plan as the Plan currently exists or as it is amended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7" w:name="page58"/>
    <w:bookmarkEnd w:id="57"/>
    <w:p>
      <w:pPr>
        <w:ind w:left="1048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93" w:lineRule="exact"/>
        <w:rPr>
          <w:sz w:val="20"/>
          <w:szCs w:val="20"/>
          <w:color w:val="auto"/>
        </w:rPr>
      </w:pPr>
    </w:p>
    <w:p>
      <w:pPr>
        <w:jc w:val="both"/>
        <w:ind w:left="660" w:hanging="647"/>
        <w:spacing w:after="0" w:line="243" w:lineRule="auto"/>
        <w:rPr>
          <w:sz w:val="20"/>
          <w:szCs w:val="20"/>
          <w:color w:val="auto"/>
        </w:rPr>
      </w:pPr>
      <w:r>
        <w:rPr>
          <w:rFonts w:ascii="Arial" w:cs="Arial" w:eastAsia="Arial" w:hAnsi="Arial"/>
          <w:sz w:val="20"/>
          <w:szCs w:val="20"/>
          <w:color w:val="auto"/>
        </w:rPr>
        <w:t>Reg. § 1.409A-1(b)(4) to qualify for a short-term deferral exception to Section 409A of the Code), cause to be issued and delivered to you, or to your validly designated beneficiary or estate in the event of your death, one Share in payment and settlement of each vested Unit. Delivery of the Shares shall be effected by the electronic delivery of the Shares to a brokerage account designated by you and acceptable to the Company, or by another method provided by the Company, and shall be subject to compliance with all applicable legal requirements, including compliance with the requirements of applicable federal and state securities laws, and shall be in complete satisfaction and settlement of such vested Units.</w:t>
      </w:r>
    </w:p>
    <w:p>
      <w:pPr>
        <w:spacing w:after="0" w:line="191" w:lineRule="exact"/>
        <w:rPr>
          <w:sz w:val="20"/>
          <w:szCs w:val="20"/>
          <w:color w:val="auto"/>
        </w:rPr>
      </w:pPr>
    </w:p>
    <w:p>
      <w:pPr>
        <w:ind w:left="660" w:hanging="652"/>
        <w:spacing w:after="0" w:line="32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Provided you are a U.S. based director, you are responsible for paying any withholding taxes that may be due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the issuance of Shares pursuant to the settlement of the Units. The Company will not withhold any taxes on your behalf.</w:t>
      </w:r>
    </w:p>
    <w:p>
      <w:pPr>
        <w:spacing w:after="0" w:line="118" w:lineRule="exact"/>
        <w:rPr>
          <w:rFonts w:ascii="Arial" w:cs="Arial" w:eastAsia="Arial" w:hAnsi="Arial"/>
          <w:sz w:val="18"/>
          <w:szCs w:val="18"/>
          <w:color w:val="auto"/>
        </w:rPr>
      </w:pPr>
    </w:p>
    <w:p>
      <w:pPr>
        <w:jc w:val="both"/>
        <w:ind w:left="660" w:hanging="652"/>
        <w:spacing w:after="0" w:line="273"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No Shareholder Rights Before Settlement</w:t>
      </w:r>
      <w:r>
        <w:rPr>
          <w:rFonts w:ascii="Arial" w:cs="Arial" w:eastAsia="Arial" w:hAnsi="Arial"/>
          <w:sz w:val="19"/>
          <w:szCs w:val="19"/>
          <w:color w:val="auto"/>
        </w:rPr>
        <w:t>. The Units subject to this Award do not entitle you to any rights of a shareholder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You will not have any of the rights of a shareholder of the Company in connection with the grant of Units subject to this Award unless and until Shares are issued to you upon settlement of the Units as provided in Section 5 of this Agreement.</w:t>
      </w:r>
    </w:p>
    <w:p>
      <w:pPr>
        <w:spacing w:after="0" w:line="159"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Discontinuance of Service</w:t>
      </w:r>
      <w:r>
        <w:rPr>
          <w:rFonts w:ascii="Arial" w:cs="Arial" w:eastAsia="Arial" w:hAnsi="Arial"/>
          <w:sz w:val="20"/>
          <w:szCs w:val="20"/>
          <w:color w:val="auto"/>
        </w:rPr>
        <w:t>. This Agreement does not give you a right to continued Service with the Company or any Affiliate,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any such Affiliate may terminate your Service at any time and otherwise deal with you without regard to the effect it may have upon you under this Agreement.</w:t>
      </w:r>
    </w:p>
    <w:p>
      <w:pPr>
        <w:spacing w:after="0" w:line="177" w:lineRule="exact"/>
        <w:rPr>
          <w:rFonts w:ascii="Arial" w:cs="Arial" w:eastAsia="Arial" w:hAnsi="Arial"/>
          <w:sz w:val="20"/>
          <w:szCs w:val="20"/>
          <w:color w:val="auto"/>
        </w:rPr>
      </w:pPr>
    </w:p>
    <w:p>
      <w:pPr>
        <w:jc w:val="both"/>
        <w:ind w:left="660" w:right="20" w:hanging="652"/>
        <w:spacing w:after="0" w:line="273"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This Agreement and the Award are subject to all the provisions of the Plan, and to all interpretations,</w:t>
      </w:r>
      <w:r>
        <w:rPr>
          <w:rFonts w:ascii="Arial" w:cs="Arial" w:eastAsia="Arial" w:hAnsi="Arial"/>
          <w:sz w:val="19"/>
          <w:szCs w:val="19"/>
          <w:b w:val="1"/>
          <w:bCs w:val="1"/>
          <w:color w:val="auto"/>
        </w:rPr>
        <w:t xml:space="preserve"> </w:t>
      </w:r>
      <w:r>
        <w:rPr>
          <w:rFonts w:ascii="Arial" w:cs="Arial" w:eastAsia="Arial" w:hAnsi="Arial"/>
          <w:sz w:val="19"/>
          <w:szCs w:val="19"/>
          <w:color w:val="auto"/>
        </w:rPr>
        <w:t>rules and regulations which may, from time to time, be adopted and promulgated by the Committee pursuant to the Plan. If there is any conflict between the provisions of this Agreement and the Plan, the provisions of the Plan will govern.</w:t>
      </w:r>
    </w:p>
    <w:p>
      <w:pPr>
        <w:spacing w:after="0" w:line="159" w:lineRule="exact"/>
        <w:rPr>
          <w:rFonts w:ascii="Arial" w:cs="Arial" w:eastAsia="Arial" w:hAnsi="Arial"/>
          <w:sz w:val="19"/>
          <w:szCs w:val="19"/>
          <w:color w:val="auto"/>
        </w:rPr>
      </w:pPr>
    </w:p>
    <w:p>
      <w:pPr>
        <w:jc w:val="both"/>
        <w:ind w:left="660" w:hanging="652"/>
        <w:spacing w:after="0" w:line="248" w:lineRule="auto"/>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spacing w:after="0" w:line="183" w:lineRule="exact"/>
        <w:rPr>
          <w:rFonts w:ascii="Arial" w:cs="Arial" w:eastAsia="Arial" w:hAnsi="Arial"/>
          <w:sz w:val="20"/>
          <w:szCs w:val="20"/>
          <w:color w:val="auto"/>
        </w:rPr>
      </w:pPr>
    </w:p>
    <w:p>
      <w:pPr>
        <w:jc w:val="both"/>
        <w:ind w:left="660" w:hanging="652"/>
        <w:spacing w:after="0" w:line="266"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and Venue</w:t>
      </w:r>
      <w:r>
        <w:rPr>
          <w:rFonts w:ascii="Arial" w:cs="Arial" w:eastAsia="Arial" w:hAnsi="Arial"/>
          <w:sz w:val="19"/>
          <w:szCs w:val="19"/>
          <w:color w:val="auto"/>
        </w:rPr>
        <w:t>. This Award and Agreement will be interpreted and construed in accordance with and governed by the laws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State of Minnesota, and all Participants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w:t>
      </w:r>
    </w:p>
    <w:p>
      <w:pPr>
        <w:spacing w:after="0" w:line="165" w:lineRule="exact"/>
        <w:rPr>
          <w:rFonts w:ascii="Arial" w:cs="Arial" w:eastAsia="Arial" w:hAnsi="Arial"/>
          <w:sz w:val="19"/>
          <w:szCs w:val="19"/>
          <w:color w:val="auto"/>
        </w:rPr>
      </w:pPr>
    </w:p>
    <w:p>
      <w:pPr>
        <w:ind w:left="660" w:right="20" w:hanging="652"/>
        <w:spacing w:after="0" w:line="267" w:lineRule="auto"/>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of the Company.</w:t>
      </w:r>
    </w:p>
    <w:p>
      <w:pPr>
        <w:spacing w:after="0" w:line="163" w:lineRule="exact"/>
        <w:rPr>
          <w:rFonts w:ascii="Arial" w:cs="Arial" w:eastAsia="Arial" w:hAnsi="Arial"/>
          <w:sz w:val="20"/>
          <w:szCs w:val="20"/>
          <w:color w:val="auto"/>
        </w:rPr>
      </w:pPr>
    </w:p>
    <w:p>
      <w:pPr>
        <w:jc w:val="both"/>
        <w:ind w:left="660" w:hanging="652"/>
        <w:spacing w:after="0" w:line="27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Notwithstanding any other provision of the Plan or this Agreement, unless there is an exemption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qualification or other legal requirement applicable to the Shares, the Company shall not be required to deliver any Shares issuable upon settlement of the Units prior to the completion of any registration or qualification of the shares under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64" w:lineRule="exact"/>
        <w:rPr>
          <w:sz w:val="20"/>
          <w:szCs w:val="20"/>
          <w:color w:val="auto"/>
        </w:rPr>
      </w:pPr>
    </w:p>
    <w:p>
      <w:pPr>
        <w:jc w:val="both"/>
        <w:ind w:left="660" w:right="20" w:hanging="652"/>
        <w:spacing w:after="0" w:line="253" w:lineRule="auto"/>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Insider Trading Policy</w:t>
      </w:r>
      <w:r>
        <w:rPr>
          <w:rFonts w:ascii="Arial" w:cs="Arial" w:eastAsia="Arial" w:hAnsi="Arial"/>
          <w:sz w:val="20"/>
          <w:szCs w:val="20"/>
          <w:color w:val="auto"/>
        </w:rPr>
        <w:t>. You acknowledge that you are subject to the Company’s insider trading policy as set forth in the “Statement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Policy as to Trades in the Company’s Securities By Company Personnel and Confidential Information” and that you are responsible for ensuring compliance with the restrictions and requirements therein.</w:t>
      </w:r>
    </w:p>
    <w:p>
      <w:pPr>
        <w:spacing w:after="0" w:line="178" w:lineRule="exact"/>
        <w:rPr>
          <w:sz w:val="20"/>
          <w:szCs w:val="20"/>
          <w:color w:val="auto"/>
        </w:rPr>
      </w:pPr>
    </w:p>
    <w:p>
      <w:pPr>
        <w:jc w:val="both"/>
        <w:ind w:left="660" w:hanging="652"/>
        <w:spacing w:after="0" w:line="248"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your participation in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83" w:lineRule="exact"/>
        <w:rPr>
          <w:rFonts w:ascii="Arial" w:cs="Arial" w:eastAsia="Arial" w:hAnsi="Arial"/>
          <w:sz w:val="20"/>
          <w:szCs w:val="20"/>
          <w:color w:val="auto"/>
        </w:rPr>
      </w:pPr>
    </w:p>
    <w:p>
      <w:pPr>
        <w:jc w:val="both"/>
        <w:ind w:left="660" w:hanging="652"/>
        <w:spacing w:after="0" w:line="248"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current or</w:t>
      </w:r>
      <w:r>
        <w:rPr>
          <w:rFonts w:ascii="Arial" w:cs="Arial" w:eastAsia="Arial" w:hAnsi="Arial"/>
          <w:sz w:val="20"/>
          <w:szCs w:val="20"/>
          <w:b w:val="1"/>
          <w:bCs w:val="1"/>
          <w:color w:val="auto"/>
        </w:rPr>
        <w:t xml:space="preserve"> </w:t>
      </w:r>
      <w:r>
        <w:rPr>
          <w:rFonts w:ascii="Arial" w:cs="Arial" w:eastAsia="Arial" w:hAnsi="Arial"/>
          <w:sz w:val="20"/>
          <w:szCs w:val="20"/>
          <w:color w:val="auto"/>
        </w:rPr>
        <w:t>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83"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of the Code</w:t>
      </w:r>
      <w:r>
        <w:rPr>
          <w:rFonts w:ascii="Arial" w:cs="Arial" w:eastAsia="Arial" w:hAnsi="Arial"/>
          <w:sz w:val="20"/>
          <w:szCs w:val="20"/>
          <w:color w:val="auto"/>
        </w:rPr>
        <w:t>. The award of Units as provided in this Agreement and any issuance of Shares or payment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are intended to be exempt from Section 409A of the Code under the short-term deferral exception specified in Treas. Reg. § 1.409A-l(b)(4).18. </w:t>
      </w:r>
      <w:r>
        <w:rPr>
          <w:rFonts w:ascii="Arial" w:cs="Arial" w:eastAsia="Arial" w:hAnsi="Arial"/>
          <w:sz w:val="20"/>
          <w:szCs w:val="20"/>
          <w:b w:val="1"/>
          <w:bCs w:val="1"/>
          <w:color w:val="auto"/>
        </w:rPr>
        <w:t>Waiver</w:t>
      </w:r>
      <w:r>
        <w:rPr>
          <w:rFonts w:ascii="Arial" w:cs="Arial" w:eastAsia="Arial" w:hAnsi="Arial"/>
          <w:sz w:val="20"/>
          <w:szCs w:val="20"/>
          <w:color w:val="auto"/>
        </w:rPr>
        <w:t>. You acknowledge that a waiver by the Company of breach of any provision of this Agreement shall not operate or be construed as a waiver of any other provision of this Agreement, or of any subsequent breach by you or any other Participant.</w:t>
      </w:r>
    </w:p>
    <w:p>
      <w:pPr>
        <w:spacing w:after="0" w:line="185" w:lineRule="exact"/>
        <w:rPr>
          <w:sz w:val="20"/>
          <w:szCs w:val="20"/>
          <w:color w:val="auto"/>
        </w:rPr>
      </w:pPr>
    </w:p>
    <w:p>
      <w:pPr>
        <w:ind w:left="660" w:right="20" w:hanging="652"/>
        <w:spacing w:after="0" w:line="293" w:lineRule="auto"/>
        <w:tabs>
          <w:tab w:leader="none" w:pos="660"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By accepting this Award in the manner prescribed by the Company, you agree to all the terms and conditions described in this Agreement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Rev 2/15/2017</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3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Pung,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J. Pung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84" w:lineRule="exact"/>
        <w:rPr>
          <w:sz w:val="20"/>
          <w:szCs w:val="20"/>
          <w:color w:val="auto"/>
        </w:rPr>
      </w:pPr>
    </w:p>
    <w:p>
      <w:pPr>
        <w:ind w:left="40"/>
        <w:spacing w:after="0"/>
        <w:tabs>
          <w:tab w:leader="none" w:pos="700" w:val="left"/>
          <w:tab w:leader="none" w:pos="5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2017</w:t>
      </w:r>
      <w:r>
        <w:rPr>
          <w:sz w:val="20"/>
          <w:szCs w:val="20"/>
          <w:color w:val="auto"/>
        </w:rPr>
        <w:tab/>
      </w: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84" w:lineRule="exact"/>
        <w:rPr>
          <w:sz w:val="20"/>
          <w:szCs w:val="20"/>
          <w:color w:val="auto"/>
        </w:rPr>
      </w:pPr>
    </w:p>
    <w:p>
      <w:pPr>
        <w:ind w:left="40"/>
        <w:spacing w:after="0"/>
        <w:tabs>
          <w:tab w:leader="none" w:pos="700" w:val="left"/>
          <w:tab w:leader="none" w:pos="5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2017</w:t>
      </w:r>
      <w:r>
        <w:rPr>
          <w:sz w:val="20"/>
          <w:szCs w:val="20"/>
          <w:color w:val="auto"/>
        </w:rPr>
        <w:tab/>
      </w:r>
      <w:r>
        <w:rPr>
          <w:rFonts w:ascii="Arial" w:cs="Arial" w:eastAsia="Arial" w:hAnsi="Arial"/>
          <w:sz w:val="17"/>
          <w:szCs w:val="17"/>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Michael J. Pung</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lowerLetter"/>
      <w:start w:val="2"/>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9"/>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lowerRoman"/>
      <w:start w:val="2"/>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lowerLetter"/>
      <w:start w:val="2"/>
    </w:lvl>
  </w:abstractNum>
  <w:abstractNum w:abstractNumId="14">
    <w:nsid w:val="2901D82"/>
    <w:multiLevelType w:val="hybridMultilevel"/>
    <w:lvl w:ilvl="0">
      <w:lvlJc w:val="left"/>
      <w:lvlText w:val="(%1)"/>
      <w:numFmt w:val="lowerRoman"/>
      <w:start w:val="3"/>
    </w:lvl>
  </w:abstractNum>
  <w:abstractNum w:abstractNumId="15">
    <w:nsid w:val="3A95F874"/>
    <w:multiLevelType w:val="hybridMultilevel"/>
    <w:lvl w:ilvl="0">
      <w:lvlJc w:val="left"/>
      <w:lvlText w:val="(%1)"/>
      <w:numFmt w:val="lowerLetter"/>
      <w:start w:val="2"/>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4"/>
    </w:lvl>
    <w:lvl w:ilvl="1">
      <w:lvlJc w:val="left"/>
      <w:lvlText w:val="(%2)"/>
      <w:numFmt w:val="lowerLetter"/>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7"/>
    </w:lvl>
    <w:lvl w:ilvl="1">
      <w:lvlJc w:val="left"/>
      <w:lvlText w:val="(%2)"/>
      <w:numFmt w:val="lowerLetter"/>
      <w:start w:val="1"/>
    </w:lvl>
  </w:abstractNum>
  <w:abstractNum w:abstractNumId="32">
    <w:nsid w:val="5C482A97"/>
    <w:multiLevelType w:val="hybridMultilevel"/>
    <w:lvl w:ilvl="0">
      <w:lvlJc w:val="left"/>
      <w:lvlText w:val="%1."/>
      <w:numFmt w:val="decimal"/>
      <w:start w:val="8"/>
    </w:lvl>
  </w:abstractNum>
  <w:abstractNum w:abstractNumId="33">
    <w:nsid w:val="2463B9EA"/>
    <w:multiLevelType w:val="hybridMultilevel"/>
    <w:lvl w:ilvl="0">
      <w:lvlJc w:val="left"/>
      <w:lvlText w:val="%1."/>
      <w:numFmt w:val="decimal"/>
      <w:start w:val="12"/>
    </w:lvl>
    <w:lvl w:ilvl="1">
      <w:lvlJc w:val="left"/>
      <w:lvlText w:val="%2."/>
      <w:numFmt w:val="decimal"/>
      <w:start w:val="20"/>
    </w:lvl>
  </w:abstractNum>
  <w:abstractNum w:abstractNumId="34">
    <w:nsid w:val="5E884ADC"/>
    <w:multiLevelType w:val="hybridMultilevel"/>
    <w:lvl w:ilvl="0">
      <w:lvlJc w:val="left"/>
      <w:lvlText w:val="%1."/>
      <w:numFmt w:val="decimal"/>
      <w:start w:val="22"/>
    </w:lvl>
  </w:abstractNum>
  <w:abstractNum w:abstractNumId="35">
    <w:nsid w:val="51EAD36B"/>
    <w:multiLevelType w:val="hybridMultilevel"/>
    <w:lvl w:ilvl="0">
      <w:lvlJc w:val="left"/>
      <w:lvlText w:val="%1."/>
      <w:numFmt w:val="decimal"/>
      <w:start w:val="1"/>
    </w:lvl>
    <w:lvl w:ilvl="1">
      <w:lvlJc w:val="left"/>
      <w:lvlText w:val="(%2)"/>
      <w:numFmt w:val="lowerLetter"/>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6"/>
    </w:lvl>
  </w:abstractNum>
  <w:abstractNum w:abstractNumId="38">
    <w:nsid w:val="153EA438"/>
    <w:multiLevelType w:val="hybridMultilevel"/>
    <w:lvl w:ilvl="0">
      <w:lvlJc w:val="left"/>
      <w:lvlText w:val="%1"/>
      <w:numFmt w:val="decimal"/>
      <w:start w:val="14"/>
    </w:lvl>
  </w:abstractNum>
  <w:abstractNum w:abstractNumId="39">
    <w:nsid w:val="3855585C"/>
    <w:multiLevelType w:val="hybridMultilevel"/>
    <w:lvl w:ilvl="0">
      <w:lvlJc w:val="left"/>
      <w:lvlText w:val="%1."/>
      <w:numFmt w:val="decimal"/>
      <w:start w:val="15"/>
    </w:lvl>
  </w:abstractNum>
  <w:abstractNum w:abstractNumId="40">
    <w:nsid w:val="70A64E2A"/>
    <w:multiLevelType w:val="hybridMultilevel"/>
    <w:lvl w:ilvl="0">
      <w:lvlJc w:val="left"/>
      <w:lvlText w:val="%1"/>
      <w:numFmt w:val="decimal"/>
      <w:start w:val="19"/>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2019-12-29T07:31:30Z</dcterms:created>
  <dcterms:modified xsi:type="dcterms:W3CDTF">2019-12-29T07:31:30Z</dcterms:modified>
</cp:coreProperties>
</file>