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158750</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89"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-127635</wp:posOffset>
            </wp:positionV>
            <wp:extent cx="138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42" w:lineRule="exact"/>
        <w:rPr>
          <w:sz w:val="24"/>
          <w:szCs w:val="24"/>
          <w:color w:val="auto"/>
        </w:rPr>
      </w:pPr>
    </w:p>
    <w:p>
      <w:pPr>
        <w:ind w:left="380" w:right="60" w:hanging="345"/>
        <w:spacing w:after="0" w:line="248"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61" w:lineRule="exact"/>
        <w:rPr>
          <w:sz w:val="24"/>
          <w:szCs w:val="24"/>
          <w:color w:val="auto"/>
        </w:rPr>
      </w:pPr>
    </w:p>
    <w:p>
      <w:pPr>
        <w:ind w:left="380" w:right="60" w:hanging="345"/>
        <w:spacing w:after="0" w:line="256" w:lineRule="auto"/>
        <w:tabs>
          <w:tab w:leader="none" w:pos="3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r>
      <w:tr>
        <w:trPr>
          <w:trHeight w:val="395"/>
        </w:trPr>
        <w:tc>
          <w:tcPr>
            <w:tcW w:w="4400" w:type="dxa"/>
            <w:vAlign w:val="bottom"/>
            <w:gridSpan w:val="4"/>
          </w:tcPr>
          <w:p>
            <w:pPr>
              <w:ind w:left="8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21"/>
                <w:szCs w:val="21"/>
                <w:b w:val="1"/>
                <w:bCs w:val="1"/>
                <w:color w:val="auto"/>
              </w:rPr>
              <w:t>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224790</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330200</wp:posOffset>
            </wp:positionV>
            <wp:extent cx="138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2080" w:type="dxa"/>
        <w:tblCellMar>
          <w:top w:w="0" w:type="dxa"/>
          <w:left w:w="0" w:type="dxa"/>
          <w:bottom w:w="0" w:type="dxa"/>
          <w:right w:w="0" w:type="dxa"/>
        </w:tblCellMar>
      </w:tblPr>
      <w:tr>
        <w:trPr>
          <w:trHeight w:val="234"/>
        </w:trPr>
        <w:tc>
          <w:tcPr>
            <w:tcW w:w="6160" w:type="dxa"/>
            <w:vAlign w:val="bottom"/>
          </w:tcPr>
          <w:p>
            <w:pPr>
              <w:jc w:val="center"/>
              <w:ind w:right="3698"/>
              <w:spacing w:after="0"/>
              <w:rPr>
                <w:sz w:val="20"/>
                <w:szCs w:val="20"/>
                <w:color w:val="auto"/>
              </w:rPr>
            </w:pPr>
            <w:r>
              <w:rPr>
                <w:rFonts w:ascii="Arial" w:cs="Arial" w:eastAsia="Arial" w:hAnsi="Arial"/>
                <w:sz w:val="18"/>
                <w:szCs w:val="18"/>
                <w:b w:val="1"/>
                <w:bCs w:val="1"/>
                <w:color w:val="auto"/>
                <w:w w:val="93"/>
              </w:rPr>
              <w:t>Delaware</w:t>
            </w:r>
          </w:p>
        </w:tc>
        <w:tc>
          <w:tcPr>
            <w:tcW w:w="1200" w:type="dxa"/>
            <w:vAlign w:val="bottom"/>
          </w:tcPr>
          <w:p>
            <w:pPr>
              <w:jc w:val="center"/>
              <w:ind w:left="1"/>
              <w:spacing w:after="0"/>
              <w:rPr>
                <w:sz w:val="20"/>
                <w:szCs w:val="20"/>
                <w:color w:val="auto"/>
              </w:rPr>
            </w:pPr>
            <w:r>
              <w:rPr>
                <w:rFonts w:ascii="Arial" w:cs="Arial" w:eastAsia="Arial" w:hAnsi="Arial"/>
                <w:sz w:val="18"/>
                <w:szCs w:val="18"/>
                <w:b w:val="1"/>
                <w:bCs w:val="1"/>
                <w:color w:val="auto"/>
                <w:w w:val="91"/>
              </w:rPr>
              <w:t>94-1499887</w:t>
            </w:r>
          </w:p>
        </w:tc>
      </w:tr>
      <w:tr>
        <w:trPr>
          <w:trHeight w:val="218"/>
        </w:trPr>
        <w:tc>
          <w:tcPr>
            <w:tcW w:w="6160" w:type="dxa"/>
            <w:vAlign w:val="bottom"/>
          </w:tcPr>
          <w:p>
            <w:pPr>
              <w:jc w:val="center"/>
              <w:ind w:right="3718"/>
              <w:spacing w:after="0"/>
              <w:rPr>
                <w:sz w:val="20"/>
                <w:szCs w:val="20"/>
                <w:color w:val="auto"/>
              </w:rPr>
            </w:pPr>
            <w:r>
              <w:rPr>
                <w:rFonts w:ascii="Arial" w:cs="Arial" w:eastAsia="Arial" w:hAnsi="Arial"/>
                <w:sz w:val="14"/>
                <w:szCs w:val="14"/>
                <w:b w:val="1"/>
                <w:bCs w:val="1"/>
                <w:color w:val="auto"/>
                <w:w w:val="93"/>
              </w:rPr>
              <w:t>(State or other jurisdiction of</w:t>
            </w:r>
          </w:p>
        </w:tc>
        <w:tc>
          <w:tcPr>
            <w:tcW w:w="1200" w:type="dxa"/>
            <w:vAlign w:val="bottom"/>
          </w:tcPr>
          <w:p>
            <w:pPr>
              <w:jc w:val="center"/>
              <w:ind w:left="1"/>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6160" w:type="dxa"/>
            <w:vAlign w:val="bottom"/>
          </w:tcPr>
          <w:p>
            <w:pPr>
              <w:jc w:val="center"/>
              <w:ind w:right="3718"/>
              <w:spacing w:after="0"/>
              <w:rPr>
                <w:sz w:val="20"/>
                <w:szCs w:val="20"/>
                <w:color w:val="auto"/>
              </w:rPr>
            </w:pPr>
            <w:r>
              <w:rPr>
                <w:rFonts w:ascii="Arial" w:cs="Arial" w:eastAsia="Arial" w:hAnsi="Arial"/>
                <w:sz w:val="14"/>
                <w:szCs w:val="14"/>
                <w:b w:val="1"/>
                <w:bCs w:val="1"/>
                <w:color w:val="auto"/>
                <w:w w:val="94"/>
              </w:rPr>
              <w:t>incorporation or organization)</w:t>
            </w:r>
          </w:p>
        </w:tc>
        <w:tc>
          <w:tcPr>
            <w:tcW w:w="1200" w:type="dxa"/>
            <w:vAlign w:val="bottom"/>
          </w:tcPr>
          <w:p>
            <w:pPr>
              <w:jc w:val="center"/>
              <w:ind w:left="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160" w:type="dxa"/>
            <w:vAlign w:val="bottom"/>
          </w:tcPr>
          <w:p>
            <w:pPr>
              <w:jc w:val="center"/>
              <w:ind w:right="3698"/>
              <w:spacing w:after="0"/>
              <w:rPr>
                <w:sz w:val="20"/>
                <w:szCs w:val="20"/>
                <w:color w:val="auto"/>
              </w:rPr>
            </w:pPr>
            <w:r>
              <w:rPr>
                <w:rFonts w:ascii="Arial" w:cs="Arial" w:eastAsia="Arial" w:hAnsi="Arial"/>
                <w:sz w:val="18"/>
                <w:szCs w:val="18"/>
                <w:b w:val="1"/>
                <w:bCs w:val="1"/>
                <w:color w:val="auto"/>
                <w:w w:val="92"/>
              </w:rPr>
              <w:t>181 Metro Drive, Suite 700</w:t>
            </w:r>
          </w:p>
        </w:tc>
        <w:tc>
          <w:tcPr>
            <w:tcW w:w="1200" w:type="dxa"/>
            <w:vAlign w:val="bottom"/>
          </w:tcPr>
          <w:p>
            <w:pPr>
              <w:jc w:val="center"/>
              <w:ind w:left="21"/>
              <w:spacing w:after="0"/>
              <w:rPr>
                <w:sz w:val="20"/>
                <w:szCs w:val="20"/>
                <w:color w:val="auto"/>
              </w:rPr>
            </w:pPr>
            <w:r>
              <w:rPr>
                <w:rFonts w:ascii="Arial" w:cs="Arial" w:eastAsia="Arial" w:hAnsi="Arial"/>
                <w:sz w:val="18"/>
                <w:szCs w:val="18"/>
                <w:b w:val="1"/>
                <w:bCs w:val="1"/>
                <w:color w:val="auto"/>
                <w:w w:val="89"/>
              </w:rPr>
              <w:t>95110-1346</w:t>
            </w:r>
          </w:p>
        </w:tc>
      </w:tr>
      <w:tr>
        <w:trPr>
          <w:trHeight w:val="270"/>
        </w:trPr>
        <w:tc>
          <w:tcPr>
            <w:tcW w:w="6160" w:type="dxa"/>
            <w:vAlign w:val="bottom"/>
          </w:tcPr>
          <w:p>
            <w:pPr>
              <w:ind w:left="340"/>
              <w:spacing w:after="0"/>
              <w:rPr>
                <w:sz w:val="20"/>
                <w:szCs w:val="20"/>
                <w:color w:val="auto"/>
              </w:rPr>
            </w:pPr>
            <w:r>
              <w:rPr>
                <w:rFonts w:ascii="Arial" w:cs="Arial" w:eastAsia="Arial" w:hAnsi="Arial"/>
                <w:sz w:val="18"/>
                <w:szCs w:val="18"/>
                <w:b w:val="1"/>
                <w:bCs w:val="1"/>
                <w:color w:val="auto"/>
              </w:rPr>
              <w:t>San Jose, California</w:t>
            </w:r>
          </w:p>
        </w:tc>
        <w:tc>
          <w:tcPr>
            <w:tcW w:w="1200" w:type="dxa"/>
            <w:vAlign w:val="bottom"/>
          </w:tcPr>
          <w:p>
            <w:pPr>
              <w:spacing w:after="0"/>
              <w:rPr>
                <w:sz w:val="23"/>
                <w:szCs w:val="23"/>
                <w:color w:val="auto"/>
              </w:rPr>
            </w:pPr>
          </w:p>
        </w:tc>
      </w:tr>
      <w:tr>
        <w:trPr>
          <w:trHeight w:val="218"/>
        </w:trPr>
        <w:tc>
          <w:tcPr>
            <w:tcW w:w="6160" w:type="dxa"/>
            <w:vAlign w:val="bottom"/>
          </w:tcPr>
          <w:p>
            <w:pPr>
              <w:jc w:val="center"/>
              <w:ind w:right="36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6160" w:type="dxa"/>
            <w:vAlign w:val="bottom"/>
          </w:tcPr>
          <w:p>
            <w:pPr>
              <w:ind w:left="1020"/>
              <w:spacing w:after="0"/>
              <w:rPr>
                <w:sz w:val="20"/>
                <w:szCs w:val="20"/>
                <w:color w:val="auto"/>
              </w:rPr>
            </w:pPr>
            <w:r>
              <w:rPr>
                <w:rFonts w:ascii="Arial" w:cs="Arial" w:eastAsia="Arial" w:hAnsi="Arial"/>
                <w:sz w:val="18"/>
                <w:szCs w:val="18"/>
                <w:b w:val="1"/>
                <w:bCs w:val="1"/>
                <w:color w:val="auto"/>
                <w:w w:val="90"/>
              </w:rPr>
              <w:t>Registrant’s telephone number, including area code: 408-535-1500</w:t>
            </w:r>
          </w:p>
        </w:tc>
        <w:tc>
          <w:tcPr>
            <w:tcW w:w="1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325755</wp:posOffset>
            </wp:positionV>
            <wp:extent cx="138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32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338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Common Stock, $0.01 par value per share</w:t>
            </w:r>
          </w:p>
        </w:tc>
        <w:tc>
          <w:tcPr>
            <w:tcW w:w="340" w:type="dxa"/>
            <w:vAlign w:val="bottom"/>
          </w:tcPr>
          <w:p>
            <w:pPr>
              <w:spacing w:after="0"/>
              <w:rPr>
                <w:sz w:val="24"/>
                <w:szCs w:val="24"/>
                <w:color w:val="auto"/>
              </w:rPr>
            </w:pPr>
          </w:p>
        </w:tc>
        <w:tc>
          <w:tcPr>
            <w:tcW w:w="2760" w:type="dxa"/>
            <w:vAlign w:val="bottom"/>
            <w:gridSpan w:val="2"/>
          </w:tcPr>
          <w:p>
            <w:pPr>
              <w:jc w:val="center"/>
              <w:ind w:right="1320"/>
              <w:spacing w:after="0"/>
              <w:rPr>
                <w:sz w:val="20"/>
                <w:szCs w:val="20"/>
                <w:color w:val="auto"/>
              </w:rPr>
            </w:pPr>
            <w:r>
              <w:rPr>
                <w:rFonts w:ascii="Arial" w:cs="Arial" w:eastAsia="Arial" w:hAnsi="Arial"/>
                <w:sz w:val="18"/>
                <w:szCs w:val="18"/>
                <w:color w:val="auto"/>
                <w:w w:val="92"/>
              </w:rPr>
              <w:t>FICO</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3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7"/>
        </w:trPr>
        <w:tc>
          <w:tcPr>
            <w:tcW w:w="3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Arial" w:cs="Arial" w:eastAsia="Arial" w:hAnsi="Arial"/>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33" w:right="339" w:bottom="266"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46" w:lineRule="exact"/>
        <w:rPr>
          <w:sz w:val="20"/>
          <w:szCs w:val="20"/>
          <w:color w:val="auto"/>
        </w:rPr>
      </w:pPr>
    </w:p>
    <w:p>
      <w:pPr>
        <w:ind w:left="440" w:hanging="351"/>
        <w:spacing w:after="0" w:line="207" w:lineRule="exact"/>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4"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6"/>
          <w:szCs w:val="16"/>
          <w:color w:val="auto"/>
        </w:rPr>
        <w:t>The number of shares of common stock outstanding on April 17, 2020 was 29,003,489 (excluding 59,853,294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125" w:right="5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832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0"/>
                <w:szCs w:val="20"/>
                <w:color w:val="auto"/>
              </w:rPr>
            </w:pPr>
          </w:p>
        </w:tc>
      </w:tr>
      <w:tr>
        <w:trPr>
          <w:trHeight w:val="635"/>
        </w:trPr>
        <w:tc>
          <w:tcPr>
            <w:tcW w:w="820" w:type="dxa"/>
            <w:vAlign w:val="bottom"/>
          </w:tcPr>
          <w:p>
            <w:pPr>
              <w:spacing w:after="0"/>
              <w:rPr>
                <w:sz w:val="24"/>
                <w:szCs w:val="24"/>
                <w:color w:val="auto"/>
              </w:rPr>
            </w:pPr>
          </w:p>
        </w:tc>
        <w:tc>
          <w:tcPr>
            <w:tcW w:w="8320" w:type="dxa"/>
            <w:vAlign w:val="bottom"/>
          </w:tcPr>
          <w:p>
            <w:pPr>
              <w:ind w:left="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960" w:type="dxa"/>
            <w:vAlign w:val="bottom"/>
          </w:tcPr>
          <w:p>
            <w:pPr>
              <w:spacing w:after="0"/>
              <w:rPr>
                <w:sz w:val="24"/>
                <w:szCs w:val="24"/>
                <w:color w:val="auto"/>
              </w:rPr>
            </w:pPr>
          </w:p>
        </w:tc>
      </w:tr>
      <w:tr>
        <w:trPr>
          <w:trHeight w:val="391"/>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tcPr>
          <w:p>
            <w:pPr>
              <w:ind w:left="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21</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8320" w:type="dxa"/>
            <w:vAlign w:val="bottom"/>
          </w:tcPr>
          <w:p>
            <w:pPr>
              <w:ind w:left="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38</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tcPr>
          <w:p>
            <w:pPr>
              <w:ind w:left="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40</w:t>
              </w:r>
            </w:hyperlink>
          </w:p>
        </w:tc>
      </w:tr>
      <w:tr>
        <w:trPr>
          <w:trHeight w:val="392"/>
        </w:trPr>
        <w:tc>
          <w:tcPr>
            <w:tcW w:w="820" w:type="dxa"/>
            <w:vAlign w:val="bottom"/>
          </w:tcPr>
          <w:p>
            <w:pPr>
              <w:spacing w:after="0"/>
              <w:rPr>
                <w:sz w:val="24"/>
                <w:szCs w:val="24"/>
                <w:color w:val="auto"/>
              </w:rPr>
            </w:pPr>
          </w:p>
        </w:tc>
        <w:tc>
          <w:tcPr>
            <w:tcW w:w="8320" w:type="dxa"/>
            <w:vAlign w:val="bottom"/>
          </w:tcPr>
          <w:p>
            <w:pPr>
              <w:ind w:left="8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 – OTHER INFORMATION</w:t>
              </w:r>
            </w:hyperlink>
          </w:p>
        </w:tc>
        <w:tc>
          <w:tcPr>
            <w:tcW w:w="1960" w:type="dxa"/>
            <w:vAlign w:val="bottom"/>
          </w:tcPr>
          <w:p>
            <w:pPr>
              <w:spacing w:after="0"/>
              <w:rPr>
                <w:sz w:val="24"/>
                <w:szCs w:val="24"/>
                <w:color w:val="auto"/>
              </w:rPr>
            </w:pP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tcPr>
          <w:p>
            <w:pPr>
              <w:ind w:left="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8320" w:type="dxa"/>
            <w:vAlign w:val="bottom"/>
          </w:tcPr>
          <w:p>
            <w:pPr>
              <w:ind w:left="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tcPr>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Unregistered Sales of Equity Securities and Use of Proceeds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53</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8320" w:type="dxa"/>
            <w:vAlign w:val="bottom"/>
          </w:tcPr>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Defaults Upon Senior Securities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53</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tcPr>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Mine Safety Disclosures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53</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8320" w:type="dxa"/>
            <w:vAlign w:val="bottom"/>
          </w:tcPr>
          <w:p>
            <w:pPr>
              <w:ind w:left="8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Other Information</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53</w:t>
              </w:r>
            </w:hyperlink>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8320" w:type="dxa"/>
            <w:vAlign w:val="bottom"/>
          </w:tcPr>
          <w:p>
            <w:pPr>
              <w:ind w:left="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Exhibits</w:t>
              </w:r>
            </w:hyperlink>
          </w:p>
        </w:tc>
        <w:tc>
          <w:tcPr>
            <w:tcW w:w="196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54</w:t>
              </w:r>
            </w:hyperlink>
          </w:p>
        </w:tc>
      </w:tr>
      <w:tr>
        <w:trPr>
          <w:trHeight w:val="270"/>
        </w:trPr>
        <w:tc>
          <w:tcPr>
            <w:tcW w:w="820" w:type="dxa"/>
            <w:vAlign w:val="bottom"/>
          </w:tcPr>
          <w:p>
            <w:pPr>
              <w:spacing w:after="0"/>
              <w:rPr>
                <w:rFonts w:ascii="Arial" w:cs="Arial" w:eastAsia="Arial" w:hAnsi="Arial"/>
                <w:sz w:val="18"/>
                <w:szCs w:val="18"/>
                <w:u w:val="single" w:color="auto"/>
                <w:color w:val="0000EE"/>
                <w:w w:val="92"/>
              </w:rPr>
            </w:pPr>
            <w:hyperlink w:anchor="page58">
              <w:r>
                <w:rPr>
                  <w:rFonts w:ascii="Arial" w:cs="Arial" w:eastAsia="Arial" w:hAnsi="Arial"/>
                  <w:sz w:val="18"/>
                  <w:szCs w:val="18"/>
                  <w:u w:val="single" w:color="auto"/>
                  <w:color w:val="0000EE"/>
                  <w:w w:val="92"/>
                </w:rPr>
                <w:t>Signatures</w:t>
              </w:r>
            </w:hyperlink>
          </w:p>
        </w:tc>
        <w:tc>
          <w:tcPr>
            <w:tcW w:w="8320" w:type="dxa"/>
            <w:vAlign w:val="bottom"/>
          </w:tcPr>
          <w:p>
            <w:pPr>
              <w:spacing w:after="0"/>
              <w:rPr>
                <w:sz w:val="23"/>
                <w:szCs w:val="23"/>
                <w:color w:val="auto"/>
              </w:rPr>
            </w:pPr>
          </w:p>
        </w:tc>
        <w:tc>
          <w:tcPr>
            <w:tcW w:w="196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125" w:right="4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7"/>
              </w:rPr>
              <w:t>(In thousands, except par value data)</w:t>
            </w: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106,426</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307,307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297,427</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51,853</w:t>
            </w:r>
          </w:p>
        </w:tc>
        <w:tc>
          <w:tcPr>
            <w:tcW w:w="0" w:type="dxa"/>
            <w:vAlign w:val="bottom"/>
          </w:tcPr>
          <w:p>
            <w:pPr>
              <w:spacing w:after="0"/>
              <w:rPr>
                <w:sz w:val="1"/>
                <w:szCs w:val="1"/>
                <w:color w:val="auto"/>
              </w:rPr>
            </w:pPr>
          </w:p>
        </w:tc>
      </w:tr>
      <w:tr>
        <w:trPr>
          <w:trHeight w:val="237"/>
        </w:trPr>
        <w:tc>
          <w:tcPr>
            <w:tcW w:w="82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483,671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455,706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20,222</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53,027</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87,142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803,542</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77,766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79,163</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1,552,132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1,433,448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7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25,306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23,118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106,240</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62,605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32,454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111,016</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Current maturities on debt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209,000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218,000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479,824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490,828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738,632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606,790</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46,063</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1,337,981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1,143,681</w:t>
            </w:r>
          </w:p>
        </w:tc>
        <w:tc>
          <w:tcPr>
            <w:tcW w:w="0" w:type="dxa"/>
            <w:vAlign w:val="bottom"/>
          </w:tcPr>
          <w:p>
            <w:pPr>
              <w:spacing w:after="0"/>
              <w:rPr>
                <w:sz w:val="1"/>
                <w:szCs w:val="1"/>
                <w:color w:val="auto"/>
              </w:rPr>
            </w:pPr>
          </w:p>
        </w:tc>
      </w:tr>
      <w:tr>
        <w:trPr>
          <w:trHeight w:val="223"/>
        </w:trPr>
        <w:tc>
          <w:tcPr>
            <w:tcW w:w="82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Preferred stock ($0.01 par value; 1,000 shares authorized; none issued and outstanding)</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($0.01 par value; 200,000 shares authorized, 88,857 shares issued and 29,082 and 28,944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outstanding at March 31, 2020 and September 30, 2019,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1,169,217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1,225,365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Treasury stock, at cost (59,775 and 59,913 shares at March 31, 2020 and September 30, 2019,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(2,802,450)</w:t>
            </w:r>
          </w:p>
        </w:tc>
        <w:tc>
          <w:tcPr>
            <w:tcW w:w="0" w:type="dxa"/>
            <w:vAlign w:val="bottom"/>
          </w:tcPr>
          <w:p>
            <w:pPr>
              <w:spacing w:after="0"/>
              <w:rPr>
                <w:sz w:val="1"/>
                <w:szCs w:val="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2,069,857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1,956,648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(90,085)</w:t>
            </w:r>
          </w:p>
        </w:tc>
        <w:tc>
          <w:tcPr>
            <w:tcW w:w="0" w:type="dxa"/>
            <w:vAlign w:val="bottom"/>
          </w:tcPr>
          <w:p>
            <w:pPr>
              <w:spacing w:after="0"/>
              <w:rPr>
                <w:sz w:val="1"/>
                <w:szCs w:val="1"/>
                <w:color w:val="auto"/>
              </w:rPr>
            </w:pPr>
          </w:p>
        </w:tc>
      </w:tr>
      <w:tr>
        <w:trPr>
          <w:trHeight w:val="236"/>
        </w:trPr>
        <w:tc>
          <w:tcPr>
            <w:tcW w:w="822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214,151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289,767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1,552,132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1,433,448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3600" w:type="dxa"/>
            <w:vAlign w:val="bottom"/>
            <w:gridSpan w:val="6"/>
          </w:tcPr>
          <w:p>
            <w:pPr>
              <w:ind w:left="960"/>
              <w:spacing w:after="0"/>
              <w:rPr>
                <w:sz w:val="20"/>
                <w:szCs w:val="20"/>
                <w:color w:val="auto"/>
              </w:rPr>
            </w:pPr>
            <w:r>
              <w:rPr>
                <w:rFonts w:ascii="Arial" w:cs="Arial" w:eastAsia="Arial" w:hAnsi="Arial"/>
                <w:sz w:val="14"/>
                <w:szCs w:val="14"/>
                <w:b w:val="1"/>
                <w:bCs w:val="1"/>
                <w:color w:val="auto"/>
              </w:rPr>
              <w:t>Quarter Ended March 31,</w:t>
            </w:r>
          </w:p>
        </w:tc>
        <w:tc>
          <w:tcPr>
            <w:tcW w:w="400" w:type="dxa"/>
            <w:vAlign w:val="bottom"/>
          </w:tcPr>
          <w:p>
            <w:pPr>
              <w:spacing w:after="0"/>
              <w:rPr>
                <w:sz w:val="16"/>
                <w:szCs w:val="16"/>
                <w:color w:val="auto"/>
              </w:rPr>
            </w:pPr>
          </w:p>
        </w:tc>
        <w:tc>
          <w:tcPr>
            <w:tcW w:w="308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240,702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211,779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461,076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405,972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91,363</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License</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15,900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53,469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43,155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307,971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278,234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606,475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540,490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161,634</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39,439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37,684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78,382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73,110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103,465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205,188</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acquisition-related</w:t>
            </w:r>
          </w:p>
        </w:tc>
        <w:tc>
          <w:tcPr>
            <w:tcW w:w="10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232,245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229,685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478,867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442,937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97,553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(11,254)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(19,684)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39,974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104,359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77,130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33,381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113,209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73,388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gain (loss):</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(19,056)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108,245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73,048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29,074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29,109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29,017</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1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1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29,186</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1,148,190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(2,843,097)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2,011,569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(75,993)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240,961</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22,788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22,788</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7,171</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(95,998)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(96,001)</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58,288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58,288</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(19,056)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(19,056)</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29,082</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1,169,217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(2,930,165)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2,069,857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(95,049)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214,151</w:t>
            </w:r>
          </w:p>
        </w:tc>
        <w:tc>
          <w:tcPr>
            <w:tcW w:w="0" w:type="dxa"/>
            <w:vAlign w:val="bottom"/>
          </w:tcPr>
          <w:p>
            <w:pPr>
              <w:spacing w:after="0"/>
              <w:rPr>
                <w:sz w:val="1"/>
                <w:szCs w:val="1"/>
                <w:color w:val="auto"/>
              </w:rPr>
            </w:pPr>
          </w:p>
        </w:tc>
      </w:tr>
      <w:tr>
        <w:trPr>
          <w:trHeight w:val="60"/>
        </w:trPr>
        <w:tc>
          <w:tcPr>
            <w:tcW w:w="3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1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180" w:type="dxa"/>
            <w:vAlign w:val="bottom"/>
            <w:vMerge w:val="continue"/>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9"/>
                <w:szCs w:val="9"/>
                <w:color w:val="auto"/>
              </w:rPr>
            </w:pPr>
          </w:p>
        </w:tc>
        <w:tc>
          <w:tcPr>
            <w:tcW w:w="11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29,056</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1,176,770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(2,674,011)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1,804,531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(79,686)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227,895</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20,482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20,482</w:t>
            </w:r>
          </w:p>
        </w:tc>
        <w:tc>
          <w:tcPr>
            <w:tcW w:w="0" w:type="dxa"/>
            <w:vAlign w:val="bottom"/>
          </w:tcPr>
          <w:p>
            <w:pPr>
              <w:spacing w:after="0"/>
              <w:rPr>
                <w:sz w:val="1"/>
                <w:szCs w:val="1"/>
                <w:color w:val="auto"/>
              </w:rPr>
            </w:pPr>
          </w:p>
        </w:tc>
      </w:tr>
      <w:tr>
        <w:trPr>
          <w:trHeight w:val="74"/>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(37,021)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(37,023)</w:t>
            </w:r>
          </w:p>
        </w:tc>
        <w:tc>
          <w:tcPr>
            <w:tcW w:w="0" w:type="dxa"/>
            <w:vAlign w:val="bottom"/>
          </w:tcPr>
          <w:p>
            <w:pPr>
              <w:spacing w:after="0"/>
              <w:rPr>
                <w:sz w:val="1"/>
                <w:szCs w:val="1"/>
                <w:color w:val="auto"/>
              </w:rPr>
            </w:pPr>
          </w:p>
        </w:tc>
      </w:tr>
      <w:tr>
        <w:trPr>
          <w:trHeight w:val="74"/>
        </w:trPr>
        <w:tc>
          <w:tcPr>
            <w:tcW w:w="3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33,381</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2,925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29,056</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1,190,341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(2,704,305)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1,837,912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(76,761)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247,478</w:t>
            </w:r>
          </w:p>
        </w:tc>
        <w:tc>
          <w:tcPr>
            <w:tcW w:w="0" w:type="dxa"/>
            <w:vAlign w:val="bottom"/>
          </w:tcPr>
          <w:p>
            <w:pPr>
              <w:spacing w:after="0"/>
              <w:rPr>
                <w:sz w:val="1"/>
                <w:szCs w:val="1"/>
                <w:color w:val="auto"/>
              </w:rPr>
            </w:pPr>
          </w:p>
        </w:tc>
      </w:tr>
      <w:tr>
        <w:trPr>
          <w:trHeight w:val="60"/>
        </w:trPr>
        <w:tc>
          <w:tcPr>
            <w:tcW w:w="3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1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180" w:type="dxa"/>
            <w:vAlign w:val="bottom"/>
            <w:vMerge w:val="continue"/>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9"/>
                <w:szCs w:val="9"/>
                <w:color w:val="auto"/>
              </w:rPr>
            </w:pPr>
          </w:p>
        </w:tc>
        <w:tc>
          <w:tcPr>
            <w:tcW w:w="11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2019</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28,944</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1,225,365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(2,802,450)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1,956,648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(90,085)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289,767</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45,933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45,933</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(102,081)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(73,784)</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(156,006)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(156,010)</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113,209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113,209</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(4,964)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(4,964)</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29,082</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1,169,217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(2,930,165)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2,069,857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(95,049)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214,151</w:t>
            </w:r>
          </w:p>
        </w:tc>
        <w:tc>
          <w:tcPr>
            <w:tcW w:w="0" w:type="dxa"/>
            <w:vAlign w:val="bottom"/>
          </w:tcPr>
          <w:p>
            <w:pPr>
              <w:spacing w:after="0"/>
              <w:rPr>
                <w:sz w:val="1"/>
                <w:szCs w:val="1"/>
                <w:color w:val="auto"/>
              </w:rPr>
            </w:pPr>
          </w:p>
        </w:tc>
      </w:tr>
      <w:tr>
        <w:trPr>
          <w:trHeight w:val="60"/>
        </w:trPr>
        <w:tc>
          <w:tcPr>
            <w:tcW w:w="3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1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24"/>
                <w:szCs w:val="24"/>
                <w:color w:val="auto"/>
              </w:rPr>
            </w:pPr>
          </w:p>
        </w:tc>
        <w:tc>
          <w:tcPr>
            <w:tcW w:w="11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Paid-in-</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4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31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180" w:type="dxa"/>
            <w:vAlign w:val="bottom"/>
            <w:vMerge w:val="continue"/>
          </w:tcPr>
          <w:p>
            <w:pPr>
              <w:spacing w:after="0"/>
              <w:rPr>
                <w:sz w:val="9"/>
                <w:szCs w:val="9"/>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9"/>
                <w:szCs w:val="9"/>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9"/>
                <w:szCs w:val="9"/>
                <w:color w:val="auto"/>
              </w:rPr>
            </w:pPr>
          </w:p>
        </w:tc>
        <w:tc>
          <w:tcPr>
            <w:tcW w:w="11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2018 (As Adjusted)</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29,015</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1,211,051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(2,612,007)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1,764,524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(76,421)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287,437</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42,336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42,336</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Issuance of treasury stock under employee stock plans</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(63,046)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27,420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(35,620)</w:t>
            </w:r>
          </w:p>
        </w:tc>
        <w:tc>
          <w:tcPr>
            <w:tcW w:w="0" w:type="dxa"/>
            <w:vAlign w:val="bottom"/>
          </w:tcPr>
          <w:p>
            <w:pPr>
              <w:spacing w:after="0"/>
              <w:rPr>
                <w:sz w:val="1"/>
                <w:szCs w:val="1"/>
                <w:color w:val="auto"/>
              </w:rPr>
            </w:pPr>
          </w:p>
        </w:tc>
      </w:tr>
      <w:tr>
        <w:trPr>
          <w:trHeight w:val="79"/>
        </w:trPr>
        <w:tc>
          <w:tcPr>
            <w:tcW w:w="31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8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(119,718)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(119,723)</w:t>
            </w: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73,388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73,388</w:t>
            </w:r>
          </w:p>
        </w:tc>
        <w:tc>
          <w:tcPr>
            <w:tcW w:w="0" w:type="dxa"/>
            <w:vAlign w:val="bottom"/>
          </w:tcPr>
          <w:p>
            <w:pPr>
              <w:spacing w:after="0"/>
              <w:rPr>
                <w:sz w:val="1"/>
                <w:szCs w:val="1"/>
                <w:color w:val="auto"/>
              </w:rPr>
            </w:pPr>
          </w:p>
        </w:tc>
      </w:tr>
      <w:tr>
        <w:trPr>
          <w:trHeight w:val="80"/>
        </w:trPr>
        <w:tc>
          <w:tcPr>
            <w:tcW w:w="318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4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74"/>
        </w:trPr>
        <w:tc>
          <w:tcPr>
            <w:tcW w:w="3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2019</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29,056</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85"/>
              </w:rPr>
              <w:t>291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1,190,341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(2,704,305)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1,837,912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(76,761)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247,478</w:t>
            </w:r>
          </w:p>
        </w:tc>
        <w:tc>
          <w:tcPr>
            <w:tcW w:w="0" w:type="dxa"/>
            <w:vAlign w:val="bottom"/>
          </w:tcPr>
          <w:p>
            <w:pPr>
              <w:spacing w:after="0"/>
              <w:rPr>
                <w:sz w:val="1"/>
                <w:szCs w:val="1"/>
                <w:color w:val="auto"/>
              </w:rPr>
            </w:pPr>
          </w:p>
        </w:tc>
      </w:tr>
      <w:tr>
        <w:trPr>
          <w:trHeight w:val="60"/>
        </w:trPr>
        <w:tc>
          <w:tcPr>
            <w:tcW w:w="318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vMerge w:val="continue"/>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125"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113,209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73,388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15,535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15,786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42,336</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on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Non-cash operating lease costs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8220" w:type="dxa"/>
            <w:vAlign w:val="bottom"/>
          </w:tcPr>
          <w:p>
            <w:pPr>
              <w:ind w:left="380"/>
              <w:spacing w:after="0"/>
              <w:rPr>
                <w:sz w:val="20"/>
                <w:szCs w:val="20"/>
                <w:color w:val="auto"/>
              </w:rPr>
            </w:pPr>
            <w:r>
              <w:rPr>
                <w:rFonts w:ascii="Arial" w:cs="Arial" w:eastAsia="Arial" w:hAnsi="Arial"/>
                <w:sz w:val="18"/>
                <w:szCs w:val="18"/>
                <w:color w:val="auto"/>
              </w:rPr>
              <w:t>Net (gain) loss on sales of property and equipment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(5,015)</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(12,219)</w:t>
            </w:r>
          </w:p>
        </w:tc>
      </w:tr>
      <w:tr>
        <w:trPr>
          <w:trHeight w:val="243"/>
        </w:trPr>
        <w:tc>
          <w:tcPr>
            <w:tcW w:w="822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(16,970)</w:t>
            </w:r>
          </w:p>
        </w:tc>
      </w:tr>
      <w:tr>
        <w:trPr>
          <w:trHeight w:val="243"/>
        </w:trPr>
        <w:tc>
          <w:tcPr>
            <w:tcW w:w="8220" w:type="dxa"/>
            <w:vAlign w:val="bottom"/>
          </w:tcPr>
          <w:p>
            <w:pPr>
              <w:ind w:left="114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w:t>
            </w:r>
          </w:p>
        </w:tc>
      </w:tr>
      <w:tr>
        <w:trPr>
          <w:trHeight w:val="237"/>
        </w:trPr>
        <w:tc>
          <w:tcPr>
            <w:tcW w:w="822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121,859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96,646</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(10,644)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from other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(14,958)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(12,773)</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Proceeds from revolving line of credit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156,000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138,000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revolving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Proceeds from issuance of senior notes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Payments on finance leases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treasury stock under employee stock plans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(48,470)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(148,008)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(119,723)</w:t>
            </w:r>
          </w:p>
        </w:tc>
      </w:tr>
      <w:tr>
        <w:trPr>
          <w:trHeight w:val="237"/>
        </w:trPr>
        <w:tc>
          <w:tcPr>
            <w:tcW w:w="822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(100,344)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(97,343)</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106,426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90,023</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108,966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76,885</w:t>
            </w:r>
          </w:p>
        </w:tc>
      </w:tr>
      <w:tr>
        <w:trPr>
          <w:trHeight w:val="67"/>
        </w:trPr>
        <w:tc>
          <w:tcPr>
            <w:tcW w:w="8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paid for income taxes, net of refunds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7,962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19,686</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 included in 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Unsettled repurchases of common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8,002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Finance lease obligations incurred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5,148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13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135"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20" w:right="9280" w:hanging="212"/>
        <w:spacing w:after="0" w:line="425" w:lineRule="auto"/>
        <w:tabs>
          <w:tab w:leader="none" w:pos="18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Nature of Business </w:t>
      </w:r>
      <w:r>
        <w:rPr>
          <w:rFonts w:ascii="Arial" w:cs="Arial" w:eastAsia="Arial" w:hAnsi="Arial"/>
          <w:sz w:val="16"/>
          <w:szCs w:val="16"/>
          <w:b w:val="1"/>
          <w:bCs w:val="1"/>
          <w:i w:val="1"/>
          <w:iCs w:val="1"/>
          <w:color w:val="auto"/>
        </w:rPr>
        <w:t>Fair Isaac Corporation</w:t>
      </w:r>
    </w:p>
    <w:p>
      <w:pPr>
        <w:jc w:val="both"/>
        <w:ind w:firstLine="432"/>
        <w:spacing w:after="0" w:line="279" w:lineRule="auto"/>
        <w:rPr>
          <w:sz w:val="20"/>
          <w:szCs w:val="20"/>
          <w:color w:val="auto"/>
        </w:rPr>
      </w:pPr>
      <w:r>
        <w:rPr>
          <w:rFonts w:ascii="Arial" w:cs="Arial" w:eastAsia="Arial" w:hAnsi="Arial"/>
          <w:sz w:val="17"/>
          <w:szCs w:val="17"/>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analytical solutions, credit scoring and credit account management products and services to banks, credit reporting agencies, credit card processing agencies, insurers, retailers, telecommunications providers, pharmaceutical companies, healthcare organizations, public agencies and organizations in other industries.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Quarterly Report on Form 10-Q, Fair Isaac Corporation is referred to as “FICO,” “we,” “us,” “our,” or “the Company.”</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2019. The interim financial information contained in this report is not necessarily indicative of the results to be expected for any other interim period or for the entire fiscal year.</w:t>
      </w:r>
    </w:p>
    <w:p>
      <w:pPr>
        <w:spacing w:after="0" w:line="11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discussed in New Accounting Pronouncements below and Note 13, effective October 1, 2019, we adopted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and subsequent amendments to the initial guidance: ASU 2017-13, ASU 2018-10, ASU 2018-11, ASU 2018-20 and ASU 2019-01 (collectively, “Topic 842”) using the modified retrospective approach, under which financial results reported in prior periods were not restated. As a result, the condensed consolidated balance sheet as of March 31, 2020 is not comparable with that as of September 30, 2019. See our Annual Report on Form 10-K filed with the SEC on November 8, 2019 for lease policies that were in effect in prior periods before adoption of Topic 842.</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FICO and its subsidiaries. All intercompany accounts and transactions have been eliminated.</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make estimates and assumptions that affect the amounts reported in the financial statements and the disclosures made in the accompanying notes. For example, we use estimates in determining the collectability of accounts receivable; the appropriate levels of various accruals;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3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2016, the Financial Accounting Standards Board (“FASB”) issued Topic 842, which requires the recognition of operating lease assets and lease liabilities on the balance sheet. Leases will be classified as either finance or operating, with classification affecting the pattern of expense recognition in the income statement. Under the new standard, disclosures are required to enable users of financial statements to assess the amount, timing and uncertainty of cash flows arising from leases.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the first quarter of fiscal 2020, we adopted Topic 842 using the “Comparatives Under 840 Option” approach to transition. In accordance with the standard, the comparative information has not been restated and continues to be reported under the accounting standards in effect for those periods. Topic 842 provided a package of practical expedients that allow an entity to not reassess (1) whether any expired or existing contracts contain a lease, (2) the lease classification of any expired or existing lease, and (3) initial direct costs for any existing leases. We elected to apply the package of practical expedients, and did not elect the hindsight practical expedient in determining the lease term for existing leases as of October 1, 2019.</w:t>
      </w:r>
    </w:p>
    <w:p>
      <w:pPr>
        <w:spacing w:after="0" w:line="28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Adoption of Topic 842 did not result in the recognition of a cumulative-effect adjustment to the opening balance of retained earnings in the period of adoption. The most significant impact of adoption was the recognition of operating lease assets and operating lease liabilities of $89.8 million and $98.9 million, respectively, while our accounting for existing capital leases (now referred to as finance leases) remained substantially unchanged. We expect the impact of adoption to be immaterial to our consolidated statements of income and comprehensive income and consolidated statements of cash flows on an ongoing basis. As part of our adoption, we also modified our control procedures and processes, none of which materially affected our internal control over financial reporting. See Note 13 for additional information regarding our accounting policy for leases and additional disclosures.</w:t>
      </w: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Intangibles—Goodwill and Other (Topic 350): Internal-Use Software</w:t>
      </w:r>
      <w:r>
        <w:rPr>
          <w:rFonts w:ascii="Arial" w:cs="Arial" w:eastAsia="Arial" w:hAnsi="Arial"/>
          <w:sz w:val="16"/>
          <w:szCs w:val="16"/>
          <w:color w:val="auto"/>
        </w:rPr>
        <w:t>” (“ASU 2018-15”). ASU 2018-15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and interim periods within those fiscal years beginning after December 15, 2019, which means that it will be effective for our fiscal year beginning October 1, 2020. Early adoption is permitted. We do not believe that adoption of ASU 2018-15 will have a significant impact on our consolidated financial statements.</w:t>
      </w:r>
    </w:p>
    <w:p>
      <w:pPr>
        <w:spacing w:after="0" w:line="10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and subsequent amendments to the initial guidance: ASU 2018-19, ASU 2019-04, ASU 2019-05 and ASU 2019-11 (collectively,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326”). 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October 1, 2020. Early adoption is permitted. We do not believe that adoption of Topic 326 will have a significant impact on our consolidated financial statements.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12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62" w:lineRule="exact"/>
        <w:rPr>
          <w:sz w:val="20"/>
          <w:szCs w:val="20"/>
          <w:color w:val="auto"/>
        </w:rPr>
      </w:pPr>
    </w:p>
    <w:p>
      <w:pPr>
        <w:jc w:val="both"/>
        <w:ind w:left="1300" w:hanging="563"/>
        <w:spacing w:after="0" w:line="263"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uses unadjusted quoted prices that are available in active markets for identical assets or liabilities. Our Level 1 assets are comprised of money market funds and certain marketable securities. We do not have any liabilities that are valued using inputs identified under a Level 1 hierarchy as of March 31, 2020 and September 30, 2019.</w:t>
      </w:r>
    </w:p>
    <w:p>
      <w:pPr>
        <w:spacing w:after="0" w:line="75" w:lineRule="exact"/>
        <w:rPr>
          <w:rFonts w:ascii="Arial" w:cs="Arial" w:eastAsia="Arial" w:hAnsi="Arial"/>
          <w:sz w:val="18"/>
          <w:szCs w:val="18"/>
          <w:color w:val="auto"/>
        </w:rPr>
      </w:pPr>
    </w:p>
    <w:p>
      <w:pPr>
        <w:jc w:val="both"/>
        <w:ind w:left="1300" w:hanging="563"/>
        <w:spacing w:after="0" w:line="272"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do not have any assets that are valued using inputs identified under a Level 2 hierarchy as of March 31, 2020 and September 30, 2019. We measure the fair value of the Senior Notes (as defined in Note 7) based on Level 2 inputs, which include quoted market prices and interest rate spreads of similar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1300" w:hanging="563"/>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do not have any assets or liabilities that are valued using inputs identified under a Level 3 hierarchy as of March 31, 2020 and September 30, 2019.</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represent financial assets that we measured at fair value on a recurring basis at March 31, 2020 and September 30,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Active Markets for</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 as of March 31,</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Identical Instruments</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3"/>
          </w:tcPr>
          <w:p>
            <w:pPr>
              <w:ind w:left="1220"/>
              <w:spacing w:after="0"/>
              <w:rPr>
                <w:sz w:val="20"/>
                <w:szCs w:val="20"/>
                <w:color w:val="auto"/>
              </w:rPr>
            </w:pPr>
            <w:r>
              <w:rPr>
                <w:rFonts w:ascii="Arial" w:cs="Arial" w:eastAsia="Arial" w:hAnsi="Arial"/>
                <w:sz w:val="14"/>
                <w:szCs w:val="14"/>
                <w:b w:val="1"/>
                <w:bCs w:val="1"/>
                <w:color w:val="auto"/>
                <w:w w:val="93"/>
              </w:rPr>
              <w:t>(In thousands)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25,166</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19,544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19,544</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44,710</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44,710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Active Markets for</w:t>
            </w:r>
          </w:p>
        </w:tc>
        <w:tc>
          <w:tcPr>
            <w:tcW w:w="320" w:type="dxa"/>
            <w:vAlign w:val="bottom"/>
          </w:tcPr>
          <w:p>
            <w:pPr>
              <w:spacing w:after="0"/>
              <w:rPr>
                <w:sz w:val="24"/>
                <w:szCs w:val="24"/>
                <w:color w:val="auto"/>
              </w:rPr>
            </w:pPr>
          </w:p>
        </w:tc>
        <w:tc>
          <w:tcPr>
            <w:tcW w:w="136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Identical Instruments</w:t>
            </w:r>
          </w:p>
        </w:tc>
        <w:tc>
          <w:tcPr>
            <w:tcW w:w="3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5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gridSpan w:val="3"/>
          </w:tcPr>
          <w:p>
            <w:pPr>
              <w:ind w:left="1220"/>
              <w:spacing w:after="0"/>
              <w:rPr>
                <w:sz w:val="20"/>
                <w:szCs w:val="20"/>
                <w:color w:val="auto"/>
              </w:rPr>
            </w:pPr>
            <w:r>
              <w:rPr>
                <w:rFonts w:ascii="Arial" w:cs="Arial" w:eastAsia="Arial" w:hAnsi="Arial"/>
                <w:sz w:val="14"/>
                <w:szCs w:val="14"/>
                <w:b w:val="1"/>
                <w:bCs w:val="1"/>
                <w:color w:val="auto"/>
                <w:w w:val="93"/>
              </w:rPr>
              <w:t>(In thousands)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Cash equivalents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28,901</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28,901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(2)</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20,222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20,222</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49,123</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49,123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cash and cash equivalents on our condensed consolidated balance sheets at March 31, 2020 and September 30, 2019. Not included in these tables are cash deposits of $83.8 million and $77.5 million at March 31, 2020 and September 30, 2019, respectively.</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securities held under a supplemental retirement and savings plan for senior management employees, which are distributed upon termination or retirement of the employees. Included in marketable securities on our condensed consolidated balance sheets at March 31, 2020 and September 30, 2019.</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fair value of our derivative instruments and senior notes, see Note 3 and Note 7,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were no transfers between Level 1, Level 2, and Level 3 of the fair value hierarchy during the quarters and six-month periods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Financial Instruments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March 31, 2020 and September 30, 2019:</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2020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958"/>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359"/>
              <w:spacing w:after="0" w:line="153" w:lineRule="exact"/>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3"/>
                <w:szCs w:val="13"/>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3"/>
                <w:szCs w:val="13"/>
                <w:color w:val="auto"/>
              </w:rPr>
            </w:pPr>
          </w:p>
        </w:tc>
        <w:tc>
          <w:tcPr>
            <w:tcW w:w="12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Euro (EUR)</w:t>
            </w:r>
          </w:p>
        </w:tc>
        <w:tc>
          <w:tcPr>
            <w:tcW w:w="440" w:type="dxa"/>
            <w:vAlign w:val="bottom"/>
          </w:tcPr>
          <w:p>
            <w:pPr>
              <w:ind w:left="40"/>
              <w:spacing w:after="0"/>
              <w:rPr>
                <w:sz w:val="20"/>
                <w:szCs w:val="20"/>
                <w:color w:val="auto"/>
              </w:rPr>
            </w:pPr>
            <w:r>
              <w:rPr>
                <w:rFonts w:ascii="Arial" w:cs="Arial" w:eastAsia="Arial" w:hAnsi="Arial"/>
                <w:sz w:val="18"/>
                <w:szCs w:val="18"/>
                <w:color w:val="auto"/>
                <w:w w:val="99"/>
              </w:rPr>
              <w:t>EUR</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11,004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40"/>
              <w:spacing w:after="0"/>
              <w:rPr>
                <w:sz w:val="20"/>
                <w:szCs w:val="20"/>
                <w:color w:val="auto"/>
              </w:rPr>
            </w:pPr>
            <w:r>
              <w:rPr>
                <w:rFonts w:ascii="Arial" w:cs="Arial" w:eastAsia="Arial" w:hAnsi="Arial"/>
                <w:sz w:val="18"/>
                <w:szCs w:val="18"/>
                <w:color w:val="auto"/>
                <w:w w:val="99"/>
              </w:rPr>
              <w:t>GBP</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21,781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SGD</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6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 2019</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958"/>
              <w:spacing w:after="0"/>
              <w:rPr>
                <w:sz w:val="20"/>
                <w:szCs w:val="20"/>
                <w:color w:val="auto"/>
              </w:rPr>
            </w:pPr>
            <w:r>
              <w:rPr>
                <w:rFonts w:ascii="Arial" w:cs="Arial" w:eastAsia="Arial" w:hAnsi="Arial"/>
                <w:sz w:val="14"/>
                <w:szCs w:val="14"/>
                <w:b w:val="1"/>
                <w:bCs w:val="1"/>
                <w:color w:val="auto"/>
              </w:rPr>
              <w:t>Contract Amount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359"/>
              <w:spacing w:after="0" w:line="153" w:lineRule="exact"/>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3"/>
                <w:szCs w:val="13"/>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USD</w:t>
            </w:r>
          </w:p>
        </w:tc>
        <w:tc>
          <w:tcPr>
            <w:tcW w:w="260" w:type="dxa"/>
            <w:vAlign w:val="bottom"/>
          </w:tcPr>
          <w:p>
            <w:pPr>
              <w:spacing w:after="0"/>
              <w:rPr>
                <w:sz w:val="13"/>
                <w:szCs w:val="13"/>
                <w:color w:val="auto"/>
              </w:rPr>
            </w:pPr>
          </w:p>
        </w:tc>
        <w:tc>
          <w:tcPr>
            <w:tcW w:w="12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 foreign currency:</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Euro (EUR)</w:t>
            </w:r>
          </w:p>
        </w:tc>
        <w:tc>
          <w:tcPr>
            <w:tcW w:w="440" w:type="dxa"/>
            <w:vAlign w:val="bottom"/>
          </w:tcPr>
          <w:p>
            <w:pPr>
              <w:ind w:left="40"/>
              <w:spacing w:after="0"/>
              <w:rPr>
                <w:sz w:val="20"/>
                <w:szCs w:val="20"/>
                <w:color w:val="auto"/>
              </w:rPr>
            </w:pPr>
            <w:r>
              <w:rPr>
                <w:rFonts w:ascii="Arial" w:cs="Arial" w:eastAsia="Arial" w:hAnsi="Arial"/>
                <w:sz w:val="18"/>
                <w:szCs w:val="18"/>
                <w:color w:val="auto"/>
                <w:w w:val="99"/>
              </w:rPr>
              <w:t>EUR</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10,800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440" w:type="dxa"/>
            <w:vAlign w:val="bottom"/>
          </w:tcPr>
          <w:p>
            <w:pPr>
              <w:ind w:left="40"/>
              <w:spacing w:after="0"/>
              <w:rPr>
                <w:sz w:val="20"/>
                <w:szCs w:val="20"/>
                <w:color w:val="auto"/>
              </w:rPr>
            </w:pPr>
            <w:r>
              <w:rPr>
                <w:rFonts w:ascii="Arial" w:cs="Arial" w:eastAsia="Arial" w:hAnsi="Arial"/>
                <w:sz w:val="18"/>
                <w:szCs w:val="18"/>
                <w:color w:val="auto"/>
                <w:w w:val="99"/>
              </w:rPr>
              <w:t>GBP</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5,200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SGD</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March 31, 2020 and September 30, 2019, respectively; therefore, their fair value was $0 on each of these dates.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Gain (losses) on derivative financial instruments are recorded in our condensed consolidated statements of income and comprehensive income as a component of other income (expense), net, and consisted of the following: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Quarter Ended March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50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196"/>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(In thousands)</w:t>
            </w: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on foreign currency forward contracts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(2,194)</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(1,049)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316</w:t>
            </w:r>
          </w:p>
        </w:tc>
      </w:tr>
      <w:tr>
        <w:trPr>
          <w:trHeight w:val="27"/>
        </w:trPr>
        <w:tc>
          <w:tcPr>
            <w:tcW w:w="5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48"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8"/>
          <w:szCs w:val="18"/>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 income and comprehensive income. Amortization expense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Quarter Ended March 31,</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41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4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Customer contracts and relationships</w:t>
            </w:r>
          </w:p>
        </w:tc>
        <w:tc>
          <w:tcPr>
            <w:tcW w:w="10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2,017</w:t>
            </w:r>
          </w:p>
        </w:tc>
      </w:tr>
      <w:tr>
        <w:trPr>
          <w:trHeight w:val="27"/>
        </w:trPr>
        <w:tc>
          <w:tcPr>
            <w:tcW w:w="4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0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Estimated future intangible asset amortization expense associated with intangible assets existing at March 31, 2020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Pr>
          <w:p>
            <w:pPr>
              <w:ind w:left="40"/>
              <w:spacing w:after="0"/>
              <w:rPr>
                <w:sz w:val="20"/>
                <w:szCs w:val="20"/>
                <w:color w:val="auto"/>
              </w:rPr>
            </w:pPr>
            <w:r>
              <w:rPr>
                <w:rFonts w:ascii="Arial" w:cs="Arial" w:eastAsia="Arial" w:hAnsi="Arial"/>
                <w:sz w:val="14"/>
                <w:szCs w:val="14"/>
                <w:b w:val="1"/>
                <w:bCs w:val="1"/>
                <w:color w:val="auto"/>
              </w:rPr>
              <w:t>Year Ending September 30,</w:t>
            </w:r>
          </w:p>
        </w:tc>
        <w:tc>
          <w:tcPr>
            <w:tcW w:w="300" w:type="dxa"/>
            <w:vAlign w:val="bottom"/>
          </w:tcPr>
          <w:p>
            <w:pPr>
              <w:spacing w:after="0"/>
              <w:rPr>
                <w:sz w:val="16"/>
                <w:szCs w:val="16"/>
                <w:color w:val="auto"/>
              </w:rPr>
            </w:pPr>
          </w:p>
        </w:tc>
        <w:tc>
          <w:tcPr>
            <w:tcW w:w="1600" w:type="dxa"/>
            <w:vAlign w:val="bottom"/>
          </w:tcPr>
          <w:p>
            <w:pPr>
              <w:jc w:val="right"/>
              <w:ind w:right="41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(excluding the six months ended March 31,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1,987</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3,622</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3,334</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1,317</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w:t>
            </w:r>
          </w:p>
        </w:tc>
      </w:tr>
      <w:tr>
        <w:trPr>
          <w:trHeight w:val="237"/>
        </w:trPr>
        <w:tc>
          <w:tcPr>
            <w:tcW w:w="9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11,177</w:t>
            </w:r>
          </w:p>
        </w:tc>
      </w:tr>
      <w:tr>
        <w:trPr>
          <w:trHeight w:val="27"/>
        </w:trPr>
        <w:tc>
          <w:tcPr>
            <w:tcW w:w="9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9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changes to goodwill during the six months ended March 31, 2020, both in total and as allocated to our segments: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4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Decision Management</w:t>
            </w: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Software</w:t>
            </w:r>
          </w:p>
        </w:tc>
        <w:tc>
          <w:tcPr>
            <w:tcW w:w="3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0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gridSpan w:val="2"/>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ind w:left="740"/>
              <w:spacing w:after="0"/>
              <w:rPr>
                <w:sz w:val="20"/>
                <w:szCs w:val="20"/>
                <w:color w:val="auto"/>
              </w:rPr>
            </w:pPr>
            <w:r>
              <w:rPr>
                <w:rFonts w:ascii="Arial" w:cs="Arial" w:eastAsia="Arial" w:hAnsi="Arial"/>
                <w:sz w:val="14"/>
                <w:szCs w:val="14"/>
                <w:b w:val="1"/>
                <w:bCs w:val="1"/>
                <w:color w:val="auto"/>
                <w:w w:val="93"/>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588,614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146,648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68,280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803,542</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589,620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146,648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804,650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Certain Financial Statement Captions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property and equipment, and the related accumulated depreciation and amortization, at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September 30,</w:t>
            </w:r>
          </w:p>
        </w:tc>
      </w:tr>
      <w:tr>
        <w:trPr>
          <w:trHeight w:val="192"/>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196"/>
        </w:trPr>
        <w:tc>
          <w:tcPr>
            <w:tcW w:w="8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jc w:val="right"/>
              <w:ind w:right="97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184,539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172,075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(125,048)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(119,048)</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8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59,491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53,027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Line of Credit</w:t>
      </w:r>
    </w:p>
    <w:p>
      <w:pPr>
        <w:spacing w:after="0" w:line="17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have a $400 million unsecured revolving line of credit with a syndicate of banks that expires on May 8, 2023 with an option to increase it by another $100 million.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fixed charge ratio of 2.50 through the maturity of our 2010 Senior Notes (as defined in Note 7) in July 2020, upon which maintaining a minimum interest coverage ratio of 3.00. The credit agreement also contains other covenants typical of unsecured facilities. As of March 31, 2020, we had $124.0 million in borrowings outstanding at a weighted average interest rate of 2.277% and were in compliance with all financial covenants under this credit facility.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Notes</w:t>
      </w:r>
    </w:p>
    <w:p>
      <w:pPr>
        <w:spacing w:after="0" w:line="12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On July 14, 2010, we issued $245 million of senior notes in a private placement to a group of institutional investors (the “2010 Senior Notes”). The 2010 Senior Notes were issued in four series with maturities ranging from 6 to 10 years. The outstanding 2010 Senior Notes’ weighted average interest rate is 5.6% and the weighted average maturity is 10.0 years. The 2010 Senior Notes require interest payments semi-annually and contain certain restrictive covenants, including the maintenance of a maximum consolidated net debt to consolidated EBITDA ratio of 3.00 and a minimum fixed charge coverage ratio of 2.50. We were in compliance with all financial covenants under the 2010 Senior Notes as of March 31, 2020.</w:t>
      </w:r>
    </w:p>
    <w:p>
      <w:pPr>
        <w:spacing w:after="0" w:line="12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6, 2019, we issued $350 million of senior notes in a private offering to qualified institutional investors (the “2019 Senior Notes,” along with the 2010 Senior Notes and 2018 Senior Notes, the “Senior Notes”). We have used the net proceeds to repay a large portion of the outstanding balance on our revolving credit facility. The 2019 Senior Notes require interest payments semi-annually at a rate of 4.00% per annum and will mature on June 15, 2028.</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purchase agreements for the 2010 Senior Notes, as well as the indentures for the 2018 Senior Notes and 2019 Senior Notes contain certain covenants typical of unsecured obligations.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face values and fair values for the Senior Notes at March 31, 2020 and September 30,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September 30, 2019</w:t>
            </w:r>
          </w:p>
        </w:tc>
      </w:tr>
      <w:tr>
        <w:trPr>
          <w:trHeight w:val="264"/>
        </w:trPr>
        <w:tc>
          <w:tcPr>
            <w:tcW w:w="5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Face Value (*)</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2010 Senior Notes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85,255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86,121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The 2018 Senior Notes</w:t>
            </w: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402,000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428,000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2019 Senior Notes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331,625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835,000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818,880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485,000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514,121</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13"/>
        <w:spacing w:after="0" w:line="277" w:lineRule="auto"/>
        <w:tabs>
          <w:tab w:leader="none" w:pos="652" w:val="left"/>
        </w:tabs>
        <w:numPr>
          <w:ilvl w:val="0"/>
          <w:numId w:val="8"/>
        </w:numPr>
        <w:rPr>
          <w:rFonts w:ascii="Arial" w:cs="Arial" w:eastAsia="Arial" w:hAnsi="Arial"/>
          <w:sz w:val="16"/>
          <w:szCs w:val="16"/>
          <w:color w:val="auto"/>
        </w:rPr>
      </w:pPr>
      <w:r>
        <w:rPr>
          <w:rFonts w:ascii="Arial" w:cs="Arial" w:eastAsia="Arial" w:hAnsi="Arial"/>
          <w:sz w:val="18"/>
          <w:szCs w:val="18"/>
          <w:color w:val="auto"/>
        </w:rPr>
        <w:t>The carrying value of the Senior Notes was reduced by the net debt issuance costs of $11.4 million and $5.2 million at March 31, 2020 and September 30, 2019, respectively.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measure the fair value of the Senior Notes based on Level 2 inputs, which include quoted market prices and interest rate spreads of similar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Expenses</w:t>
      </w:r>
    </w:p>
    <w:p>
      <w:pPr>
        <w:spacing w:after="0" w:line="121"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There were no restructuring expenses incurred during the quarter ended March 31, 2020. During the six-month period ended March 31, 2020, we incurred $3.1 million in employee separation costs due to the elimination of 69 positions throughout the Company. We expect that cash payment for all the employee separation costs will be paid by the end of our fiscal 2020.</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restructuring expenses incurred during the quarter and six-month period ended March 31, 2019.</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summarizes our restructuring accruals related to facility closures and employee separation. The balances at March 31, 2020 and September 30, 2019 were classified as current liabilities and recorded in other accrued liabilities within the accompanying condensed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Accrual at</w:t>
            </w:r>
          </w:p>
        </w:tc>
        <w:tc>
          <w:tcPr>
            <w:tcW w:w="340" w:type="dxa"/>
            <w:vAlign w:val="bottom"/>
          </w:tcPr>
          <w:p>
            <w:pPr>
              <w:spacing w:after="0"/>
              <w:rPr>
                <w:sz w:val="15"/>
                <w:szCs w:val="15"/>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Expense</w:t>
            </w:r>
          </w:p>
        </w:tc>
        <w:tc>
          <w:tcPr>
            <w:tcW w:w="26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15"/>
                <w:szCs w:val="1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 (*)</w:t>
            </w:r>
          </w:p>
        </w:tc>
        <w:tc>
          <w:tcPr>
            <w:tcW w:w="240" w:type="dxa"/>
            <w:vAlign w:val="bottom"/>
          </w:tcPr>
          <w:p>
            <w:pPr>
              <w:spacing w:after="0"/>
              <w:rPr>
                <w:sz w:val="15"/>
                <w:szCs w:val="15"/>
                <w:color w:val="auto"/>
              </w:rPr>
            </w:pPr>
          </w:p>
        </w:tc>
        <w:tc>
          <w:tcPr>
            <w:tcW w:w="1440" w:type="dxa"/>
            <w:vAlign w:val="bottom"/>
          </w:tcPr>
          <w:p>
            <w:pPr>
              <w:jc w:val="right"/>
              <w:ind w:right="437"/>
              <w:spacing w:after="0"/>
              <w:rPr>
                <w:sz w:val="20"/>
                <w:szCs w:val="20"/>
                <w:color w:val="auto"/>
              </w:rPr>
            </w:pPr>
            <w:r>
              <w:rPr>
                <w:rFonts w:ascii="Arial" w:cs="Arial" w:eastAsia="Arial" w:hAnsi="Arial"/>
                <w:sz w:val="14"/>
                <w:szCs w:val="14"/>
                <w:b w:val="1"/>
                <w:bCs w:val="1"/>
                <w:color w:val="auto"/>
              </w:rPr>
              <w:t>Accrual at</w:t>
            </w: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340" w:type="dxa"/>
            <w:vAlign w:val="bottom"/>
          </w:tcPr>
          <w:p>
            <w:pPr>
              <w:spacing w:after="0"/>
              <w:rPr>
                <w:sz w:val="9"/>
                <w:szCs w:val="9"/>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Additions</w:t>
            </w:r>
          </w:p>
        </w:tc>
        <w:tc>
          <w:tcPr>
            <w:tcW w:w="260" w:type="dxa"/>
            <w:vAlign w:val="bottom"/>
          </w:tcPr>
          <w:p>
            <w:pPr>
              <w:spacing w:after="0"/>
              <w:rPr>
                <w:sz w:val="9"/>
                <w:szCs w:val="9"/>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2"/>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Employee separation</w:t>
            </w:r>
          </w:p>
        </w:tc>
        <w:tc>
          <w:tcPr>
            <w:tcW w:w="18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Upon adoption of Topic 842, accrued lease exit obligations of $1.4 million were reclassed to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1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20" w:right="9720" w:hanging="212"/>
        <w:spacing w:after="0" w:line="453" w:lineRule="auto"/>
        <w:tabs>
          <w:tab w:leader="none" w:pos="184"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i w:val="1"/>
          <w:iCs w:val="1"/>
          <w:color w:val="auto"/>
        </w:rPr>
        <w:t>Effective Tax Rate</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effective income tax rate was 6.7% and 16.5% during the quarters ended March 31, 2020 and 2019, respectively, and (8.5)% and 4.9% during the six months ended March 31, 2020 and 2019,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effective tax rates for the six months ended March 31, 2020 and 2019 were both impacted by the recording of excess tax benefits relating to stock awards that vested in December of both years. In addition, stock exercises during the quarter ended March 31, 2020 resulted in an additional increase in excess tax benefits.</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unrecognized tax benefit for uncertain tax positions is estimated to be $7.1 million and $5.8 million at March 31, 2020 and September 30, 2019, respectively. We recognize interest expense related to unrecognized tax benefits and penalties as part of the provision for income taxes in our condensed consolidated statements of income and comprehensive income. We have accrued interest of $0.5 million and $0.3 million related to unrecognized tax benefits as of March 31, 2020 and September 30,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4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8"/>
          <w:szCs w:val="18"/>
          <w:color w:val="auto"/>
        </w:rPr>
        <w:t>The following table presents reconciliations for the numerators and denominators of basic and diluted earnings per share (“EPS”) for the quarters and six-month periods ended March 31, 2020 and 2019:</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March 31,</w:t>
            </w:r>
          </w:p>
        </w:tc>
        <w:tc>
          <w:tcPr>
            <w:tcW w:w="340" w:type="dxa"/>
            <w:vAlign w:val="bottom"/>
          </w:tcPr>
          <w:p>
            <w:pPr>
              <w:spacing w:after="0"/>
              <w:rPr>
                <w:sz w:val="16"/>
                <w:szCs w:val="16"/>
                <w:color w:val="auto"/>
              </w:rPr>
            </w:pPr>
          </w:p>
        </w:tc>
        <w:tc>
          <w:tcPr>
            <w:tcW w:w="268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196"/>
        </w:trPr>
        <w:tc>
          <w:tcPr>
            <w:tcW w:w="5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for diluted and basic earnings per share: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58,288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33,381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113,209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73,388</w:t>
            </w: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0"/>
        </w:trPr>
        <w:tc>
          <w:tcPr>
            <w:tcW w:w="5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 -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Basic weighted-average shares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29,194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29,074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29,109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29,017</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dilutive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1,280</w:t>
            </w:r>
          </w:p>
        </w:tc>
      </w:tr>
      <w:tr>
        <w:trPr>
          <w:trHeight w:val="237"/>
        </w:trPr>
        <w:tc>
          <w:tcPr>
            <w:tcW w:w="5080" w:type="dxa"/>
            <w:vAlign w:val="bottom"/>
          </w:tcPr>
          <w:p>
            <w:pPr>
              <w:ind w:left="380"/>
              <w:spacing w:after="0"/>
              <w:rPr>
                <w:sz w:val="20"/>
                <w:szCs w:val="20"/>
                <w:color w:val="auto"/>
              </w:rPr>
            </w:pPr>
            <w:r>
              <w:rPr>
                <w:rFonts w:ascii="Arial" w:cs="Arial" w:eastAsia="Arial" w:hAnsi="Arial"/>
                <w:sz w:val="18"/>
                <w:szCs w:val="18"/>
                <w:color w:val="auto"/>
              </w:rPr>
              <w:t>Diluted weighted-average shares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29,985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30,259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30,076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30,297</w:t>
            </w: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0"/>
        </w:trPr>
        <w:tc>
          <w:tcPr>
            <w:tcW w:w="5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2.53</w:t>
            </w:r>
          </w:p>
        </w:tc>
      </w:tr>
      <w:tr>
        <w:trPr>
          <w:trHeight w:val="67"/>
        </w:trPr>
        <w:tc>
          <w:tcPr>
            <w:tcW w:w="5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5"/>
        </w:trPr>
        <w:tc>
          <w:tcPr>
            <w:tcW w:w="5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exclude the options to purchase shares of common stock in the computation of the diluted EPS where the exercise price of the options exceeds the average market price of our common stock as their inclusion would be antidilutive. There were approximately 13,000 and 15,000 options excluded for the quarter ended March 31, 2020 and 2019, respectively. There were approximately 14,000 and 7,000 options excluded for the six months ended March 31, 2020 and 2019,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are organized into the following three operating segments, each of which is a reportable segment, to align with internal management of our worldwide business operations based on product offerings.</w:t>
      </w:r>
    </w:p>
    <w:p>
      <w:pPr>
        <w:spacing w:after="0" w:line="184" w:lineRule="exact"/>
        <w:rPr>
          <w:sz w:val="20"/>
          <w:szCs w:val="20"/>
          <w:color w:val="auto"/>
        </w:rPr>
      </w:pPr>
    </w:p>
    <w:p>
      <w:pPr>
        <w:jc w:val="both"/>
        <w:ind w:left="1300" w:hanging="563"/>
        <w:spacing w:after="0" w:line="235"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Applications</w:t>
      </w:r>
      <w:r>
        <w:rPr>
          <w:rFonts w:ascii="Arial" w:cs="Arial" w:eastAsia="Arial" w:hAnsi="Arial"/>
          <w:sz w:val="18"/>
          <w:szCs w:val="18"/>
          <w:color w:val="auto"/>
        </w:rPr>
        <w:t>. This segment includes pre-configured decision management applications designed for a specific type of business problem</w:t>
      </w:r>
      <w:r>
        <w:rPr>
          <w:rFonts w:ascii="Arial" w:cs="Arial" w:eastAsia="Arial" w:hAnsi="Arial"/>
          <w:sz w:val="18"/>
          <w:szCs w:val="18"/>
          <w:i w:val="1"/>
          <w:iCs w:val="1"/>
          <w:color w:val="auto"/>
        </w:rPr>
        <w:t xml:space="preserve"> </w:t>
      </w:r>
      <w:r>
        <w:rPr>
          <w:rFonts w:ascii="Arial" w:cs="Arial" w:eastAsia="Arial" w:hAnsi="Arial"/>
          <w:sz w:val="18"/>
          <w:szCs w:val="18"/>
          <w:color w:val="auto"/>
        </w:rPr>
        <w:t>or process — such as marketing, account origination, customer management, fraud, collections and insurance claims management — as well as associated professional services. These applications are available to our customers as on-premises software, and many are available as hosted, software-as-a-service (“SaaS”) applications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or third-party public clouds, such as those provided by Amazon Web Services (“AWS”).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1300" w:hanging="563"/>
        <w:spacing w:after="0" w:line="232"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Scores. </w:t>
      </w:r>
      <w:r>
        <w:rPr>
          <w:rFonts w:ascii="Arial" w:cs="Arial" w:eastAsia="Arial" w:hAnsi="Arial"/>
          <w:sz w:val="18"/>
          <w:szCs w:val="18"/>
          <w:color w:val="auto"/>
        </w:rPr>
        <w:t>This segment includes our business-to-business scoring solutions, our myFICO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consumers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Our scoring solutions give our clients access to analytics that can be easily integrated into their transaction streams and decision-making processes. Our scoring solutions are distributed through major credit reporting agencies, as well as services through which we provide our scores to clients directly.</w:t>
      </w:r>
    </w:p>
    <w:p>
      <w:pPr>
        <w:spacing w:after="0" w:line="93" w:lineRule="exact"/>
        <w:rPr>
          <w:rFonts w:ascii="Arial" w:cs="Arial" w:eastAsia="Arial" w:hAnsi="Arial"/>
          <w:sz w:val="18"/>
          <w:szCs w:val="18"/>
          <w:i w:val="1"/>
          <w:iCs w:val="1"/>
          <w:color w:val="auto"/>
        </w:rPr>
      </w:pPr>
    </w:p>
    <w:p>
      <w:pPr>
        <w:jc w:val="both"/>
        <w:ind w:left="1300" w:hanging="563"/>
        <w:spacing w:after="0" w:line="213"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Decision Management Software. </w:t>
      </w:r>
      <w:r>
        <w:rPr>
          <w:rFonts w:ascii="Arial" w:cs="Arial" w:eastAsia="Arial" w:hAnsi="Arial"/>
          <w:sz w:val="18"/>
          <w:szCs w:val="18"/>
          <w:color w:val="auto"/>
        </w:rPr>
        <w:t>This segment is composed of analytic and decision management software tools that clients can use to</w:t>
      </w:r>
      <w:r>
        <w:rPr>
          <w:rFonts w:ascii="Arial" w:cs="Arial" w:eastAsia="Arial" w:hAnsi="Arial"/>
          <w:sz w:val="18"/>
          <w:szCs w:val="18"/>
          <w:i w:val="1"/>
          <w:iCs w:val="1"/>
          <w:color w:val="auto"/>
        </w:rPr>
        <w:t xml:space="preserve"> </w:t>
      </w:r>
      <w:r>
        <w:rPr>
          <w:rFonts w:ascii="Arial" w:cs="Arial" w:eastAsia="Arial" w:hAnsi="Arial"/>
          <w:sz w:val="18"/>
          <w:szCs w:val="18"/>
          <w:color w:val="auto"/>
        </w:rPr>
        <w:t>create their own custom decision management applications, our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Decision Management Suite, as well as associated professional services. These tools are available to our customers as on-premises software or through the 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Analytic Cloud or third-party public clouds, such as those provided by AWS.</w:t>
      </w:r>
    </w:p>
    <w:p>
      <w:pPr>
        <w:spacing w:after="0" w:line="20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nor capital expenditures where depreciation amounts are allocated to the segments from their internal cost centers as described above.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segment information for the quarters and six-month periods ended March 31, 2020 and 2019:</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834"/>
              <w:spacing w:after="0"/>
              <w:rPr>
                <w:sz w:val="20"/>
                <w:szCs w:val="20"/>
                <w:color w:val="auto"/>
              </w:rPr>
            </w:pPr>
            <w:r>
              <w:rPr>
                <w:rFonts w:ascii="Arial" w:cs="Arial" w:eastAsia="Arial" w:hAnsi="Arial"/>
                <w:sz w:val="14"/>
                <w:szCs w:val="14"/>
                <w:b w:val="1"/>
                <w:bCs w:val="1"/>
                <w:color w:val="auto"/>
                <w:w w:val="95"/>
              </w:rPr>
              <w:t>Quarter Ended March 31, 2020</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Decision Management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Unallocated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00" w:type="dxa"/>
            <w:vAlign w:val="bottom"/>
          </w:tcPr>
          <w:p>
            <w:pPr>
              <w:spacing w:after="0"/>
              <w:rPr>
                <w:sz w:val="12"/>
                <w:szCs w:val="12"/>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Scores</w:t>
            </w:r>
          </w:p>
        </w:tc>
        <w:tc>
          <w:tcPr>
            <w:tcW w:w="15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Transactional and maintenance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97,789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127,610</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15,303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240,702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47,905</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License</w:t>
            </w: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7,356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19,364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140,279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307,971</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Segment operating expense</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(111,456)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(208,255)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Segment operating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113,488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99,716</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Unallocated share-based compensation</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(22,788)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amortization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75,726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Unallocated other expense, net</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62,464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expense</w:t>
            </w: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4,553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71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0"/>
          </w:tcPr>
          <w:p>
            <w:pPr>
              <w:jc w:val="center"/>
              <w:ind w:left="754"/>
              <w:spacing w:after="0"/>
              <w:rPr>
                <w:sz w:val="20"/>
                <w:szCs w:val="20"/>
                <w:color w:val="auto"/>
              </w:rPr>
            </w:pPr>
            <w:r>
              <w:rPr>
                <w:rFonts w:ascii="Arial" w:cs="Arial" w:eastAsia="Arial" w:hAnsi="Arial"/>
                <w:sz w:val="14"/>
                <w:szCs w:val="14"/>
                <w:b w:val="1"/>
                <w:bCs w:val="1"/>
                <w:color w:val="auto"/>
                <w:w w:val="95"/>
              </w:rPr>
              <w:t>Quarter Ended March 31, 2019</w:t>
            </w: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Decision Management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Unallocated</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Applications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Software</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8"/>
              </w:rPr>
              <w:t>Expenses</w:t>
            </w: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Transactional and maintenance</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97,074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102,363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12,342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211,779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340"/>
              <w:spacing w:after="0"/>
              <w:rPr>
                <w:sz w:val="20"/>
                <w:szCs w:val="20"/>
                <w:color w:val="auto"/>
              </w:rPr>
            </w:pPr>
            <w:r>
              <w:rPr>
                <w:rFonts w:ascii="Arial" w:cs="Arial" w:eastAsia="Arial" w:hAnsi="Arial"/>
                <w:sz w:val="18"/>
                <w:szCs w:val="18"/>
                <w:color w:val="auto"/>
              </w:rPr>
              <w:t>License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8,760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1,139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segment revenues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Segment operating expense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(111,643)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(207,700)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Segment operating income (loss)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30,172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88,236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8"/>
                <w:szCs w:val="18"/>
                <w:color w:val="auto"/>
              </w:rPr>
              <w:t>Unallocated share-based compensation</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34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expense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interest expense, net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Unallocated other expense, net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Depreciation expense</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3420" w:type="dxa"/>
            <w:vAlign w:val="bottom"/>
            <w:vMerge w:val="continue"/>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center"/>
              <w:ind w:left="794"/>
              <w:spacing w:after="0"/>
              <w:rPr>
                <w:sz w:val="20"/>
                <w:szCs w:val="20"/>
                <w:color w:val="auto"/>
              </w:rPr>
            </w:pPr>
            <w:r>
              <w:rPr>
                <w:rFonts w:ascii="Arial" w:cs="Arial" w:eastAsia="Arial" w:hAnsi="Arial"/>
                <w:sz w:val="14"/>
                <w:szCs w:val="14"/>
                <w:b w:val="1"/>
                <w:bCs w:val="1"/>
                <w:color w:val="auto"/>
                <w:w w:val="94"/>
              </w:rPr>
              <w:t>Six Months Ended March 31, 2020</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1"/>
              </w:rPr>
              <w:t>Decision Management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Unallocated</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Applications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Scores</w:t>
            </w:r>
          </w:p>
        </w:tc>
        <w:tc>
          <w:tcPr>
            <w:tcW w:w="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Corporate</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Software</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5"/>
              </w:rPr>
              <w:t>Expenses</w:t>
            </w: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Segment revenues: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Transactional and maintenance</w:t>
            </w: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461,076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380"/>
              <w:spacing w:after="0"/>
              <w:rPr>
                <w:sz w:val="20"/>
                <w:szCs w:val="20"/>
                <w:color w:val="auto"/>
              </w:rPr>
            </w:pPr>
            <w:r>
              <w:rPr>
                <w:rFonts w:ascii="Arial" w:cs="Arial" w:eastAsia="Arial" w:hAnsi="Arial"/>
                <w:sz w:val="18"/>
                <w:szCs w:val="18"/>
                <w:color w:val="auto"/>
              </w:rPr>
              <w:t>Professional services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53,469</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Pr>
          <w:p>
            <w:pPr>
              <w:ind w:left="700"/>
              <w:spacing w:after="0"/>
              <w:rPr>
                <w:sz w:val="20"/>
                <w:szCs w:val="20"/>
                <w:color w:val="auto"/>
              </w:rPr>
            </w:pPr>
            <w:r>
              <w:rPr>
                <w:rFonts w:ascii="Arial" w:cs="Arial" w:eastAsia="Arial" w:hAnsi="Arial"/>
                <w:sz w:val="18"/>
                <w:szCs w:val="18"/>
                <w:color w:val="auto"/>
              </w:rPr>
              <w:t>Total segment revenues</w:t>
            </w: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292,457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244,286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69,732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606,475</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(227,466)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(67,995)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(426,832)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Segment operating income (loss)</w:t>
            </w:r>
          </w:p>
        </w:tc>
        <w:tc>
          <w:tcPr>
            <w:tcW w:w="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64,991</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210,914</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(67,995)</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179,643</w:t>
            </w:r>
          </w:p>
        </w:tc>
        <w:tc>
          <w:tcPr>
            <w:tcW w:w="4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Unallocated share-based compensation</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Unallocated amortization expense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restructuring and acquisition-</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127,608</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interest expense, net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Unallocated other income, net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104,359</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11,636</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674"/>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774"/>
              <w:spacing w:after="0"/>
              <w:rPr>
                <w:sz w:val="20"/>
                <w:szCs w:val="20"/>
                <w:color w:val="auto"/>
              </w:rPr>
            </w:pPr>
            <w:r>
              <w:rPr>
                <w:rFonts w:ascii="Arial" w:cs="Arial" w:eastAsia="Arial" w:hAnsi="Arial"/>
                <w:sz w:val="14"/>
                <w:szCs w:val="14"/>
                <w:b w:val="1"/>
                <w:bCs w:val="1"/>
                <w:color w:val="auto"/>
                <w:w w:val="94"/>
              </w:rPr>
              <w:t>Six Months Ended March 31, 2019</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Decision Management</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0"/>
              </w:rPr>
              <w:t>Unallocated</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Applications</w:t>
            </w:r>
          </w:p>
        </w:tc>
        <w:tc>
          <w:tcPr>
            <w:tcW w:w="32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Scores</w:t>
            </w:r>
          </w:p>
        </w:tc>
        <w:tc>
          <w:tcPr>
            <w:tcW w:w="15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Corporate</w:t>
            </w:r>
          </w:p>
        </w:tc>
        <w:tc>
          <w:tcPr>
            <w:tcW w:w="34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460" w:type="dxa"/>
            <w:vAlign w:val="bottom"/>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Transactional and maintenance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405,972</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67,443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91,363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43,155</w:t>
            </w:r>
          </w:p>
        </w:tc>
        <w:tc>
          <w:tcPr>
            <w:tcW w:w="0" w:type="dxa"/>
            <w:vAlign w:val="bottom"/>
          </w:tcPr>
          <w:p>
            <w:pPr>
              <w:spacing w:after="0"/>
              <w:rPr>
                <w:sz w:val="1"/>
                <w:szCs w:val="1"/>
                <w:color w:val="auto"/>
              </w:rPr>
            </w:pPr>
          </w:p>
        </w:tc>
      </w:tr>
      <w:tr>
        <w:trPr>
          <w:trHeight w:val="237"/>
        </w:trPr>
        <w:tc>
          <w:tcPr>
            <w:tcW w:w="3460" w:type="dxa"/>
            <w:vAlign w:val="bottom"/>
          </w:tcPr>
          <w:p>
            <w:pPr>
              <w:ind w:left="700"/>
              <w:spacing w:after="0"/>
              <w:rPr>
                <w:sz w:val="20"/>
                <w:szCs w:val="20"/>
                <w:color w:val="auto"/>
              </w:rPr>
            </w:pPr>
            <w:r>
              <w:rPr>
                <w:rFonts w:ascii="Arial" w:cs="Arial" w:eastAsia="Arial" w:hAnsi="Arial"/>
                <w:sz w:val="18"/>
                <w:szCs w:val="18"/>
                <w:color w:val="auto"/>
              </w:rPr>
              <w:t>Total segment revenues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289,474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190,086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60,930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540,490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(397,596)</w:t>
            </w:r>
          </w:p>
        </w:tc>
        <w:tc>
          <w:tcPr>
            <w:tcW w:w="0" w:type="dxa"/>
            <w:vAlign w:val="bottom"/>
          </w:tcPr>
          <w:p>
            <w:pPr>
              <w:spacing w:after="0"/>
              <w:rPr>
                <w:sz w:val="1"/>
                <w:szCs w:val="1"/>
                <w:color w:val="auto"/>
              </w:rPr>
            </w:pPr>
          </w:p>
        </w:tc>
      </w:tr>
      <w:tr>
        <w:trPr>
          <w:trHeight w:val="297"/>
        </w:trPr>
        <w:tc>
          <w:tcPr>
            <w:tcW w:w="346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Segment 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70,233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160,437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31"/>
              <w:spacing w:after="0"/>
              <w:rPr>
                <w:sz w:val="20"/>
                <w:szCs w:val="20"/>
                <w:color w:val="auto"/>
              </w:rPr>
            </w:pPr>
            <w:r>
              <w:rPr>
                <w:rFonts w:ascii="Arial" w:cs="Arial" w:eastAsia="Arial" w:hAnsi="Arial"/>
                <w:sz w:val="18"/>
                <w:szCs w:val="18"/>
                <w:color w:val="auto"/>
              </w:rPr>
              <w:t>142,894</w:t>
            </w:r>
          </w:p>
        </w:tc>
        <w:tc>
          <w:tcPr>
            <w:tcW w:w="0" w:type="dxa"/>
            <w:vAlign w:val="bottom"/>
          </w:tcPr>
          <w:p>
            <w:pPr>
              <w:spacing w:after="0"/>
              <w:rPr>
                <w:sz w:val="1"/>
                <w:szCs w:val="1"/>
                <w:color w:val="auto"/>
              </w:rPr>
            </w:pPr>
          </w:p>
        </w:tc>
      </w:tr>
      <w:tr>
        <w:trPr>
          <w:trHeight w:val="189"/>
        </w:trPr>
        <w:tc>
          <w:tcPr>
            <w:tcW w:w="3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Unallocated share-based compensation</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(42,336)</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Unallocated amortization expense</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97,553</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Unallocated interest expense, net</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(19,684)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77,130</w:t>
            </w:r>
          </w:p>
        </w:tc>
        <w:tc>
          <w:tcPr>
            <w:tcW w:w="0" w:type="dxa"/>
            <w:vAlign w:val="bottom"/>
          </w:tcPr>
          <w:p>
            <w:pPr>
              <w:spacing w:after="0"/>
              <w:rPr>
                <w:sz w:val="1"/>
                <w:szCs w:val="1"/>
                <w:color w:val="auto"/>
              </w:rPr>
            </w:pPr>
          </w:p>
        </w:tc>
      </w:tr>
      <w:tr>
        <w:trPr>
          <w:trHeight w:val="67"/>
        </w:trPr>
        <w:tc>
          <w:tcPr>
            <w:tcW w:w="34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disaggregated revenue by product deployment methods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center"/>
              <w:ind w:left="856"/>
              <w:spacing w:after="0"/>
              <w:rPr>
                <w:sz w:val="20"/>
                <w:szCs w:val="20"/>
                <w:color w:val="auto"/>
              </w:rPr>
            </w:pPr>
            <w:r>
              <w:rPr>
                <w:rFonts w:ascii="Arial" w:cs="Arial" w:eastAsia="Arial" w:hAnsi="Arial"/>
                <w:sz w:val="14"/>
                <w:szCs w:val="14"/>
                <w:b w:val="1"/>
                <w:bCs w:val="1"/>
                <w:color w:val="auto"/>
                <w:w w:val="95"/>
              </w:rPr>
              <w:t>Quarter Ended March 31, 2020</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3"/>
        </w:trPr>
        <w:tc>
          <w:tcPr>
            <w:tcW w:w="2780" w:type="dxa"/>
            <w:vAlign w:val="bottom"/>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44"/>
        </w:trPr>
        <w:tc>
          <w:tcPr>
            <w:tcW w:w="2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2780" w:type="dxa"/>
            <w:vAlign w:val="bottom"/>
          </w:tcPr>
          <w:p>
            <w:pPr>
              <w:ind w:left="40"/>
              <w:spacing w:after="0"/>
              <w:rPr>
                <w:sz w:val="20"/>
                <w:szCs w:val="20"/>
                <w:color w:val="auto"/>
              </w:rPr>
            </w:pPr>
            <w:r>
              <w:rPr>
                <w:rFonts w:ascii="Arial" w:cs="Arial" w:eastAsia="Arial" w:hAnsi="Arial"/>
                <w:sz w:val="18"/>
                <w:szCs w:val="18"/>
                <w:color w:val="auto"/>
              </w:rPr>
              <w:t>Applications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76,341</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63,938</w:t>
            </w:r>
          </w:p>
        </w:tc>
        <w:tc>
          <w:tcPr>
            <w:tcW w:w="100" w:type="dxa"/>
            <w:vAlign w:val="bottom"/>
          </w:tcPr>
          <w:p>
            <w:pPr>
              <w:spacing w:after="0"/>
              <w:rPr>
                <w:sz w:val="22"/>
                <w:szCs w:val="22"/>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140,279</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Scores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129,148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129,148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Decision Management Software</w:t>
            </w:r>
          </w:p>
        </w:tc>
        <w:tc>
          <w:tcPr>
            <w:tcW w:w="2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28,847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9,697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38,544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2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105,188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73,635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129,148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307,971</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48"/>
        </w:trPr>
        <w:tc>
          <w:tcPr>
            <w:tcW w:w="2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center"/>
              <w:ind w:left="856"/>
              <w:spacing w:after="0"/>
              <w:rPr>
                <w:sz w:val="20"/>
                <w:szCs w:val="20"/>
                <w:color w:val="auto"/>
              </w:rPr>
            </w:pPr>
            <w:r>
              <w:rPr>
                <w:rFonts w:ascii="Arial" w:cs="Arial" w:eastAsia="Arial" w:hAnsi="Arial"/>
                <w:sz w:val="14"/>
                <w:szCs w:val="14"/>
                <w:b w:val="1"/>
                <w:bCs w:val="1"/>
                <w:color w:val="auto"/>
                <w:w w:val="95"/>
              </w:rPr>
              <w:t>Quarter Ended March 31, 2019</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On-Premises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SaaS</w:t>
            </w: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44"/>
        </w:trPr>
        <w:tc>
          <w:tcPr>
            <w:tcW w:w="2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2780" w:type="dxa"/>
            <w:vAlign w:val="bottom"/>
          </w:tcPr>
          <w:p>
            <w:pPr>
              <w:ind w:left="40"/>
              <w:spacing w:after="0"/>
              <w:rPr>
                <w:sz w:val="20"/>
                <w:szCs w:val="20"/>
                <w:color w:val="auto"/>
              </w:rPr>
            </w:pPr>
            <w:r>
              <w:rPr>
                <w:rFonts w:ascii="Arial" w:cs="Arial" w:eastAsia="Arial" w:hAnsi="Arial"/>
                <w:sz w:val="18"/>
                <w:szCs w:val="18"/>
                <w:color w:val="auto"/>
              </w:rPr>
              <w:t>Applications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81,311</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60,504</w:t>
            </w:r>
          </w:p>
        </w:tc>
        <w:tc>
          <w:tcPr>
            <w:tcW w:w="100" w:type="dxa"/>
            <w:vAlign w:val="bottom"/>
          </w:tcPr>
          <w:p>
            <w:pPr>
              <w:spacing w:after="0"/>
              <w:rPr>
                <w:sz w:val="22"/>
                <w:szCs w:val="22"/>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141,815</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Scores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104,403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Decision Management Software</w:t>
            </w:r>
          </w:p>
        </w:tc>
        <w:tc>
          <w:tcPr>
            <w:tcW w:w="2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25,725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32,016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2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107,036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66,795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104,403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278,234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9"/>
        </w:trPr>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43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left="836"/>
              <w:spacing w:after="0"/>
              <w:rPr>
                <w:sz w:val="20"/>
                <w:szCs w:val="20"/>
                <w:color w:val="auto"/>
              </w:rPr>
            </w:pPr>
            <w:r>
              <w:rPr>
                <w:rFonts w:ascii="Arial" w:cs="Arial" w:eastAsia="Arial" w:hAnsi="Arial"/>
                <w:sz w:val="14"/>
                <w:szCs w:val="14"/>
                <w:b w:val="1"/>
                <w:bCs w:val="1"/>
                <w:color w:val="auto"/>
                <w:w w:val="94"/>
              </w:rPr>
              <w:t>Six Months Ended March 31, 2020</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3"/>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On-Premises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SaaS</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162,319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130,138</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292,457</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244,286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244,286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52,526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69,732</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274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214,845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147,344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244,286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606,475</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48"/>
        </w:trPr>
        <w:tc>
          <w:tcPr>
            <w:tcW w:w="2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left="836"/>
              <w:spacing w:after="0"/>
              <w:rPr>
                <w:sz w:val="20"/>
                <w:szCs w:val="20"/>
                <w:color w:val="auto"/>
              </w:rPr>
            </w:pPr>
            <w:r>
              <w:rPr>
                <w:rFonts w:ascii="Arial" w:cs="Arial" w:eastAsia="Arial" w:hAnsi="Arial"/>
                <w:sz w:val="14"/>
                <w:szCs w:val="14"/>
                <w:b w:val="1"/>
                <w:bCs w:val="1"/>
                <w:color w:val="auto"/>
                <w:w w:val="94"/>
              </w:rPr>
              <w:t>Six Months Ended March 31, 2019</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3"/>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On-Premises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SaaS</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Scores</w:t>
            </w: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170,906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118,568</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289,474</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190,086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190,086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60,930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274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220,240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130,164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190,086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540,490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about disaggregated revenue by primary geographical markets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10"/>
          </w:tcPr>
          <w:p>
            <w:pPr>
              <w:jc w:val="center"/>
              <w:ind w:right="110"/>
              <w:spacing w:after="0"/>
              <w:rPr>
                <w:sz w:val="20"/>
                <w:szCs w:val="20"/>
                <w:color w:val="auto"/>
              </w:rPr>
            </w:pPr>
            <w:r>
              <w:rPr>
                <w:rFonts w:ascii="Arial" w:cs="Arial" w:eastAsia="Arial" w:hAnsi="Arial"/>
                <w:sz w:val="14"/>
                <w:szCs w:val="14"/>
                <w:b w:val="1"/>
                <w:bCs w:val="1"/>
                <w:color w:val="auto"/>
                <w:w w:val="95"/>
              </w:rPr>
              <w:t>Quarter Ended March 31, 2020</w:t>
            </w: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3"/>
                <w:szCs w:val="13"/>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Latin America</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Europe, Middle East</w:t>
            </w:r>
          </w:p>
        </w:tc>
        <w:tc>
          <w:tcPr>
            <w:tcW w:w="280" w:type="dxa"/>
            <w:vAlign w:val="bottom"/>
          </w:tcPr>
          <w:p>
            <w:pPr>
              <w:spacing w:after="0"/>
              <w:rPr>
                <w:sz w:val="13"/>
                <w:szCs w:val="13"/>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Asia Pacific</w:t>
            </w:r>
          </w:p>
        </w:tc>
        <w:tc>
          <w:tcPr>
            <w:tcW w:w="360" w:type="dxa"/>
            <w:vAlign w:val="bottom"/>
          </w:tcPr>
          <w:p>
            <w:pPr>
              <w:spacing w:after="0"/>
              <w:rPr>
                <w:sz w:val="13"/>
                <w:szCs w:val="13"/>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6"/>
              </w:rPr>
              <w:t>and Africa</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Applications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3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140,279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123,249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223,156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18,208</w:t>
            </w:r>
          </w:p>
        </w:tc>
        <w:tc>
          <w:tcPr>
            <w:tcW w:w="100" w:type="dxa"/>
            <w:vAlign w:val="bottom"/>
            <w:tcBorders>
              <w:top w:val="single" w:sz="8" w:color="auto"/>
              <w:bottom w:val="single" w:sz="8" w:color="auto"/>
            </w:tcBorders>
            <w:gridSpan w:val="2"/>
          </w:tcPr>
          <w:p>
            <w:pPr>
              <w:spacing w:after="0"/>
              <w:rPr>
                <w:sz w:val="22"/>
                <w:szCs w:val="22"/>
                <w:color w:val="auto"/>
              </w:rPr>
            </w:pP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42,911</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307,971</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jc w:val="center"/>
              <w:ind w:right="110"/>
              <w:spacing w:after="0"/>
              <w:rPr>
                <w:sz w:val="20"/>
                <w:szCs w:val="20"/>
                <w:color w:val="auto"/>
              </w:rPr>
            </w:pPr>
            <w:r>
              <w:rPr>
                <w:rFonts w:ascii="Arial" w:cs="Arial" w:eastAsia="Arial" w:hAnsi="Arial"/>
                <w:sz w:val="14"/>
                <w:szCs w:val="14"/>
                <w:b w:val="1"/>
                <w:bCs w:val="1"/>
                <w:color w:val="auto"/>
                <w:w w:val="95"/>
              </w:rPr>
              <w:t>Quarter Ended March 31, 2019</w:t>
            </w: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3"/>
                <w:szCs w:val="13"/>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Latin America</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Europe, Middle East</w:t>
            </w:r>
          </w:p>
        </w:tc>
        <w:tc>
          <w:tcPr>
            <w:tcW w:w="280" w:type="dxa"/>
            <w:vAlign w:val="bottom"/>
          </w:tcPr>
          <w:p>
            <w:pPr>
              <w:spacing w:after="0"/>
              <w:rPr>
                <w:sz w:val="13"/>
                <w:szCs w:val="13"/>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Asia Pacific</w:t>
            </w:r>
          </w:p>
        </w:tc>
        <w:tc>
          <w:tcPr>
            <w:tcW w:w="360" w:type="dxa"/>
            <w:vAlign w:val="bottom"/>
          </w:tcPr>
          <w:p>
            <w:pPr>
              <w:spacing w:after="0"/>
              <w:rPr>
                <w:sz w:val="13"/>
                <w:szCs w:val="13"/>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6"/>
              </w:rPr>
              <w:t>and Africa</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Applications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87,226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3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141,815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100,491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0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204,317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tcBorders>
              <w:top w:val="single" w:sz="8" w:color="auto"/>
              <w:bottom w:val="single" w:sz="8" w:color="auto"/>
            </w:tcBorders>
            <w:gridSpan w:val="2"/>
          </w:tcPr>
          <w:p>
            <w:pPr>
              <w:spacing w:after="0"/>
              <w:rPr>
                <w:sz w:val="22"/>
                <w:szCs w:val="22"/>
                <w:color w:val="auto"/>
              </w:rPr>
            </w:pP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41,883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278,234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jc w:val="center"/>
              <w:ind w:left="974"/>
              <w:spacing w:after="0"/>
              <w:rPr>
                <w:sz w:val="20"/>
                <w:szCs w:val="20"/>
                <w:color w:val="auto"/>
              </w:rPr>
            </w:pPr>
            <w:r>
              <w:rPr>
                <w:rFonts w:ascii="Arial" w:cs="Arial" w:eastAsia="Arial" w:hAnsi="Arial"/>
                <w:sz w:val="14"/>
                <w:szCs w:val="14"/>
                <w:b w:val="1"/>
                <w:bCs w:val="1"/>
                <w:color w:val="auto"/>
                <w:w w:val="94"/>
              </w:rPr>
              <w:t>Six Months Ended March 31, 2020</w:t>
            </w: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3"/>
                <w:szCs w:val="13"/>
                <w:color w:val="auto"/>
              </w:rPr>
            </w:pPr>
          </w:p>
        </w:tc>
        <w:tc>
          <w:tcPr>
            <w:tcW w:w="12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Latin America</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Europe, Middle East</w:t>
            </w:r>
          </w:p>
        </w:tc>
        <w:tc>
          <w:tcPr>
            <w:tcW w:w="280" w:type="dxa"/>
            <w:vAlign w:val="bottom"/>
          </w:tcPr>
          <w:p>
            <w:pPr>
              <w:spacing w:after="0"/>
              <w:rPr>
                <w:sz w:val="13"/>
                <w:szCs w:val="13"/>
                <w:color w:val="auto"/>
              </w:rPr>
            </w:pPr>
          </w:p>
        </w:tc>
        <w:tc>
          <w:tcPr>
            <w:tcW w:w="14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360" w:type="dxa"/>
            <w:vAlign w:val="bottom"/>
          </w:tcPr>
          <w:p>
            <w:pPr>
              <w:spacing w:after="0"/>
              <w:rPr>
                <w:sz w:val="13"/>
                <w:szCs w:val="13"/>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and Africa</w:t>
            </w:r>
          </w:p>
        </w:tc>
        <w:tc>
          <w:tcPr>
            <w:tcW w:w="28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164,366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19,189</w:t>
            </w:r>
          </w:p>
        </w:tc>
        <w:tc>
          <w:tcPr>
            <w:tcW w:w="3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74,055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292,457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Scores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233,446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3,258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244,286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14,185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8,703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69,732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00" w:type="dxa"/>
            <w:vAlign w:val="bottom"/>
          </w:tcPr>
          <w:p>
            <w:pPr>
              <w:ind w:left="2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434,406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91,498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48,229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606,475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14"/>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center"/>
              <w:ind w:left="976"/>
              <w:spacing w:after="0"/>
              <w:rPr>
                <w:sz w:val="20"/>
                <w:szCs w:val="20"/>
                <w:color w:val="auto"/>
              </w:rPr>
            </w:pPr>
            <w:r>
              <w:rPr>
                <w:rFonts w:ascii="Arial" w:cs="Arial" w:eastAsia="Arial" w:hAnsi="Arial"/>
                <w:sz w:val="14"/>
                <w:szCs w:val="14"/>
                <w:b w:val="1"/>
                <w:bCs w:val="1"/>
                <w:color w:val="auto"/>
                <w:w w:val="94"/>
              </w:rPr>
              <w:t>Six Months Ended March 31, 2019</w:t>
            </w: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0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North America</w:t>
            </w:r>
          </w:p>
        </w:tc>
        <w:tc>
          <w:tcPr>
            <w:tcW w:w="240" w:type="dxa"/>
            <w:vAlign w:val="bottom"/>
          </w:tcPr>
          <w:p>
            <w:pPr>
              <w:spacing w:after="0"/>
              <w:rPr>
                <w:sz w:val="13"/>
                <w:szCs w:val="13"/>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Europe, Middle East</w:t>
            </w:r>
          </w:p>
        </w:tc>
        <w:tc>
          <w:tcPr>
            <w:tcW w:w="30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380" w:type="dxa"/>
            <w:vAlign w:val="bottom"/>
          </w:tcPr>
          <w:p>
            <w:pPr>
              <w:spacing w:after="0"/>
              <w:rPr>
                <w:sz w:val="13"/>
                <w:szCs w:val="13"/>
                <w:color w:val="auto"/>
              </w:rPr>
            </w:pPr>
          </w:p>
        </w:tc>
        <w:tc>
          <w:tcPr>
            <w:tcW w:w="120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and Africa</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Applications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168,175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24,923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65,800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289,474</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Scores</w:t>
            </w:r>
          </w:p>
        </w:tc>
        <w:tc>
          <w:tcPr>
            <w:tcW w:w="20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182,564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190,086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Decision Management Software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13,297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60,930</w:t>
            </w:r>
          </w:p>
        </w:tc>
        <w:tc>
          <w:tcPr>
            <w:tcW w:w="0" w:type="dxa"/>
            <w:vAlign w:val="bottom"/>
          </w:tcPr>
          <w:p>
            <w:pPr>
              <w:spacing w:after="0"/>
              <w:rPr>
                <w:sz w:val="1"/>
                <w:szCs w:val="1"/>
                <w:color w:val="auto"/>
              </w:rPr>
            </w:pPr>
          </w:p>
        </w:tc>
      </w:tr>
      <w:tr>
        <w:trPr>
          <w:trHeight w:val="257"/>
        </w:trPr>
        <w:tc>
          <w:tcPr>
            <w:tcW w:w="292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381,163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35,357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82,103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41,867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540,490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rFonts w:ascii="Arial" w:cs="Arial" w:eastAsia="Arial" w:hAnsi="Arial"/>
          <w:sz w:val="18"/>
          <w:szCs w:val="18"/>
          <w:b w:val="1"/>
          <w:bCs w:val="1"/>
          <w:color w:val="auto"/>
        </w:rPr>
        <w:t xml:space="preserve"> Contract Balances and Performance Obligations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at March 31, 2020 and September 30, 2019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440" w:type="dxa"/>
            <w:vAlign w:val="bottom"/>
          </w:tcPr>
          <w:p>
            <w:pPr>
              <w:jc w:val="right"/>
              <w:ind w:right="33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r>
      <w:tr>
        <w:trPr>
          <w:trHeight w:val="196"/>
        </w:trPr>
        <w:tc>
          <w:tcPr>
            <w:tcW w:w="7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4"/>
          </w:tcPr>
          <w:p>
            <w:pPr>
              <w:jc w:val="right"/>
              <w:ind w:right="119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199,102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206,714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Unbilled</w:t>
            </w:r>
          </w:p>
        </w:tc>
        <w:tc>
          <w:tcPr>
            <w:tcW w:w="3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146,226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127,651</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345,328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334,365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(2,568)</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receivables</w:t>
            </w: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340,080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331,797</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Less: long-term receivables *</w:t>
            </w: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(34,370)</w:t>
            </w:r>
          </w:p>
        </w:tc>
      </w:tr>
      <w:tr>
        <w:trPr>
          <w:trHeight w:val="27"/>
        </w:trPr>
        <w:tc>
          <w:tcPr>
            <w:tcW w:w="7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receivables *</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307,307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297,427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0" w:firstLine="2"/>
        <w:spacing w:after="0" w:line="277" w:lineRule="auto"/>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Short-term receivables and long-term receivables were recorded in accounts receivable, net and other assets, respectively, within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-302260</wp:posOffset>
            </wp:positionV>
            <wp:extent cx="1379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balance at March 31, 2020 and September 30, 2019 was immaterial.</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Deferred revenue primarily relates to our maintenance and SaaS contracts billed annually in advance and generally recognized ratably over the term of the service period. Significant changes in the deferred revenues balances during the six months ended March 31, 2020 and 2019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192"/>
        </w:trPr>
        <w:tc>
          <w:tcPr>
            <w:tcW w:w="9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6"/>
              </w:rPr>
              <w:t>2020</w:t>
            </w:r>
          </w:p>
        </w:tc>
      </w:tr>
      <w:tr>
        <w:trPr>
          <w:trHeight w:val="250"/>
        </w:trPr>
        <w:tc>
          <w:tcPr>
            <w:tcW w:w="9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jc w:val="center"/>
              <w:ind w:right="256"/>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 at September 30, 2019</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116,320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Revenue recognized that was included in the deferred revenues balance at the beginning of the period</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(75,148)</w:t>
            </w:r>
          </w:p>
        </w:tc>
      </w:tr>
      <w:tr>
        <w:trPr>
          <w:trHeight w:val="27"/>
        </w:trPr>
        <w:tc>
          <w:tcPr>
            <w:tcW w:w="9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billings, excluding amounts recognized as revenue during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80,382</w:t>
            </w:r>
          </w:p>
        </w:tc>
      </w:tr>
      <w:tr>
        <w:trPr>
          <w:trHeight w:val="257"/>
        </w:trPr>
        <w:tc>
          <w:tcPr>
            <w:tcW w:w="9220" w:type="dxa"/>
            <w:vAlign w:val="bottom"/>
          </w:tcPr>
          <w:p>
            <w:pPr>
              <w:ind w:left="40"/>
              <w:spacing w:after="0"/>
              <w:rPr>
                <w:sz w:val="20"/>
                <w:szCs w:val="20"/>
                <w:color w:val="auto"/>
              </w:rPr>
            </w:pPr>
            <w:r>
              <w:rPr>
                <w:rFonts w:ascii="Arial" w:cs="Arial" w:eastAsia="Arial" w:hAnsi="Arial"/>
                <w:sz w:val="18"/>
                <w:szCs w:val="18"/>
                <w:color w:val="auto"/>
              </w:rPr>
              <w:t>Deferred revenues at March 31, 2020</w:t>
            </w: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121,554</w:t>
            </w:r>
          </w:p>
        </w:tc>
      </w:tr>
      <w:tr>
        <w:trPr>
          <w:trHeight w:val="20"/>
        </w:trPr>
        <w:tc>
          <w:tcPr>
            <w:tcW w:w="9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8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firstLine="8"/>
        <w:spacing w:after="0" w:line="259" w:lineRule="auto"/>
        <w:tabs>
          <w:tab w:leader="none" w:pos="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revenues at September 30, 2019 included current portion of $111.0 million and long-term portion of $5.3 million that were recorded in deferred revenue and other liabilities, respectively, within the condensed consolidated balance sheets. Deferred revenues at March 31, 2020 included current portion of $114.4 million and long-term portion of $7.2 million that were recorded in deferred revenue and other liabilities, respectively, within the condensed consolidated balance sheets.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SaaS subscription term with revenue recognized ratably over the contract period.</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that will be recognized in future periods from usage-based royalty from license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SaaS transactional revenue from variable considerations that will be recognized in the distinct service period during which it is earned; and</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 allocated to remaining performance obligations was $253.4 million as of March 31, 2020, of which we expect to recognize approximately 51% over the next 18 months and the remainder thereafter.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lease office space and data centers under operating lease arrangements, which constitute the majority of our lease obligations. We also enter into finance lease agreements from time to time for certain computer equipment. For any lease with a lease term in excess of 12 months, the related lease assets and liabilities are recognized on our condensed consolidated balance sheets as either operating or finance leases at the commencement of an agreement where it is determined that a lease exists. We have lease agreements that contain both lease and non-lease components, and we have elected to combine these components together and account for them as a single lease component for all classes of assets. Leases with a lease term of 12 months or less are not recorded on our condensed consolidated balance sheets. Furthermore, we recognize lease expense for these leases on a straight-line basis over the lease term.</w:t>
      </w:r>
    </w:p>
    <w:p>
      <w:pPr>
        <w:spacing w:after="0" w:line="15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We use a collateralized incremental borrowing rate based on the information available at the commencement date, including the lease term, in determining the present value of future payments. In calculating the incremental borrowing rates, we consider recent ratings from credit agencies and current lease demographic information. Our operating leases also typically require payment of real estate taxes, common area maintenance, insurance and other operating costs as well as payments that are adjusted based on a consumer price index. These components comprise the majority of our variable lease cost and are excluded from the present value of our lease obligations. In instances where they are fixed, they are included due to our election to combine lease and non-lease components. Operating lease assets also include prepaid lease payments and initial direct costs, and are reduced by lease incentives. Our lease terms generally do not include options to extend or terminate the lease unless it is reasonably certain that the option will be exercised. Fixed payments may contain predetermined fixed rent escalations. We recognize the related rent expense on a straight-line basis from the commencement date to the end of the lease term.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26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 Location</w:t>
            </w:r>
          </w:p>
        </w:tc>
        <w:tc>
          <w:tcPr>
            <w:tcW w:w="300" w:type="dxa"/>
            <w:vAlign w:val="bottom"/>
          </w:tcPr>
          <w:p>
            <w:pPr>
              <w:spacing w:after="0"/>
              <w:rPr>
                <w:sz w:val="16"/>
                <w:szCs w:val="16"/>
                <w:color w:val="auto"/>
              </w:rPr>
            </w:pP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 2020</w:t>
            </w:r>
          </w:p>
        </w:tc>
      </w:tr>
      <w:tr>
        <w:trPr>
          <w:trHeight w:val="264"/>
        </w:trPr>
        <w:tc>
          <w:tcPr>
            <w:tcW w:w="6080" w:type="dxa"/>
            <w:vAlign w:val="bottom"/>
          </w:tcPr>
          <w:p>
            <w:pPr>
              <w:spacing w:after="0"/>
              <w:rPr>
                <w:sz w:val="22"/>
                <w:szCs w:val="22"/>
                <w:color w:val="auto"/>
              </w:rPr>
            </w:pPr>
          </w:p>
        </w:tc>
        <w:tc>
          <w:tcPr>
            <w:tcW w:w="3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87,142</w:t>
            </w:r>
          </w:p>
        </w:tc>
      </w:tr>
      <w:tr>
        <w:trPr>
          <w:trHeight w:val="27"/>
        </w:trPr>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 (*)</w:t>
            </w:r>
          </w:p>
        </w:tc>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9,517</w:t>
            </w:r>
          </w:p>
        </w:tc>
      </w:tr>
      <w:tr>
        <w:trPr>
          <w:trHeight w:val="297"/>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lease assets</w:t>
            </w:r>
          </w:p>
        </w:tc>
        <w:tc>
          <w:tcPr>
            <w:tcW w:w="3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96,659</w:t>
            </w: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Current:</w:t>
            </w:r>
          </w:p>
        </w:tc>
        <w:tc>
          <w:tcPr>
            <w:tcW w:w="3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18,799</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3,911</w:t>
            </w:r>
          </w:p>
        </w:tc>
      </w:tr>
      <w:tr>
        <w:trPr>
          <w:trHeight w:val="27"/>
        </w:trPr>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26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77,485</w:t>
            </w:r>
          </w:p>
        </w:tc>
      </w:tr>
      <w:tr>
        <w:trPr>
          <w:trHeight w:val="27"/>
        </w:trPr>
        <w:tc>
          <w:tcPr>
            <w:tcW w:w="60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5,952</w:t>
            </w:r>
          </w:p>
        </w:tc>
      </w:tr>
      <w:tr>
        <w:trPr>
          <w:trHeight w:val="257"/>
        </w:trPr>
        <w:tc>
          <w:tcPr>
            <w:tcW w:w="608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3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106,147</w:t>
            </w:r>
          </w:p>
        </w:tc>
      </w:tr>
      <w:tr>
        <w:trPr>
          <w:trHeight w:val="20"/>
        </w:trPr>
        <w:tc>
          <w:tcPr>
            <w:tcW w:w="6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right="5220" w:hanging="412"/>
        <w:spacing w:after="0" w:line="716" w:lineRule="auto"/>
        <w:tabs>
          <w:tab w:leader="none" w:pos="2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Finance leases are recorded net of accumulated depreciation of $2.0 million. The components of our operating and finance lease expenses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1388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right"/>
              <w:ind w:right="476"/>
              <w:spacing w:after="0" w:line="149" w:lineRule="exact"/>
              <w:rPr>
                <w:sz w:val="20"/>
                <w:szCs w:val="20"/>
                <w:color w:val="auto"/>
              </w:rPr>
            </w:pPr>
            <w:r>
              <w:rPr>
                <w:rFonts w:ascii="Arial" w:cs="Arial" w:eastAsia="Arial" w:hAnsi="Arial"/>
                <w:sz w:val="14"/>
                <w:szCs w:val="14"/>
                <w:b w:val="1"/>
                <w:bCs w:val="1"/>
                <w:color w:val="auto"/>
              </w:rPr>
              <w:t>Quarter Ended</w:t>
            </w:r>
          </w:p>
        </w:tc>
        <w:tc>
          <w:tcPr>
            <w:tcW w:w="1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Six Months Ended March 31,</w:t>
            </w:r>
          </w:p>
        </w:tc>
      </w:tr>
      <w:tr>
        <w:trPr>
          <w:trHeight w:val="192"/>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March 31, 2020</w:t>
            </w: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r>
      <w:tr>
        <w:trPr>
          <w:trHeight w:val="264"/>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6,518</w:t>
            </w:r>
          </w:p>
        </w:tc>
        <w:tc>
          <w:tcPr>
            <w:tcW w:w="52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11,926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of lease assets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811</w:t>
            </w:r>
          </w:p>
        </w:tc>
        <w:tc>
          <w:tcPr>
            <w:tcW w:w="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1,268</w:t>
            </w:r>
          </w:p>
        </w:tc>
      </w:tr>
      <w:tr>
        <w:trPr>
          <w:trHeight w:val="243"/>
        </w:trPr>
        <w:tc>
          <w:tcPr>
            <w:tcW w:w="732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21"/>
                <w:szCs w:val="21"/>
                <w:color w:val="auto"/>
              </w:rPr>
            </w:pPr>
          </w:p>
        </w:tc>
        <w:tc>
          <w:tcPr>
            <w:tcW w:w="1680" w:type="dxa"/>
            <w:vAlign w:val="bottom"/>
          </w:tcPr>
          <w:p>
            <w:pPr>
              <w:jc w:val="right"/>
              <w:ind w:right="76"/>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148</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w:t>
            </w:r>
          </w:p>
        </w:tc>
        <w:tc>
          <w:tcPr>
            <w:tcW w:w="5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280" w:type="dxa"/>
            <w:vAlign w:val="bottom"/>
          </w:tcPr>
          <w:p>
            <w:pPr>
              <w:spacing w:after="0"/>
              <w:rPr>
                <w:sz w:val="21"/>
                <w:szCs w:val="21"/>
                <w:color w:val="auto"/>
              </w:rPr>
            </w:pPr>
          </w:p>
        </w:tc>
        <w:tc>
          <w:tcPr>
            <w:tcW w:w="1680" w:type="dxa"/>
            <w:vAlign w:val="bottom"/>
          </w:tcPr>
          <w:p>
            <w:pPr>
              <w:jc w:val="right"/>
              <w:ind w:right="76"/>
              <w:spacing w:after="0"/>
              <w:rPr>
                <w:sz w:val="20"/>
                <w:szCs w:val="20"/>
                <w:color w:val="auto"/>
              </w:rPr>
            </w:pPr>
            <w:r>
              <w:rPr>
                <w:rFonts w:ascii="Arial" w:cs="Arial" w:eastAsia="Arial" w:hAnsi="Arial"/>
                <w:sz w:val="18"/>
                <w:szCs w:val="18"/>
                <w:color w:val="auto"/>
              </w:rPr>
              <w:t>846</w:t>
            </w:r>
          </w:p>
        </w:tc>
        <w:tc>
          <w:tcPr>
            <w:tcW w:w="5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1,820</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lease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8,008</w:t>
            </w:r>
          </w:p>
        </w:tc>
        <w:tc>
          <w:tcPr>
            <w:tcW w:w="5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15,969</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weighted average lease term and weighted average discount rates related to our operating and finance leases: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5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w w:val="96"/>
              </w:rPr>
              <w:t>March 31, 2020</w:t>
            </w:r>
          </w:p>
        </w:tc>
        <w:tc>
          <w:tcPr>
            <w:tcW w:w="1500" w:type="dxa"/>
            <w:vAlign w:val="bottom"/>
            <w:tcBorders>
              <w:bottom w:val="single" w:sz="8" w:color="auto"/>
            </w:tcBorders>
          </w:tcPr>
          <w:p>
            <w:pPr>
              <w:spacing w:after="0"/>
              <w:rPr>
                <w:sz w:val="16"/>
                <w:szCs w:val="16"/>
                <w:color w:val="auto"/>
              </w:rPr>
            </w:pPr>
          </w:p>
        </w:tc>
      </w:tr>
      <w:tr>
        <w:trPr>
          <w:trHeight w:val="264"/>
        </w:trPr>
        <w:tc>
          <w:tcPr>
            <w:tcW w:w="464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2"/>
              </w:rPr>
              <w:t>Finance Leases</w:t>
            </w:r>
          </w:p>
        </w:tc>
      </w:tr>
      <w:tr>
        <w:trPr>
          <w:trHeight w:val="249"/>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months)</w:t>
            </w:r>
          </w:p>
        </w:tc>
        <w:tc>
          <w:tcPr>
            <w:tcW w:w="45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675"/>
        </w:trPr>
        <w:tc>
          <w:tcPr>
            <w:tcW w:w="4640" w:type="dxa"/>
            <w:vAlign w:val="bottom"/>
          </w:tcPr>
          <w:p>
            <w:pPr>
              <w:spacing w:after="0"/>
              <w:rPr>
                <w:sz w:val="24"/>
                <w:szCs w:val="24"/>
                <w:color w:val="auto"/>
              </w:rPr>
            </w:pPr>
          </w:p>
        </w:tc>
        <w:tc>
          <w:tcPr>
            <w:tcW w:w="2540" w:type="dxa"/>
            <w:vAlign w:val="bottom"/>
          </w:tcPr>
          <w:p>
            <w:pPr>
              <w:jc w:val="right"/>
              <w:ind w:right="1370"/>
              <w:spacing w:after="0"/>
              <w:rPr>
                <w:sz w:val="20"/>
                <w:szCs w:val="20"/>
                <w:color w:val="auto"/>
              </w:rPr>
            </w:pPr>
            <w:r>
              <w:rPr>
                <w:rFonts w:ascii="Arial" w:cs="Arial" w:eastAsia="Arial" w:hAnsi="Arial"/>
                <w:sz w:val="18"/>
                <w:szCs w:val="18"/>
                <w:color w:val="auto"/>
              </w:rPr>
              <w:t>18</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our operating and finance leases was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192"/>
        </w:trPr>
        <w:tc>
          <w:tcPr>
            <w:tcW w:w="9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2020</w:t>
            </w:r>
          </w:p>
        </w:tc>
      </w:tr>
      <w:tr>
        <w:trPr>
          <w:trHeight w:val="250"/>
        </w:trPr>
        <w:tc>
          <w:tcPr>
            <w:tcW w:w="9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center"/>
              <w:ind w:right="215"/>
              <w:spacing w:after="0"/>
              <w:rPr>
                <w:sz w:val="20"/>
                <w:szCs w:val="20"/>
                <w:color w:val="auto"/>
              </w:rPr>
            </w:pPr>
            <w:r>
              <w:rPr>
                <w:rFonts w:ascii="Arial" w:cs="Arial" w:eastAsia="Arial" w:hAnsi="Arial"/>
                <w:sz w:val="14"/>
                <w:szCs w:val="14"/>
                <w:b w:val="1"/>
                <w:bCs w:val="1"/>
                <w:color w:val="auto"/>
                <w:w w:val="93"/>
              </w:rPr>
              <w:t>(In thousands)</w:t>
            </w:r>
          </w:p>
        </w:tc>
      </w:tr>
      <w:tr>
        <w:trPr>
          <w:trHeight w:val="256"/>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9340" w:type="dxa"/>
            <w:vAlign w:val="bottom"/>
          </w:tcPr>
          <w:p>
            <w:pPr>
              <w:ind w:left="220"/>
              <w:spacing w:after="0"/>
              <w:rPr>
                <w:sz w:val="20"/>
                <w:szCs w:val="20"/>
                <w:color w:val="auto"/>
              </w:rPr>
            </w:pPr>
            <w:r>
              <w:rPr>
                <w:rFonts w:ascii="Arial" w:cs="Arial" w:eastAsia="Arial" w:hAnsi="Arial"/>
                <w:sz w:val="18"/>
                <w:szCs w:val="18"/>
                <w:color w:val="auto"/>
              </w:rPr>
              <w:t>Operating cash outflow for operating leases</w:t>
            </w: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10,000</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outflow for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w:t>
            </w:r>
          </w:p>
        </w:tc>
      </w:tr>
      <w:tr>
        <w:trPr>
          <w:trHeight w:val="243"/>
        </w:trPr>
        <w:tc>
          <w:tcPr>
            <w:tcW w:w="9340" w:type="dxa"/>
            <w:vAlign w:val="bottom"/>
          </w:tcPr>
          <w:p>
            <w:pPr>
              <w:ind w:left="220"/>
              <w:spacing w:after="0"/>
              <w:rPr>
                <w:sz w:val="20"/>
                <w:szCs w:val="20"/>
                <w:color w:val="auto"/>
              </w:rPr>
            </w:pPr>
            <w:r>
              <w:rPr>
                <w:rFonts w:ascii="Arial" w:cs="Arial" w:eastAsia="Arial" w:hAnsi="Arial"/>
                <w:sz w:val="18"/>
                <w:szCs w:val="18"/>
                <w:color w:val="auto"/>
              </w:rPr>
              <w:t>Financing cash outflow for finance leases</w:t>
            </w:r>
          </w:p>
        </w:tc>
        <w:tc>
          <w:tcPr>
            <w:tcW w:w="30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712</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assets obtained in exchange for new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934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600" w:type="dxa"/>
            <w:vAlign w:val="bottom"/>
          </w:tcPr>
          <w:p>
            <w:pPr>
              <w:jc w:val="right"/>
              <w:ind w:right="15"/>
              <w:spacing w:after="0"/>
              <w:rPr>
                <w:sz w:val="20"/>
                <w:szCs w:val="20"/>
                <w:color w:val="auto"/>
              </w:rPr>
            </w:pPr>
            <w:r>
              <w:rPr>
                <w:rFonts w:ascii="Arial" w:cs="Arial" w:eastAsia="Arial" w:hAnsi="Arial"/>
                <w:sz w:val="18"/>
                <w:szCs w:val="18"/>
                <w:color w:val="auto"/>
              </w:rPr>
              <w:t>8,723</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9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5,148</w:t>
            </w:r>
          </w:p>
        </w:tc>
      </w:tr>
      <w:tr>
        <w:trPr>
          <w:trHeight w:val="27"/>
        </w:trPr>
        <w:tc>
          <w:tcPr>
            <w:tcW w:w="9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lease payments under our non-cancellable leases as of March 31, 2020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Leases</w:t>
            </w:r>
          </w:p>
        </w:tc>
        <w:tc>
          <w:tcPr>
            <w:tcW w:w="300" w:type="dxa"/>
            <w:vAlign w:val="bottom"/>
          </w:tcPr>
          <w:p>
            <w:pPr>
              <w:spacing w:after="0"/>
              <w:rPr>
                <w:sz w:val="16"/>
                <w:szCs w:val="16"/>
                <w:color w:val="auto"/>
              </w:rPr>
            </w:pPr>
          </w:p>
        </w:tc>
        <w:tc>
          <w:tcPr>
            <w:tcW w:w="1600" w:type="dxa"/>
            <w:vAlign w:val="bottom"/>
          </w:tcPr>
          <w:p>
            <w:pPr>
              <w:jc w:val="right"/>
              <w:ind w:right="392"/>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22,929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3,727</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17,301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560</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Fiscal 2025</w:t>
            </w:r>
          </w:p>
        </w:tc>
        <w:tc>
          <w:tcPr>
            <w:tcW w:w="2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8,354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future undiscounted lease payments</w:t>
            </w: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107,054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10,360</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Total reported lease liability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96,284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9,863</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accordance with the prior guidance—ASC 840, Leases—our leases were previously designated as either capital or operating. Previously designated capital leases are now considered finance leases under the new guidance, Topic 842. The designation of operating leases remains substantially unchanged under the new guidance. The future minimum lease payments by fiscal year as determined prior to the adoption of Topic 842 under our previously designated capital and operating leases as disclosed in our Annual Report on Form 10-K for the fiscal year ended September 30, 2019,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3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3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19,969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3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3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3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24,431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113,746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line="20" w:lineRule="exact"/>
              <w:rPr>
                <w:sz w:val="1"/>
                <w:szCs w:val="1"/>
                <w:color w:val="auto"/>
              </w:rPr>
            </w:pPr>
          </w:p>
        </w:tc>
      </w:tr>
      <w:tr>
        <w:trPr>
          <w:trHeight w:val="230"/>
        </w:trPr>
        <w:tc>
          <w:tcPr>
            <w:tcW w:w="4300" w:type="dxa"/>
            <w:vAlign w:val="bottom"/>
            <w:vMerge w:val="continue"/>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3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40" w:type="dxa"/>
            <w:vAlign w:val="bottom"/>
            <w:vMerge w:val="restart"/>
          </w:tcPr>
          <w:p>
            <w:pPr>
              <w:jc w:val="right"/>
              <w:ind w:right="173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3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i w:val="1"/>
          <w:iCs w:val="1"/>
          <w:color w:val="auto"/>
        </w:rPr>
        <w:t>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w:t>
      </w:r>
    </w:p>
    <w:p>
      <w:pPr>
        <w:spacing w:after="0" w:line="1" w:lineRule="exact"/>
        <w:rPr>
          <w:sz w:val="20"/>
          <w:szCs w:val="20"/>
          <w:color w:val="auto"/>
        </w:rPr>
      </w:pPr>
    </w:p>
    <w:p>
      <w:pPr>
        <w:jc w:val="both"/>
        <w:ind w:firstLine="8"/>
        <w:spacing w:after="0" w:line="266" w:lineRule="auto"/>
        <w:tabs>
          <w:tab w:leader="none" w:pos="239"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projections of revenue, income or loss, expenses, earnings or loss per share, the payment or nonpayment of dividends,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business relationships with vendors, customers or collaborators, including the proportion of revenues generated from international as opposed to domestic customers; and (v) statements regarding products, their characteristics, performance, sales potential or effect in the hands of customers. Words such as “believes,” “anticipates,” “expects,” “intends,” “targeted,” “should,” “potential,” “goals,” “strategy,” “outlook,”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of this Quarterly Report on Form 10-Q, including the impact of COVID-19 on macroeconomic conditions and the Company’s business, operations and personnel.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Current Reports on Form 8-K to be filed by us in fiscal 2020.</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We use analytics to help businesses automate, improve and connect decisions across their enterprise — an approach we commonly refer to as decision management. Our predictive analytics, which includes the industry-standard FICO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Score, and our decision management systems leverage the use of big data and mathematical algorithms to predict, categorize, and describe consumer behavior in order to power hundreds of billions of customer decisions each year. We help thousands of companies in over 100 countries use our decision management technology to target and acquire customers more efficiently, increase customer value, detect and reduce fraud and credit losses, lower operating expenses, and enter new markets more profitably. Most leading banks and credit card issuers rely on our solutions, as do insurers, retailers, telecommunications providers, pharmaceutical companies, healthcare organizations, public agencies and organizations in other industries. We also serve consumers through online services that enable people to purchase and understand their FICO</w:t>
      </w:r>
      <w:r>
        <w:rPr>
          <w:rFonts w:ascii="Arial" w:cs="Arial" w:eastAsia="Arial" w:hAnsi="Arial"/>
          <w:sz w:val="20"/>
          <w:szCs w:val="20"/>
          <w:color w:val="auto"/>
          <w:vertAlign w:val="superscript"/>
        </w:rPr>
        <w:t>®</w:t>
      </w:r>
      <w:r>
        <w:rPr>
          <w:rFonts w:ascii="Arial" w:cs="Arial" w:eastAsia="Arial" w:hAnsi="Arial"/>
          <w:sz w:val="17"/>
          <w:szCs w:val="17"/>
          <w:color w:val="auto"/>
        </w:rPr>
        <w:t xml:space="preserve"> Scores, the standard measure of consumer credit risk in the U.S., and empower them to manage their financial health. Most of our solutions address customer engagement, including customer acquisition, customer onboarding, customer servicing and management, and customer protection. We also help businesses improve non-customer decisions such as streamlining transaction and claims processing, optimizing logistics, and identifying and quantifying security risk.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13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derive a significant portion of our revenues from clients outside the U.S. International revenues accounted for 32% and 31% of total consolidated revenues for the quarters ended March 31, 2020 and 2019, respectively, and 32% and 34% of total consolidated revenues for the six months ended March 31, 2020 and 2019, respectively. A significant portion of our revenues are derived from the sale of products and services within the banking (including consumer credit) industry, and 86% of our revenues were derived from within this industry during each of the quarters ended March 31, 2020 and 2019, and 85% and 87% of our revenues were derived from within this industry during the six months ended March 31, 2020 and 2019, respectively. In addition, we derive a significant share of revenues from transactional or unit-based software license fees, transactional fees derived under credit scoring, data processing, data management and SaaS subscription services arrangements, and annual software maintenance fees. Arrangements with transactional or unit-based pricing accounted for 78% and 76% of our revenues during the quarters ended March 31, 2020 and 2019, respectively. Arrangements with transactional or unit-based pricing accounted for 76% and 75% of our revenues during the six months ended March 31, 2020 and 2019,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Revenue increased 11% to $308.0 million during the quarter ended March 31, 2020 from $278.2 million during the quarter ended March 31, 2019 and 12% to $606.5 million during the six months ended March 31, 2020 from $540.5 million during the six months ended March 31, 2019. We continue to drive growth in our Scores segment. Scores revenue increased 24% to $129.1 million during the quarter ended March 31, 2020 from $104.4 million during the quarter ended March 31, 2019, and 29% to $244.3 million during the six months ended March 31, 2020 from $190.1 million during the six months ended March 31, 2019. Scores operating income increased 29% to $113.5 million during the quarter ended March 31, 2020 from $88.2 million during the quarter ended March 31, 2019, and 31% to $210.9 million during the six months ended March 31, 2020 from $160.4 million during the six months ended March 31, 2019. For our Applications and Decision Management Software segments, cloud business continues to grow as we pursue our cloud-first strategy. Cloud revenues increased 10% to $73.6 million during the quarter ended March 31, 2020 from $66.8 million during the quarter ended March 31, 2019, and 13% to $147.3 million during the six months ended March 31, 2020 from $130.2 million during the six months ended March 31, 2019.</w:t>
      </w:r>
    </w:p>
    <w:p>
      <w:pPr>
        <w:spacing w:after="0" w:line="1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Operating income increased 56% to $75.7 million during the quarter ended March 31, 2020 from $48.5 million during the quarter ended March 31, 2019, and as a result, net earnings increased 75% to $58.3 million from $33.4 million. Operating income increased 31% to $127.6 million during the six months ended March 31, 2020 from $97.6 million during the six months ended March 31, 2019, and net earnings increased 54% to $113.2 million from $73.4 million, driven by higher operating income as well as higher excess tax benefits related to stock-based compensation during the six months ended March 31, 2020.</w:t>
      </w:r>
    </w:p>
    <w:p>
      <w:pPr>
        <w:spacing w:after="0" w:line="13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continue to enhance stockholder value by returning cash to stockholders through our stock repurchase program. During the quarter and six months ended March 31, 2020, we repurchased approximately 0.3 million shares at a total repurchase price of $96.0 million and 0.5 million shares at a total repurchase price of $156.0 million, respectively. As of March 31, 2020, we had $64.3 million remaining under our current stock repurchase program.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which continues to spread throughout the U.S. and the world. The COVID-19 pandemic has resulted in authorities implementing numerous measures to contain the virus, including quarantines, shelter-in-place orders, travel bans and restrictions, and business limitations and shutdowns.</w:t>
      </w:r>
    </w:p>
    <w:p>
      <w:pPr>
        <w:spacing w:after="0" w:line="184"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8"/>
          <w:szCs w:val="18"/>
          <w:color w:val="auto"/>
        </w:rPr>
        <w:t>We are generally following the requirements and protocols published by the U.S. Centers for Disease Control and the World Health Organization, and state and local governments. Since March 2020, our employees have been instructed to work from home in each country where we operate to support their health and well-being as well as for our customers, partners and communities. We have also substantially reduced employee travel to only essential business needs. We cannot predict when or how we will begin to lift the actions put in place, but as of the date of this filing, we do not believe our work-from-home protocol has had a material adverse impact on our internal controls, financial reporting systems or our operations. However, our business may be adversely impacted as a result of the pandemic’s global economic impact. For example, we have begun to see evidence that COVID-19 has adversely affected certain purchasing decisions by our customers in our Applications and Decision Management Software segments, and businesses and consumers purchase fewer FICO credit scores due to a decline in overall credit origination volumes. In addition, a decrease in sales-related travel activity could negatively affect our ability to consummate sales, thereby negatively impacting our bookings and future revenues, particularly if experienced on a sustained basis.</w:t>
      </w:r>
    </w:p>
    <w:p>
      <w:pPr>
        <w:spacing w:after="0" w:line="19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a response to the ongoing COVID-19 pandemic, we are managing our costs by limiting the addition of new employees and third-party contracted services, substantially reduced employee travel, and acted to limit discretionary spending. To the extent the business disruption continues for an extended period, additional cost management actions will be considered and may become necessary. Any future asset impairment charges, increase in allowance for doubtful accounts, or restructuring charges will be dependent on the severity and duration of this crisis.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have not incurred significant disruptions thus far from the COVID-19 outbreak, due to numerous uncertainties, including the severity and duration of the pandemic, actions that may be taken by governmental authorities, the impact on the business of our clients, and other factors, we are unable to accurately predict the impact COVID-19 will have on our results of operations, financial condition, liquidity and cash flows. For more information, see Part II, Item 1A “Risk Factors” in this Form 10-Q.</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Management uses bookings as an indicator of our business performance. Bookings represent contracts signed in the current reporting period that generate current and future revenue streams. We consider contract terms, knowledge of the marketplace and experience with our customers, among other factors, when determining the estimated value of contract bookings. While we disclose estimated revenue expected to be recognized in the future related to unsatisfied performance obligations in Note 12 to the accompanying condensed consolidated financial statements, we believe bookings amount is still a meaningful measure of our business as it includes estimated revenues omitted from Note 12, such as usage-based royalties derived from our software licenses, among others.</w:t>
      </w:r>
    </w:p>
    <w:p>
      <w:pPr>
        <w:spacing w:after="0" w:line="192"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Bookings calculations have varying degrees of certainty depending on the revenue type and individual contract terms. Our revenue types are transactional and maintenance, professional services and license as defined in Revenue Recognition in the Critical Accounting Policy and Estimates. Our estimate of bookings is as of the end of the period in which a contract is signed, and we do not update initial booking estimates in future periods for changes between estimated and actual results. Actual revenue and the timing thereof could differ materially from our initial estimates. The following paragraphs discuss the key assumptions used to calculate bookings and the susceptibility of these assumptions to variability.</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Transactional and Maintenance Bookings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calculate transactional bookings as the total estimated volume of transactions or number of accounts under contract, multiplied by the contractual rate. Transactional contracts generally span multiple years and require us to make estimates about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following:</w:t>
      </w:r>
    </w:p>
    <w:p>
      <w:pPr>
        <w:spacing w:after="0" w:line="201" w:lineRule="exact"/>
        <w:rPr>
          <w:sz w:val="20"/>
          <w:szCs w:val="20"/>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of the economy and economic trends in our customers’ industries;</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performance of our customers relative to their competitors; and</w:t>
      </w:r>
    </w:p>
    <w:p>
      <w:pPr>
        <w:spacing w:after="0" w:line="117" w:lineRule="exact"/>
        <w:rPr>
          <w:rFonts w:ascii="Arial" w:cs="Arial" w:eastAsia="Arial" w:hAnsi="Arial"/>
          <w:sz w:val="18"/>
          <w:szCs w:val="18"/>
          <w:color w:val="auto"/>
        </w:rPr>
      </w:pPr>
    </w:p>
    <w:p>
      <w:pPr>
        <w:ind w:left="1300" w:hanging="563"/>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and other factors that affect the business environment in which our customers operate.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calculate maintenance bookings directly from the terms stated in the contract.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Professional Services Bookings</w:t>
      </w:r>
    </w:p>
    <w:p>
      <w:pPr>
        <w:spacing w:after="0" w:line="117"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 These differences typically result from customer decisions to alter the mix of FICO and customer services resources used to complete a project.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License Bookings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On-premises licenses are sold on a perpetual or term basis. When the fee is in the form of a fixed consideration, including the guaranteed minimum in usage-based royalty, the fixed amount is recorded as a license booking. The variable amount, including usage-based royalty not subject to the guaranteed minimum or earned in excess of the minimum amount is recorded as a transactional and maintenance booking. Please refer to Transactional and Maintenance Bookings above on how we develop estimates for such bookings.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Bookings Trend Analysis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Bookings</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Bookings</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0"/>
              </w:rPr>
              <w:t>Bookings</w:t>
            </w:r>
          </w:p>
        </w:tc>
        <w:tc>
          <w:tcPr>
            <w:tcW w:w="100" w:type="dxa"/>
            <w:vAlign w:val="bottom"/>
            <w:vMerge w:val="restart"/>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over $1</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Yield (1)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Million</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(2)</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(Months)</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March 31, 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Quarter Ended March 31,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40" w:type="dxa"/>
            <w:vAlign w:val="bottom"/>
          </w:tcPr>
          <w:p>
            <w:pPr>
              <w:jc w:val="right"/>
              <w:ind w:right="2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Six Months Ended March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line="269" w:lineRule="exact"/>
              <w:rPr>
                <w:sz w:val="20"/>
                <w:szCs w:val="20"/>
                <w:color w:val="auto"/>
              </w:rPr>
            </w:pPr>
            <w:r>
              <w:rPr>
                <w:rFonts w:ascii="Arial" w:cs="Arial" w:eastAsia="Arial" w:hAnsi="Arial"/>
                <w:sz w:val="31"/>
                <w:szCs w:val="31"/>
                <w:color w:val="auto"/>
                <w:vertAlign w:val="subscript"/>
              </w:rPr>
              <w:t>NM</w:t>
            </w: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471"/>
        </w:trPr>
        <w:tc>
          <w:tcPr>
            <w:tcW w:w="5040" w:type="dxa"/>
            <w:vAlign w:val="bottom"/>
          </w:tcPr>
          <w:p>
            <w:pPr>
              <w:ind w:left="40"/>
              <w:spacing w:after="0"/>
              <w:rPr>
                <w:sz w:val="20"/>
                <w:szCs w:val="20"/>
                <w:color w:val="auto"/>
              </w:rPr>
            </w:pPr>
            <w:r>
              <w:rPr>
                <w:rFonts w:ascii="Arial" w:cs="Arial" w:eastAsia="Arial" w:hAnsi="Arial"/>
                <w:sz w:val="18"/>
                <w:szCs w:val="18"/>
                <w:color w:val="auto"/>
              </w:rPr>
              <w:t>Six Months Ended March 31,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440" w:type="dxa"/>
            <w:vAlign w:val="bottom"/>
          </w:tcPr>
          <w:p>
            <w:pPr>
              <w:jc w:val="right"/>
              <w:ind w:right="26"/>
              <w:spacing w:after="0"/>
              <w:rPr>
                <w:sz w:val="20"/>
                <w:szCs w:val="20"/>
                <w:color w:val="auto"/>
              </w:rPr>
            </w:pPr>
            <w:r>
              <w:rPr>
                <w:rFonts w:ascii="Arial" w:cs="Arial" w:eastAsia="Arial" w:hAnsi="Arial"/>
                <w:sz w:val="35"/>
                <w:szCs w:val="35"/>
                <w:color w:val="auto"/>
                <w:vertAlign w:val="subscript"/>
              </w:rPr>
              <w:t>NM</w:t>
            </w:r>
            <w:r>
              <w:rPr>
                <w:rFonts w:ascii="Arial" w:cs="Arial" w:eastAsia="Arial" w:hAnsi="Arial"/>
                <w:sz w:val="13"/>
                <w:szCs w:val="13"/>
                <w:color w:val="auto"/>
              </w:rPr>
              <w:t>(a)</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Bookings yield represents the percentage of revenue recognized from bookings for the periods indicated.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Weighted-average term of bookings measures the average term over which bookings are expected to be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38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ind w:left="340" w:hanging="332"/>
        <w:spacing w:after="0" w:line="26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NM - Measure is not meaningful as our estimate of bookings is as of the end of the period in which a contract is signed, and we do not update our initial booking estimates in future periods for changes between estimated and actual results.</w:t>
      </w:r>
    </w:p>
    <w:p>
      <w:pPr>
        <w:spacing w:after="0" w:line="18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Transactional and maintenance bookings were 44% and 35% of total bookings for the quarters ended March 31, 2020 and 2019, respectively. Professional services bookings were 40% and 51% of total bookings for the quarters ended March 31, 2020 and 2019, respectively. License bookings were 16% and 14% of total bookings for the quarters ended March 31, 2020 and 2019, respectively.</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Transactional and maintenance bookings were 40% and 45% of total bookings for the six months ended March 31, 2020 and 2019, respectively. Professional services bookings were 38% and 42% of total bookings for the six months ended March 31, 2020 and 2019, respectively. License bookings were 22% and 13% of total bookings for the six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certain summary information on a segment basis related to our revenues for the quarters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Quarter Ended March 31,</w:t>
            </w:r>
          </w:p>
        </w:tc>
        <w:tc>
          <w:tcPr>
            <w:tcW w:w="24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Percentage of Revenues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Change</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(In thousands)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140,279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141,815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129,148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104,403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24,745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38,544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32,016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6,528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307,971</w:t>
            </w:r>
          </w:p>
        </w:tc>
        <w:tc>
          <w:tcPr>
            <w:tcW w:w="120" w:type="dxa"/>
            <w:vAlign w:val="bottom"/>
            <w:tcBorders>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278,234</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29,737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Six Months Ended March 31,</w:t>
            </w:r>
          </w:p>
        </w:tc>
        <w:tc>
          <w:tcPr>
            <w:tcW w:w="24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Percentage of Revenues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Change</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292,457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289,474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Scores</w:t>
            </w:r>
          </w:p>
        </w:tc>
        <w:tc>
          <w:tcPr>
            <w:tcW w:w="34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244,286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190,086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54,200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69,732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606,475</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540,490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65,985</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March 31, 2020 Compared to Quarter Ended March 31, 2019</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97,789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97,074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35,134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35,981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7,356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140,279</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141,815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Applications segment revenues decreased $1.5 million primarily due to a $4.7 million decrease in our collections and recovery solutions partially offset by a $3.2 million increase in our originations solutions. The decrease in collections and recovery solutions was primarily attributable to a decrease in services and license revenues. The increase in originations was primarily attributable to an increase in license revenue and SaaS subscription revenue classified as transactional and maintenance revenue.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127,610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102,363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25,247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129,148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104,403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24,745</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Scores segment revenues increased $24.7 million due to an increase of $20.3 million in our business-to-business scores revenue and $4.4 million in our business-to-consumer services revenue. The increase in business-to-business scores was primarily attributable to a higher unit price in unsecured originations as well as an increase in mortgage volumes during the quarter ended March 31, 2020. The increase in business-to-consumer services was primarily attributable to an increase in royalties derived from scores sold indirectly to consumers through credit reporting agencies.</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quarters ended March 31, 2020 and 2019, revenues generated from our agreements with Experian accounted for 16% and 13%, respectively, of our total revenues, and revenues generated from our agreements with Equifax and TransUnion together accounted for 18% and 16%, respectively, of our total revenues. Revenues from these customers included amounts recorded in our other segments.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15,303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12,342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11,952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13,673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11,289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57"/>
        </w:trPr>
        <w:tc>
          <w:tcPr>
            <w:tcW w:w="498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38,544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6,528</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Decision Management Software segment revenues increased $6.5 million primarily attributable to an increase in license revenue, and an increase in our SaaS subscription revenue classified as transactional and maintenance revenue, partially offset by a decrease in services revenue.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2020 Compared to Six Months Ended March 31, 2019</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Applications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196,626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194,239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69,157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67,443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26,674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292,457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289,474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Applications segment revenues increased $3.0 million primarily attributable to a $7.6 million increase in our originations solutions and a $2.5 million increase in our compliance solutions, partially offset by a $6.0 million decrease in our collections and recovery solutions. The increase in originations solutions was primarily due to an increase in SaaS subscription revenue classified as transactional and maintenance revenue and an increase in services revenue. The increase in compliance solutions was primarily due to an increase in services revenue. The decrease in collections and recovery revenue was primarily attributable to a decrease in services and license revenues.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235,056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187,184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47,872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8,147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527 %</w:t>
            </w:r>
          </w:p>
        </w:tc>
        <w:tc>
          <w:tcPr>
            <w:tcW w:w="0" w:type="dxa"/>
            <w:vAlign w:val="bottom"/>
          </w:tcPr>
          <w:p>
            <w:pPr>
              <w:spacing w:after="0"/>
              <w:rPr>
                <w:sz w:val="1"/>
                <w:szCs w:val="1"/>
                <w:color w:val="auto"/>
              </w:rPr>
            </w:pPr>
          </w:p>
        </w:tc>
      </w:tr>
      <w:tr>
        <w:trPr>
          <w:trHeight w:val="257"/>
        </w:trPr>
        <w:tc>
          <w:tcPr>
            <w:tcW w:w="49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244,286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190,086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54,200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Scores segment revenues increased $54.2 million due to an increase of $46.7 million in our business-to-business scores revenue and $7.5 million in our business-to-consumer services revenue. The increase in business-to-business scores was primarily attributable to a higher unit price in auto and unsecured originations, an increase in mortgage volumes, as well as a large annual license deal recognized during the six months ended March 31, 2020. The increase in business-to-consumer services was primarily attributable to an increase in royalties derived from scores sold indirectly to consumers through credit reporting agencies.</w:t>
      </w:r>
    </w:p>
    <w:p>
      <w:pPr>
        <w:spacing w:after="0" w:line="1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six months ended March 31, 2020 and 2019, revenues generated from our agreements with Experian accounted for 14% and 12%, respectively, of our total revenues, and revenues generated from our agreements with Equifax and TransUnion together accounted for 17% and 15%, respectively, of our total revenues. Revenues from these customers included amounts recorded in our other segments.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March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Period-to-Period</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71"/>
        </w:trPr>
        <w:tc>
          <w:tcPr>
            <w:tcW w:w="4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29,394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24,549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4,845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21,690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22,318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18,648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57"/>
        </w:trPr>
        <w:tc>
          <w:tcPr>
            <w:tcW w:w="498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69,732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60,930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Decision Management Software segment revenues increased $8.8 million primarily attributable to an increase in our SaaS subscription revenue classified as transactional and maintenance revenue and an increase in license revenue related to our Decision Modeler product.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Income / Expenses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certain summary information related to our condensed consolidated statements of income and comprehensive income for the quarters and six-month periods ended March 31, 2020 and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6"/>
              </w:rPr>
              <w:t>Quarter Ended March 31,</w:t>
            </w:r>
          </w:p>
        </w:tc>
        <w:tc>
          <w:tcPr>
            <w:tcW w:w="2740" w:type="dxa"/>
            <w:vAlign w:val="bottom"/>
            <w:gridSpan w:val="5"/>
          </w:tcPr>
          <w:p>
            <w:pPr>
              <w:jc w:val="right"/>
              <w:ind w:right="535"/>
              <w:spacing w:after="0"/>
              <w:rPr>
                <w:sz w:val="20"/>
                <w:szCs w:val="20"/>
                <w:color w:val="auto"/>
              </w:rPr>
            </w:pPr>
            <w:r>
              <w:rPr>
                <w:rFonts w:ascii="Arial" w:cs="Arial" w:eastAsia="Arial" w:hAnsi="Arial"/>
                <w:sz w:val="14"/>
                <w:szCs w:val="14"/>
                <w:b w:val="1"/>
                <w:bCs w:val="1"/>
                <w:color w:val="auto"/>
              </w:rPr>
              <w:t>Percentage of Revenues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Period-to-Period</w:t>
            </w:r>
          </w:p>
        </w:tc>
        <w:tc>
          <w:tcPr>
            <w:tcW w:w="13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65"/>
        </w:trPr>
        <w:tc>
          <w:tcPr>
            <w:tcW w:w="2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2"/>
            <w:vMerge w:val="restart"/>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7"/>
          </w:tcPr>
          <w:p>
            <w:pPr>
              <w:jc w:val="center"/>
              <w:ind w:right="440"/>
              <w:spacing w:after="0" w:line="153" w:lineRule="exact"/>
              <w:rPr>
                <w:sz w:val="20"/>
                <w:szCs w:val="20"/>
                <w:color w:val="auto"/>
              </w:rPr>
            </w:pPr>
            <w:r>
              <w:rPr>
                <w:rFonts w:ascii="Arial" w:cs="Arial" w:eastAsia="Arial" w:hAnsi="Arial"/>
                <w:sz w:val="14"/>
                <w:szCs w:val="14"/>
                <w:b w:val="1"/>
                <w:bCs w:val="1"/>
                <w:color w:val="auto"/>
                <w:w w:val="91"/>
              </w:rPr>
              <w:t>(In thousands, except</w:t>
            </w: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w w:val="88"/>
              </w:rPr>
              <w:t>employees)</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except employees)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307,971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29,737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88,139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2380" w:type="dxa"/>
            <w:vAlign w:val="bottom"/>
          </w:tcPr>
          <w:p>
            <w:pPr>
              <w:ind w:left="380"/>
              <w:spacing w:after="0"/>
              <w:rPr>
                <w:sz w:val="20"/>
                <w:szCs w:val="20"/>
                <w:color w:val="auto"/>
              </w:rPr>
            </w:pPr>
            <w:r>
              <w:rPr>
                <w:rFonts w:ascii="Arial" w:cs="Arial" w:eastAsia="Arial" w:hAnsi="Arial"/>
                <w:sz w:val="18"/>
                <w:szCs w:val="18"/>
                <w:color w:val="auto"/>
                <w:w w:val="89"/>
              </w:rPr>
              <w:t>Research and development</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39,439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37,684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103,465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104,930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380" w:type="dxa"/>
            <w:vAlign w:val="bottom"/>
          </w:tcPr>
          <w:p>
            <w:pPr>
              <w:ind w:left="380"/>
              <w:spacing w:after="0"/>
              <w:rPr>
                <w:sz w:val="20"/>
                <w:szCs w:val="20"/>
                <w:color w:val="auto"/>
              </w:rPr>
            </w:pPr>
            <w:r>
              <w:rPr>
                <w:rFonts w:ascii="Arial" w:cs="Arial" w:eastAsia="Arial" w:hAnsi="Arial"/>
                <w:sz w:val="18"/>
                <w:szCs w:val="18"/>
                <w:color w:val="auto"/>
                <w:w w:val="97"/>
              </w:rPr>
              <w:t>Amortization of intangible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38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ind w:left="90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232,245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229,685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75,726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27,177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62,464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4,176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6,593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58,288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33,381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24,907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40"/>
              <w:spacing w:after="0"/>
              <w:rPr>
                <w:sz w:val="20"/>
                <w:szCs w:val="20"/>
                <w:color w:val="auto"/>
              </w:rPr>
            </w:pPr>
            <w:r>
              <w:rPr>
                <w:rFonts w:ascii="Arial" w:cs="Arial" w:eastAsia="Arial" w:hAnsi="Arial"/>
                <w:sz w:val="18"/>
                <w:szCs w:val="18"/>
                <w:color w:val="auto"/>
              </w:rPr>
              <w:t>Number of employees at</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quarter end</w:t>
            </w:r>
          </w:p>
        </w:tc>
        <w:tc>
          <w:tcPr>
            <w:tcW w:w="3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378"/>
        </w:trPr>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4"/>
              </w:rPr>
              <w:t>Six Months Ended March 31,</w:t>
            </w:r>
          </w:p>
        </w:tc>
        <w:tc>
          <w:tcPr>
            <w:tcW w:w="2740" w:type="dxa"/>
            <w:vAlign w:val="bottom"/>
            <w:gridSpan w:val="5"/>
          </w:tcPr>
          <w:p>
            <w:pPr>
              <w:jc w:val="right"/>
              <w:ind w:right="535"/>
              <w:spacing w:after="0"/>
              <w:rPr>
                <w:sz w:val="20"/>
                <w:szCs w:val="20"/>
                <w:color w:val="auto"/>
              </w:rPr>
            </w:pPr>
            <w:r>
              <w:rPr>
                <w:rFonts w:ascii="Arial" w:cs="Arial" w:eastAsia="Arial" w:hAnsi="Arial"/>
                <w:sz w:val="14"/>
                <w:szCs w:val="14"/>
                <w:b w:val="1"/>
                <w:bCs w:val="1"/>
                <w:color w:val="auto"/>
              </w:rPr>
              <w:t>Percentage of Revenues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54"/>
        </w:trPr>
        <w:tc>
          <w:tcPr>
            <w:tcW w:w="23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Period-to-Period</w:t>
            </w:r>
          </w:p>
        </w:tc>
        <w:tc>
          <w:tcPr>
            <w:tcW w:w="13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65"/>
        </w:trPr>
        <w:tc>
          <w:tcPr>
            <w:tcW w:w="2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44"/>
        </w:trPr>
        <w:tc>
          <w:tcPr>
            <w:tcW w:w="2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4"/>
          </w:tcPr>
          <w:p>
            <w:pPr>
              <w:jc w:val="center"/>
              <w:ind w:left="514"/>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606,475</w:t>
            </w:r>
          </w:p>
        </w:tc>
        <w:tc>
          <w:tcPr>
            <w:tcW w:w="100" w:type="dxa"/>
            <w:vAlign w:val="bottom"/>
          </w:tcPr>
          <w:p>
            <w:pPr>
              <w:spacing w:after="0"/>
              <w:rPr>
                <w:sz w:val="22"/>
                <w:szCs w:val="22"/>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540,490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65,985</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38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178,897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161,634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17,263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78,382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2380" w:type="dxa"/>
            <w:vAlign w:val="bottom"/>
          </w:tcPr>
          <w:p>
            <w:pPr>
              <w:ind w:left="380"/>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380"/>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215,486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205,188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Amortization of intangible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380" w:type="dxa"/>
            <w:vAlign w:val="bottom"/>
          </w:tcPr>
          <w:p>
            <w:pPr>
              <w:ind w:left="380"/>
              <w:spacing w:after="0"/>
              <w:rPr>
                <w:sz w:val="20"/>
                <w:szCs w:val="20"/>
                <w:color w:val="auto"/>
              </w:rPr>
            </w:pPr>
            <w:r>
              <w:rPr>
                <w:rFonts w:ascii="Arial" w:cs="Arial" w:eastAsia="Arial" w:hAnsi="Arial"/>
                <w:sz w:val="18"/>
                <w:szCs w:val="18"/>
                <w:color w:val="auto"/>
              </w:rPr>
              <w:t>Restructuring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380"/>
              <w:spacing w:after="0"/>
              <w:rPr>
                <w:sz w:val="20"/>
                <w:szCs w:val="20"/>
                <w:color w:val="auto"/>
              </w:rPr>
            </w:pPr>
            <w:r>
              <w:rPr>
                <w:rFonts w:ascii="Arial" w:cs="Arial" w:eastAsia="Arial" w:hAnsi="Arial"/>
                <w:sz w:val="18"/>
                <w:szCs w:val="18"/>
                <w:color w:val="auto"/>
              </w:rPr>
              <w:t>acquisition-related</w:t>
            </w:r>
          </w:p>
        </w:tc>
        <w:tc>
          <w:tcPr>
            <w:tcW w:w="34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478,867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442,937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35,930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127,608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30,055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27,229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w w:val="98"/>
              </w:rPr>
              <w:t>Income tax provision (benefit)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(12,592)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113,209</w:t>
            </w: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39,821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912"/>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quarter-over-prior year quarter increase in cost of revenues of $2.6 million was primarily attributable to an increase in allocated facilities and infrastructure costs, driven by increased resource requirement due to expansion in our cloud infrastructure operations. Cost of revenues as a percentage of revenues decreased to 29% during the quarter ended March 31, 2020 from 31% during the quarter ended March 31, 2019 primarily due to increased sales of our higher-margin Scores products.</w:t>
      </w:r>
    </w:p>
    <w:p>
      <w:pPr>
        <w:spacing w:after="0" w:line="18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year-to-date period over period increase in cost of revenues of $17.3 million was primarily attributable to a $10.9 million increase in allocated facilities and infrastructure costs and a $5.2 million increase in direct materials cost. The increase in facilities and infrastructure costs was primarily attributable to increased resource requirement due to expansion in our cloud infrastructure operations. The increase in direct materials cost was primarily attributable to an increase in telecommunication cost as well as an increase in license and Scores revenues that incur third-party royalties and data costs. Cost of revenues as a percentage of revenues decreased to 29% during the six months ended March 31, 2020 from 30% during the six months ended March 31, 2019 primarily due to increased sales of our higher-margin Scores products.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expenses include personnel and related overhead costs incurred in the development of new products and services, including research of mathematical and statistical models and development of new versions of Applications and Decision Management Software products.</w:t>
      </w:r>
    </w:p>
    <w:p>
      <w:pPr>
        <w:spacing w:after="0" w:line="12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quarter-over-prior year quarter increase in research and development expenses of $1.8 million was primarily attributable to an increase in labor and personnel costs as a result of increased headcount. Research and development expenses as a percentage of revenues was 13% during the quarter ended March 31, 2020, consistent with that incurred during the quarter ended March 31, 2019.</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year-to-date period over period increase in research and development expenses of $5.3 million was primarily attributable to an increase in labor and personnel costs and an increase in allocated facilities and infrastructure costs, both driven by increased headcount and our continued investments in new product development. Research and development expenses as a percentage of revenues was 13% during the six months ended March 31, 2020, consistent with that incurred during the six months ended March 31, 2019.</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Selling, general and administrative expenses consist principally of employee salaries, commissions and benefits; travel costs; overhead costs; advertising and other promotional expenses; corporate facilities expenses; legal expenses; business development expenses and the cost of operating computer systems.</w:t>
      </w:r>
    </w:p>
    <w:p>
      <w:pPr>
        <w:spacing w:after="0" w:line="1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quarter-over-prior year quarter decrease in selling, general and administrative expenses of $1.5 million was primarily attributable to a $2.7 million decrease in incentive cost and a $1.7 million decrease in travel activity due to our company-wide initiative to control travel spending as well as the COVID-19 outbreak, partially offset by a $2.1 million increase in bad debt expense attributed to estimated losses for customers and industries most impacted by COVID-19. Selling, general and administrative expenses as a percentage of revenues decreased to 33% during the quarter ended March 31, 2020 from 38% from the quarter ended March 31, 2019 primarily due to increased revenues.</w:t>
      </w:r>
    </w:p>
    <w:p>
      <w:pPr>
        <w:spacing w:after="0" w:line="188" w:lineRule="exact"/>
        <w:rPr>
          <w:sz w:val="20"/>
          <w:szCs w:val="20"/>
          <w:color w:val="auto"/>
        </w:rPr>
      </w:pPr>
    </w:p>
    <w:p>
      <w:pPr>
        <w:jc w:val="both"/>
        <w:ind w:firstLine="432"/>
        <w:spacing w:after="0"/>
        <w:rPr>
          <w:sz w:val="20"/>
          <w:szCs w:val="20"/>
          <w:color w:val="auto"/>
        </w:rPr>
      </w:pPr>
      <w:r>
        <w:rPr>
          <w:rFonts w:ascii="Arial" w:cs="Arial" w:eastAsia="Arial" w:hAnsi="Arial"/>
          <w:sz w:val="18"/>
          <w:szCs w:val="18"/>
          <w:color w:val="auto"/>
        </w:rPr>
        <w:t>The year-to-date period over period increase in selling, general and administrative expenses of $10.3 million was primarily attributable to a $5.7 million increase in personnel and labor costs, a $2.1 million increase in bad debt expense and a $1.8 million increase in marketing and travel costs. The increase in personnel and labor costs was primarily attributable to an increase in headcount. The increase in bad debt expense was attributed to estimated losses reserved for customers and industries that are most impacted by COVID-19. The increase in marketing and travel costs was primarily attributable to a company-wide marketing event — FICO WORLD</w:t>
      </w:r>
      <w:r>
        <w:rPr>
          <w:rFonts w:ascii="Arial" w:cs="Arial" w:eastAsia="Arial" w:hAnsi="Arial"/>
          <w:sz w:val="25"/>
          <w:szCs w:val="25"/>
          <w:color w:val="auto"/>
          <w:vertAlign w:val="superscript"/>
        </w:rPr>
        <w:t>19</w:t>
      </w:r>
      <w:r>
        <w:rPr>
          <w:rFonts w:ascii="Arial" w:cs="Arial" w:eastAsia="Arial" w:hAnsi="Arial"/>
          <w:sz w:val="18"/>
          <w:szCs w:val="18"/>
          <w:color w:val="auto"/>
        </w:rPr>
        <w:t xml:space="preserve"> — held during the first quarter of our fiscal 2020, partially offset by a decrease in travel activity due to our company-wide initiative to control travel spending as well as the COVID-19 outbreak. Selling, general and administrative expenses as a percentage of revenues decreased to 36% during the six months ended March 31, 2020 from 38% during the six months ended March 31, 2019 primarily due to increased revenues.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 was $1.2 million during the quarter ended March 31, 2020 versus $1.5 million during the quarter ended March 31, 2019.</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was $3.0 million during each of the six-month periods ended March 31, 2020 and 2019.</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and Acquisition-Related</w:t>
      </w:r>
    </w:p>
    <w:p>
      <w:pPr>
        <w:spacing w:after="0" w:line="117"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There was no restructuring activity during the quarter ended March 31, 2020. During the six months ended March 31, 2020, we incurred employee separation costs of $3.1 million due to the elimination of 69 positions throughout the Company. We expect that cash payment for all the employee separation costs will be paid by the end of our fiscal 2020.</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was no acquisition-related expense during the quarter and six months ended March 31, 2020.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restructuring or acquisition-related expenses during the quarter and six months ended March 31, 2019.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Interest expense includes primarily interest on the senior notes issued in July 2010, May 2018, and December 2019, as well as interest and credit facility fees on the revolving line of credit. Our consolidated statements of income and comprehensive income include interest expense netted with interest income, which is derived primarily from the investment of funds in excess of our immediate operating requirements.</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quarter-over-prior year quarter increase in interest expense of $1.2 million was primarily attributable to a higher average outstanding debt balance during the quarter ended March 31, 2019.</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year-to-date period over period increase in interest expense of $1.3 million was primarily attributable to a higher average outstanding debt balance during the six months ended March 31, 2020.</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Other income (expense),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quarter-over-prior year quarter decrease in other income (expense), net of $3.4 million was primarily attributable to an increase in net unrealized losses on our supplemental retirement and savings plan, partially offset by an increase in foreign currency exchange gains.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year-to-date period over period increase of $1.5 million in other expense, net was primarily due to an increase in net unrealized losses on our supplemental retirement and savings plan.</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17"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The effective income tax rate was 6.7% and 16.5% during the quarters ended March 31, 2020 and 2019,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 for the six months ended March 31, 2020 and 2019 were both impacted by the recording of excess tax benefits relating to stock awards that vested December of both years. In addition, stock exercises during the quarter ended March 31, 2020 resulted in an additional increase in excess tax benefits.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certain summary information on a segment basis related to our operating income for the quarters and six-month periods ended March 31, 2020 and 2019:</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7"/>
              </w:rPr>
              <w:t>Quarter Ended March 31,</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Period-to-Period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5"/>
          </w:tcPr>
          <w:p>
            <w:pPr>
              <w:jc w:val="center"/>
              <w:ind w:left="475"/>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28,823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30,172</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113,488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88,236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25,252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(39,506)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5,721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99,716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29,182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w w:val="95"/>
              </w:rPr>
              <w:t>Unallocated share-based compensation</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(20,482)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75,726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48,549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27,177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Six Months Ended March 31,</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Period-to-Period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5"/>
          </w:tcPr>
          <w:p>
            <w:pPr>
              <w:jc w:val="center"/>
              <w:ind w:left="475"/>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Applications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64,991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70,233</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Scores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210,914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160,437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50,477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Decision Management Software</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Corporate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(68,760)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segment 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179,643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142,894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40" w:type="dxa"/>
            <w:vAlign w:val="bottom"/>
            <w:gridSpan w:val="5"/>
          </w:tcPr>
          <w:p>
            <w:pPr>
              <w:spacing w:after="0"/>
              <w:rPr>
                <w:sz w:val="20"/>
                <w:szCs w:val="20"/>
                <w:color w:val="auto"/>
              </w:rPr>
            </w:pPr>
            <w:r>
              <w:rPr>
                <w:rFonts w:ascii="Arial" w:cs="Arial" w:eastAsia="Arial" w:hAnsi="Arial"/>
                <w:sz w:val="18"/>
                <w:szCs w:val="18"/>
                <w:color w:val="auto"/>
                <w:w w:val="95"/>
              </w:rPr>
              <w:t>Unallocated share-based compensation</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(42,336)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Unallocated amortization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8"/>
          </w:tcPr>
          <w:p>
            <w:pPr>
              <w:spacing w:after="0"/>
              <w:rPr>
                <w:sz w:val="20"/>
                <w:szCs w:val="20"/>
                <w:color w:val="auto"/>
              </w:rPr>
            </w:pPr>
            <w:r>
              <w:rPr>
                <w:rFonts w:ascii="Arial" w:cs="Arial" w:eastAsia="Arial" w:hAnsi="Arial"/>
                <w:sz w:val="18"/>
                <w:szCs w:val="18"/>
                <w:color w:val="auto"/>
              </w:rPr>
              <w:t>Unallocated restructuring and acquisition-related</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127,608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97,553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30,055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rPr>
              <w:t>Applications</w:t>
            </w: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7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2"/>
              </w:rPr>
              <w:t>Percentage of</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40" w:type="dxa"/>
            <w:vAlign w:val="bottom"/>
            <w:gridSpan w:val="9"/>
          </w:tcPr>
          <w:p>
            <w:pPr>
              <w:jc w:val="right"/>
              <w:ind w:right="114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center"/>
              <w:ind w:right="371"/>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140,279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141,815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292,457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289,474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Segment operating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(111,456)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(111,643)</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(227,466)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(219,241)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28,823</w:t>
            </w:r>
          </w:p>
        </w:tc>
        <w:tc>
          <w:tcPr>
            <w:tcW w:w="1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30,172</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64,991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70,233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2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gridSpan w:val="3"/>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615"/>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Scores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4"/>
          </w:tcPr>
          <w:p>
            <w:pPr>
              <w:jc w:val="center"/>
              <w:ind w:left="380"/>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4"/>
                <w:szCs w:val="14"/>
                <w:color w:val="auto"/>
              </w:rPr>
            </w:pPr>
          </w:p>
        </w:tc>
        <w:tc>
          <w:tcPr>
            <w:tcW w:w="232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2"/>
              </w:rPr>
              <w:t>Six Months Ended</w:t>
            </w: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5"/>
          </w:tcPr>
          <w:p>
            <w:pPr>
              <w:jc w:val="center"/>
              <w:ind w:left="639"/>
              <w:spacing w:after="0"/>
              <w:rPr>
                <w:sz w:val="20"/>
                <w:szCs w:val="20"/>
                <w:color w:val="auto"/>
              </w:rPr>
            </w:pPr>
            <w:r>
              <w:rPr>
                <w:rFonts w:ascii="Arial" w:cs="Arial" w:eastAsia="Arial" w:hAnsi="Arial"/>
                <w:sz w:val="14"/>
                <w:szCs w:val="14"/>
                <w:b w:val="1"/>
                <w:bCs w:val="1"/>
                <w:color w:val="auto"/>
                <w:w w:val="90"/>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auto"/>
            </w:tcBorders>
            <w:gridSpan w:val="4"/>
          </w:tcPr>
          <w:p>
            <w:pPr>
              <w:jc w:val="center"/>
              <w:ind w:left="61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4"/>
          </w:tcPr>
          <w:p>
            <w:pPr>
              <w:jc w:val="center"/>
              <w:ind w:left="42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5"/>
          </w:tcPr>
          <w:p>
            <w:pPr>
              <w:jc w:val="center"/>
              <w:ind w:left="440"/>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129,148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104,403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244,286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8"/>
              </w:rPr>
              <w:t>190,086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1780" w:type="dxa"/>
            <w:vAlign w:val="bottom"/>
          </w:tcPr>
          <w:p>
            <w:pPr>
              <w:ind w:left="40"/>
              <w:spacing w:after="0"/>
              <w:rPr>
                <w:sz w:val="20"/>
                <w:szCs w:val="20"/>
                <w:color w:val="auto"/>
              </w:rPr>
            </w:pPr>
            <w:r>
              <w:rPr>
                <w:rFonts w:ascii="Arial" w:cs="Arial" w:eastAsia="Arial" w:hAnsi="Arial"/>
                <w:sz w:val="18"/>
                <w:szCs w:val="18"/>
                <w:color w:val="auto"/>
              </w:rPr>
              <w:t>Segment operating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40"/>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ind w:left="120"/>
              <w:spacing w:after="0"/>
              <w:rPr>
                <w:sz w:val="20"/>
                <w:szCs w:val="20"/>
                <w:color w:val="auto"/>
              </w:rPr>
            </w:pPr>
            <w:r>
              <w:rPr>
                <w:rFonts w:ascii="Arial" w:cs="Arial" w:eastAsia="Arial" w:hAnsi="Arial"/>
                <w:sz w:val="18"/>
                <w:szCs w:val="18"/>
                <w:color w:val="auto"/>
                <w:w w:val="89"/>
              </w:rPr>
              <w:t>(29,649)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113,488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88,236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210,914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8"/>
              </w:rPr>
              <w:t>160,437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080" w:type="dxa"/>
            <w:vAlign w:val="bottom"/>
            <w:gridSpan w:val="5"/>
          </w:tcPr>
          <w:p>
            <w:pPr>
              <w:ind w:left="220"/>
              <w:spacing w:after="0"/>
              <w:rPr>
                <w:sz w:val="20"/>
                <w:szCs w:val="20"/>
                <w:color w:val="auto"/>
              </w:rPr>
            </w:pPr>
            <w:r>
              <w:rPr>
                <w:rFonts w:ascii="Arial" w:cs="Arial" w:eastAsia="Arial" w:hAnsi="Arial"/>
                <w:sz w:val="18"/>
                <w:szCs w:val="18"/>
                <w:b w:val="1"/>
                <w:bCs w:val="1"/>
                <w:i w:val="1"/>
                <w:iCs w:val="1"/>
                <w:color w:val="auto"/>
              </w:rPr>
              <w:t>Decision Management Software</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4"/>
          </w:tcPr>
          <w:p>
            <w:pPr>
              <w:jc w:val="center"/>
              <w:ind w:left="380"/>
              <w:spacing w:after="0"/>
              <w:rPr>
                <w:sz w:val="20"/>
                <w:szCs w:val="20"/>
                <w:color w:val="auto"/>
              </w:rPr>
            </w:pPr>
            <w:r>
              <w:rPr>
                <w:rFonts w:ascii="Arial" w:cs="Arial" w:eastAsia="Arial" w:hAnsi="Arial"/>
                <w:sz w:val="14"/>
                <w:szCs w:val="14"/>
                <w:b w:val="1"/>
                <w:bCs w:val="1"/>
                <w:color w:val="auto"/>
                <w:w w:val="96"/>
              </w:rPr>
              <w:t>Quarter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80" w:type="dxa"/>
            <w:vAlign w:val="bottom"/>
          </w:tcPr>
          <w:p>
            <w:pPr>
              <w:spacing w:after="0"/>
              <w:rPr>
                <w:sz w:val="24"/>
                <w:szCs w:val="24"/>
                <w:color w:val="auto"/>
              </w:rPr>
            </w:pPr>
          </w:p>
        </w:tc>
        <w:tc>
          <w:tcPr>
            <w:tcW w:w="232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2"/>
              </w:rPr>
              <w:t>Six Months Ended</w:t>
            </w: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5"/>
          </w:tcPr>
          <w:p>
            <w:pPr>
              <w:jc w:val="center"/>
              <w:ind w:left="619"/>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center"/>
              <w:ind w:left="420"/>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left="599"/>
              <w:spacing w:after="0"/>
              <w:rPr>
                <w:sz w:val="20"/>
                <w:szCs w:val="20"/>
                <w:color w:val="auto"/>
              </w:rPr>
            </w:pPr>
            <w:r>
              <w:rPr>
                <w:rFonts w:ascii="Arial" w:cs="Arial" w:eastAsia="Arial" w:hAnsi="Arial"/>
                <w:sz w:val="14"/>
                <w:szCs w:val="14"/>
                <w:b w:val="1"/>
                <w:bCs w:val="1"/>
                <w:color w:val="auto"/>
                <w:w w:val="90"/>
              </w:rPr>
              <w:t>Revenues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4"/>
          </w:tcPr>
          <w:p>
            <w:pPr>
              <w:jc w:val="center"/>
              <w:ind w:left="42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5"/>
          </w:tcPr>
          <w:p>
            <w:pPr>
              <w:jc w:val="center"/>
              <w:ind w:left="400"/>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780" w:type="dxa"/>
            <w:vAlign w:val="bottom"/>
          </w:tcPr>
          <w:p>
            <w:pPr>
              <w:ind w:left="40"/>
              <w:spacing w:after="0"/>
              <w:rPr>
                <w:sz w:val="20"/>
                <w:szCs w:val="20"/>
                <w:color w:val="auto"/>
              </w:rPr>
            </w:pPr>
            <w:r>
              <w:rPr>
                <w:rFonts w:ascii="Arial" w:cs="Arial" w:eastAsia="Arial" w:hAnsi="Arial"/>
                <w:sz w:val="18"/>
                <w:szCs w:val="18"/>
                <w:color w:val="auto"/>
              </w:rPr>
              <w:t>Segment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38,544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32,016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69,732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140"/>
              <w:spacing w:after="0"/>
              <w:rPr>
                <w:sz w:val="20"/>
                <w:szCs w:val="20"/>
                <w:color w:val="auto"/>
              </w:rPr>
            </w:pPr>
            <w:r>
              <w:rPr>
                <w:rFonts w:ascii="Arial" w:cs="Arial" w:eastAsia="Arial" w:hAnsi="Arial"/>
                <w:sz w:val="18"/>
                <w:szCs w:val="18"/>
                <w:color w:val="auto"/>
              </w:rPr>
              <w:t>60,930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operating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5"/>
              </w:rPr>
              <w:t>(79,946)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1780" w:type="dxa"/>
            <w:vAlign w:val="bottom"/>
          </w:tcPr>
          <w:p>
            <w:pPr>
              <w:ind w:left="40"/>
              <w:spacing w:after="0"/>
              <w:rPr>
                <w:sz w:val="20"/>
                <w:szCs w:val="20"/>
                <w:color w:val="auto"/>
              </w:rPr>
            </w:pPr>
            <w:r>
              <w:rPr>
                <w:rFonts w:ascii="Arial" w:cs="Arial" w:eastAsia="Arial" w:hAnsi="Arial"/>
                <w:sz w:val="18"/>
                <w:szCs w:val="18"/>
                <w:color w:val="auto"/>
                <w:w w:val="90"/>
              </w:rPr>
              <w:t>Segment operating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5"/>
              </w:rPr>
              <w:t>(19,016)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quarter-over-prior year quarter $27.2 million increase in operating income was primarily attributable to a $29.7 million increase in segment revenues and a $5.7 million decrease in corporate expenses, partially offset by a $6.2 million increase in segment operating expenses and a $2.3 million increase in share-based compensation cost.</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the segment level, the quarter-over-prior year quarter $29.2 million increase in segment operating income was the result of a $25.2 million increase in our Scores segment operating income and a $5.7 million decrease in corporate expenses, partially offset by a $1.3 million decrease in our Applications segment operating income and a $0.4 million increase in our Decision Management Software segment operating loss.</w:t>
      </w:r>
    </w:p>
    <w:p>
      <w:pPr>
        <w:spacing w:after="0" w:line="16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quarter-over-prior year quarter $1.3 million decrease in Applications segment operating income was due to a $1.5 million decrease in segment revenue, partially offset by a $0.2 million decrease in segment operating expenses. Segment operating income as a percentage of segment revenue for Applications during the quarter ended March 31, 2020 was 21%, consistent with the quarter ended March 31, 2019.</w:t>
      </w:r>
    </w:p>
    <w:p>
      <w:pPr>
        <w:spacing w:after="0" w:line="1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quarter-over-prior year quarter $25.2 million increase in Scores segment operating income was due to a $24.7 million increase in segment revenue and a $0.5 million decrease in segment operating expenses. Segment operating margin for Scores increased to 88% from 85% primarily due to an increase in sales of our higher-margin Score products.</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quarter-over-prior year quarter $0.4 million increase in Decision Management Software segment operating loss was due to a $6.9 million increase in segment operating expenses, partially offset by a $6.5 million increase in segment revenue. Segment operating margin for Decision Management Software improved to negative 23% from negative 26% primarily due to an increase in sales of our higher-margin software products, partially offset by our continued investment in cloud infrastructure operations and new products.</w:t>
      </w:r>
    </w:p>
    <w:p>
      <w:pPr>
        <w:spacing w:after="0" w:line="1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year-to-date period over period increase of $30.1 million in operating income was primarily attributable to a $66.0 million increase in segment revenues and a $0.8 million decrease in corporate expenses, partially offset by a $30.1 million increase in segment operating expenses, a $3.6 million increase in share-based compensation cost, and a $3.1 million increase in restructuring and acquisition-related cost.</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the segment level, the year-to-date period over period increase of $36.7 million in segment operating income was the result of a $50.4 million increase in our Scores segment operating income and a $0.8 million decrease in corporate expenses, partially offset by a $9.3 million increase in our Decision Management Software segment operating loss and a $5.2 million decrease in our Applications segment operating income.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year-to-date period over period $5.2 million decrease in Applications segment operating income was due to an $8.2 million increase in segment operating expenses, partially offset by a $3.0 million increase in segment revenue. Segment operating income as a percentage of segment revenue for Applications decreased to 22% from 24% mainly due to an increase in labor and personnel costs.</w:t>
      </w:r>
    </w:p>
    <w:p>
      <w:pPr>
        <w:spacing w:after="0" w:line="18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year-to-date period over period $50.4 million increase in Scores segment operating income was attributable to a $54.2 million increase in segment revenue, partially offset by a $3.8 million increase in segment operating expenses. Segment operating income as a percentage of segment revenue for Scores increased to 86% from 84%, mainly due to an increase in sales of our higher-margin software and Score products.</w:t>
      </w:r>
    </w:p>
    <w:p>
      <w:pPr>
        <w:spacing w:after="0" w:line="1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year-to-date period over period $9.3 million increase in Decision Management Software segment operating loss was attributable to an $18.1 million increase in segment operating expenses, partially offset by an $8.8 million increase in segment revenue. Segment operating margin for Decision Management Software decreased to negative 41% from negative 31% primarily due to our continued investment in cloud infrastructure operations and new products partially offset by an increase in sales of our higher-margin software products.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As of March 31, 2020, we had $109.0 million in cash and cash equivalents, which included $83.8 million held off-shore by our foreign subsidiaries. Our cash position could be affected by various risks and uncertainties, including, but not limited to, the effects of the COVID-19 pandemic and other risks detailed in Part II, Item 1A titled “Risk Factors” of this Quarterly Report on Form 10-Q. However, based on our current business plan and revenue prospects, we believe our cash and cash equivalents balances, as well as available borrowings from our $400 million revolving line of credit and anticipated cash flows from operating activities, will be sufficient to fund our working and other capital requirements as well as the $85.0 million principal payment due in July 2020 on our senior notes issued in July 2010. Under our current financing arrangements, we have no other significant debt obligations maturing over the next twelve months. Our undistributed earnings outside the U.S. are deemed to be permanently reinvested in foreign jurisdictions. We currently do not foresee a need to repatriate cash and cash equivalents held by our foreign subsidiaries. If these funds are needed for our operations in the U.S., we may be required to accrue for state income or foreign withholding taxes on the distributed foreign earnings, which we expect to be immaterial.</w:t>
      </w:r>
    </w:p>
    <w:p>
      <w:pPr>
        <w:spacing w:after="0" w:line="16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March 31,</w:t>
            </w:r>
          </w:p>
        </w:tc>
        <w:tc>
          <w:tcPr>
            <w:tcW w:w="260" w:type="dxa"/>
            <w:vAlign w:val="bottom"/>
          </w:tcPr>
          <w:p>
            <w:pPr>
              <w:spacing w:after="0"/>
              <w:rPr>
                <w:sz w:val="16"/>
                <w:szCs w:val="16"/>
                <w:color w:val="auto"/>
              </w:rPr>
            </w:pPr>
          </w:p>
        </w:tc>
        <w:tc>
          <w:tcPr>
            <w:tcW w:w="13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6"/>
              </w:rPr>
              <w:t>Period-to-Period</w:t>
            </w:r>
          </w:p>
        </w:tc>
        <w:tc>
          <w:tcPr>
            <w:tcW w:w="0" w:type="dxa"/>
            <w:vAlign w:val="bottom"/>
          </w:tcPr>
          <w:p>
            <w:pPr>
              <w:spacing w:after="0"/>
              <w:rPr>
                <w:sz w:val="1"/>
                <w:szCs w:val="1"/>
                <w:color w:val="auto"/>
              </w:rPr>
            </w:pPr>
          </w:p>
        </w:tc>
      </w:tr>
      <w:tr>
        <w:trPr>
          <w:trHeight w:val="71"/>
        </w:trPr>
        <w:tc>
          <w:tcPr>
            <w:tcW w:w="45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2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121,859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96,646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25,213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2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2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(97,343)</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(13,138)</w:t>
            </w: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15,678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120" w:type="dxa"/>
            <w:vAlign w:val="bottom"/>
            <w:vMerge w:val="restart"/>
          </w:tcPr>
          <w:p>
            <w:pPr>
              <w:jc w:val="right"/>
              <w:ind w:right="83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5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Our primary method for funding operations and growth has been through cash flows generated from operating activities. Net cash provided by operating activities increased to $121.9 million during the six months ended March 31, 2020 from $96.6 million during the six months ended March 31, 2019. The $25.3 million increase was attributable to a $39.8 million increase in net income and a $15.5 million increase in non-cash items, including a $10.0 million increase in operating lease costs and a $3.6 million increase in share-based compensation expense, partially offset by a $30.0 million decrease that resulted from timing of receipts and payments in our ordinary course of business.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Net cash used in investing activities increased to $15.0 million for the six months ended March 31, 2020 from $12.8 million for the six months ended March 31, 2019. The $2.2 million increase was primarily attributable to a $2.5 million increase in purchases of property and equipment.</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cash used in financing activities increased to $100.3 million for the six months ended March 31, 2020 from $97.3 million for the six months ended March 31, 2019. The $3.0 million increase was primarily attributable to a $279.0 million increase in payments, net of proceeds, on our revolving line of credit, a $48.5 million increase in taxes paid related to net share settlement of equity awards, a $28.3 million increase in repurchases of common stock, and a $6.8 million increase in debt issuance cost, partially offset by a $350.0 million increase in proceeds from issuance of senior notes and a $10.4 million increase in proceeds from issuance of treasury stock under employee stock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July 2019,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w:t>
      </w:r>
    </w:p>
    <w:p>
      <w:pPr>
        <w:spacing w:after="0" w:line="7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Pursuant to the July 2019 program, we repurchased 289,596 shares of our common stock at a total repurchase price of $96.0 million and 457,979 shares of our common stock at a total repurchase price of $156.0 million during the quarter and six months ended March 31, 2020,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fixed charge ratio of 2.5 through the maturity of our 2010 Senior Notes in July 2020, upon which maintaining a minimum interest coverage ratio of 3.00. The credit agreement also contains other covenants typical of unsecured facilities. As of March 31, 2020, we had $124.0 million in borrowings outstanding at a weighted average interest rate of 2.277% and were in compliance with all financial covenants under this credit facility.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July 14, 2010, we issued $245 million of senior notes in a private placement to a group of institutional investors (the “2010 Senior Notes”). The 2010 Senior Notes were issued in four series with maturities ranging from 6 to 10 years. The outstanding 2010 Senior Notes’ weighted average interest rate is 5.6% and the weighted average maturity is 10.0 years. The 2010 Senior Notes require interest payments semi-annually and contain certain restrictive covenants, including the maintenance of a maximum consolidated net debt to consolidated EBITDA ratio of 3.00 and a minimum fixed charge coverage ratio of 2.50. 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and along with the 2010 Senior Notes and 2018 Senior Notes, the “Senior Notes”). The 2019 Senior Notes require interest payments semi-annually at a rate of 4.00% per annum and will mature on June 15, 2028. The purchase agreements for the 2010 Senior Notes, as well as the indenture for the 2018 Senior Notes and 2019 Senior Notes contain certain covenants typical of unsecured obligations. As of March 31, 2020, the carrying value of the Senior Notes was $823.6 million and we were in compliance with all financial covenants under these obligations.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following critical accounting policies involve the most significant judgments and estimates used in the preparation of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Contracts with Customers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revenue is primarily derived from term-based or perpetual licensing of software and scoring products and solutions, and associated maintenance; SaaS subscription services; scoring and credit monitoring services for consumers; and professional services. For contracts with customers that contain various combinations of products and services, we evaluate whether the products or services are distinct—distinct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1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License revenue is derived from contracts in which we grant our direct customers or distributors the right to deploy or resell our software and scoring products and solutions on-premises. Our software offerings often include a perpetual or term-based license and post-contract support or maintenance, both of which generally represent distinct performance obligations and are accounted for separately. The transaction price is either in the form of a fixed consideration with separate stated prices for license and maintenance, or a usage-based royalty—sometimes subject to a guaranteed minimum—for the license and maintenance bundle. When the amount is in the form of a fixed consideration, including the guaranteed minimum in usage-based royalty, license revenue from distinct on-premises license is recognized at the point in time when the software or scoring solution is made available to the customer or distributor. Any royalties not subject to the guaranteed minimum or earned in excess of the minimum amount are recognized as transactional revenue when the subsequent sales or usage occurs. Revenue allocated to maintenance is generally recognized ratably over the contract period as customers simultaneously consume and receive benefits.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6"/>
          <w:szCs w:val="16"/>
          <w:color w:val="auto"/>
        </w:rPr>
        <w:t>In addition to usage-based royalty on our software and scoring products, transactional revenue is also derived from SaaS contracts in which we provide customers with access to and standard support for our software application either in the FICO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Analytic Cloud or AWS, our primary cloud infrastructure provider, on a subscription basis. The transaction price typically includes a fixed consideration in the form of a guaranteed minimum that allows up to a certain level of usage and a variable consideration in the form of usage or transaction-based fees in excess of the minimum threshold; or usage or transaction-based variable amount not subject to a minimum threshold. We determined the nature of our SaaS arrangements is to provide continuous access to our hosted application in the cloud, i.e., a stand-ready obligation that comprises a series of distinct service periods (e.g., a series of distinct daily, monthly or annual periods of service). We estimate the total variable consideration at contract inception—subject to any constraints that may apply—and update the estimates as new information becomes available and recognize the amount ratably over the SaaS service period, unless we determine it is appropriate to allocate the variable amount to each distinct service period and recognize revenue in the period during which it is earned.</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derive transactional revenue from credit scoring and monitoring services that provide consumers access to their credit reports and enable them to monitor their credit. These are provided as either a one-time or ongoing subscription service renewed monthly or annually, all with a fixed consideration. We determined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13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Professional services include software or SaaS implementation, consulting, model development, training services and premium cloud support. They are sold either standalone, or together with other products or services and generally represent distinct performance obligations. The transaction price can be a fixed amount or on a time and materials basis. Revenue on fixed-price services is recognized using an input method based on labor hours expended which we believe provides a faithful depiction of the transfer of services. Revenue on services provided on a time and materials basis is recognized applying the “right-to-invoice” practical expedient as the amount to which we have a right to invoice the customer corresponds directly with the value of our performance to the customer. In addition, we sell premium cloud support on a subscription basis for a fixed amount, and revenue is recognized ratably over the contract 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1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1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 (iii) 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Acquisition Intangibles and Other Long-Lived Assets - Impairment Assessment</w:t>
      </w:r>
    </w:p>
    <w:p>
      <w:pPr>
        <w:spacing w:after="0" w:line="9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Goodwill represents the excess of cost over the fair value of identifiable assets acquired and liabilities assumed in business combinations. We assess goodwill for impairment for each of our reporting units on an annual basis during the fourth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2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For fiscal 2017, we elected to proceed directly to the step one quantitative analysis for all of our reporting units, as three years had elapsed since the date of our previous quantitative valuation. There was a substantial excess of fair value over carrying value for each of our reporting units and we determined goodwill was not impaired for any of our reporting units for fiscal 2017. For fiscal 2018 and 2019,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2018 and 2019.</w:t>
      </w:r>
    </w:p>
    <w:p>
      <w:pPr>
        <w:spacing w:after="0" w:line="12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w:t>
      </w:r>
    </w:p>
    <w:p>
      <w:pPr>
        <w:spacing w:after="0" w:line="1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the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balance sheet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1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2016, the FASB issued Topic 842, which requires the recognition of operating lease assets and lease liabilities on the balance sheet. Leases will be classified as either finance or operating, with classification affecting the pattern of expense recognition in the income statement. Under the new standard, disclosures are required to enable users of financial statements to assess the amount, timing and uncertainty of cash flows arising from leases.</w:t>
      </w:r>
    </w:p>
    <w:p>
      <w:pPr>
        <w:spacing w:after="0" w:line="30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the first quarter of fiscal 2020, we adopted Topic 842 using the “Comparatives Under 840 Option” approach to transition. In accordance with the standard, the comparative information has not been restated and continues to be reported under the accounting standards in effect for those periods. Topic 842 provides a package of practical expedients that allow us to not reassess (1) whether any expired or existing contracts contain a lease, (2) the lease classification of any expired or existing lease, and (3) initial direct costs for any existing leases. We elected to apply the package of practical expedients, and did not elect the hindsight practical expedient in determining the lease term for existing leases as of October 1, 2019.</w:t>
      </w:r>
    </w:p>
    <w:p>
      <w:pPr>
        <w:spacing w:after="0" w:line="29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Adoption of Topic 842 did not result in the recognition of a cumulative-effect adjustment to the opening balance of retained earnings in the period of adoption. The most significant impact of adoption was the recognition of operating lease assets and operating lease liabilities of $89.8 million and $98.9 million, respectively, while our accounting for existing capital leases (now referred to as finance leases) remained substantially unchanged. We expect the impact of adoption to be immaterial to our consolidated statements of income and comprehensive income and consolidated statements of cash flows on an ongoing basis. As part of our adoption, we also modified our control procedures and processes, none of which materially affected our internal control over financial reporting. See Note 13 to the accompanying condensed consolidated financial statements for additional information regarding our accounting policy for leases and additional disclosures.</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August 2018, the FASB issued ASU No. 2018-15, “</w:t>
      </w:r>
      <w:r>
        <w:rPr>
          <w:rFonts w:ascii="Arial" w:cs="Arial" w:eastAsia="Arial" w:hAnsi="Arial"/>
          <w:sz w:val="16"/>
          <w:szCs w:val="16"/>
          <w:i w:val="1"/>
          <w:iCs w:val="1"/>
          <w:color w:val="auto"/>
        </w:rPr>
        <w:t>Intangibles—Goodwill and Other (Topic 350): Internal-Use Software</w:t>
      </w:r>
      <w:r>
        <w:rPr>
          <w:rFonts w:ascii="Arial" w:cs="Arial" w:eastAsia="Arial" w:hAnsi="Arial"/>
          <w:sz w:val="16"/>
          <w:szCs w:val="16"/>
          <w:color w:val="auto"/>
        </w:rPr>
        <w:t>” (“ASU 2018-15”). ASU 2018-15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and interim periods within those fiscal years beginning after December 15, 2019, which means that it will be effective for our fiscal year beginning October 1, 2020. Early adoption is permitted. We do not believe that adoption of ASU 2018-15 will have a significant impact on our consolidated financial statements.</w:t>
      </w:r>
    </w:p>
    <w:p>
      <w:pPr>
        <w:spacing w:after="0" w:line="10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and subsequent amendments to the initial guidance: ASU 2018-19, ASU 2019-04, ASU 2019-05 and ASU 2019-11 (collectively,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326”). 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October 1, 2020. Early adoption is permitted. We do not believe that adoption of Topic 326 will have a significant impact on our consolidated financial statements.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expect that any other recently issued accounting pronouncements will have a significant effect on our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exposed to market risk related to changes in interest rates and foreign exchange rates. We do not use derivative financial instruments for speculative or trading purposes.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March 31, 2020 and September 30,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w w:val="93"/>
              </w:rPr>
              <w:t>September 30, 2019</w:t>
            </w:r>
          </w:p>
        </w:tc>
        <w:tc>
          <w:tcPr>
            <w:tcW w:w="1340" w:type="dxa"/>
            <w:vAlign w:val="bottom"/>
            <w:tcBorders>
              <w:bottom w:val="single" w:sz="8" w:color="auto"/>
            </w:tcBorders>
          </w:tcPr>
          <w:p>
            <w:pPr>
              <w:spacing w:after="0"/>
              <w:rPr>
                <w:sz w:val="16"/>
                <w:szCs w:val="16"/>
                <w:color w:val="auto"/>
              </w:rPr>
            </w:pPr>
          </w:p>
        </w:tc>
      </w:tr>
      <w:tr>
        <w:trPr>
          <w:trHeight w:val="152"/>
        </w:trPr>
        <w:tc>
          <w:tcPr>
            <w:tcW w:w="1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3"/>
                <w:szCs w:val="13"/>
                <w:color w:val="auto"/>
              </w:rPr>
            </w:pPr>
          </w:p>
        </w:tc>
        <w:tc>
          <w:tcPr>
            <w:tcW w:w="1500" w:type="dxa"/>
            <w:vAlign w:val="bottom"/>
          </w:tcPr>
          <w:p>
            <w:pPr>
              <w:jc w:val="center"/>
              <w:ind w:right="384"/>
              <w:spacing w:after="0" w:line="153" w:lineRule="exact"/>
              <w:rPr>
                <w:sz w:val="20"/>
                <w:szCs w:val="20"/>
                <w:color w:val="auto"/>
              </w:rPr>
            </w:pPr>
            <w:r>
              <w:rPr>
                <w:rFonts w:ascii="Arial" w:cs="Arial" w:eastAsia="Arial" w:hAnsi="Arial"/>
                <w:sz w:val="14"/>
                <w:szCs w:val="14"/>
                <w:b w:val="1"/>
                <w:bCs w:val="1"/>
                <w:color w:val="auto"/>
                <w:w w:val="97"/>
              </w:rPr>
              <w:t>Carrying</w:t>
            </w:r>
          </w:p>
        </w:tc>
        <w:tc>
          <w:tcPr>
            <w:tcW w:w="1800" w:type="dxa"/>
            <w:vAlign w:val="bottom"/>
            <w:gridSpan w:val="3"/>
          </w:tcPr>
          <w:p>
            <w:pPr>
              <w:jc w:val="center"/>
              <w:ind w:right="58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3"/>
                <w:szCs w:val="13"/>
                <w:color w:val="auto"/>
              </w:rPr>
            </w:pPr>
          </w:p>
        </w:tc>
        <w:tc>
          <w:tcPr>
            <w:tcW w:w="1580" w:type="dxa"/>
            <w:vAlign w:val="bottom"/>
          </w:tcPr>
          <w:p>
            <w:pPr>
              <w:jc w:val="center"/>
              <w:ind w:right="344"/>
              <w:spacing w:after="0" w:line="153" w:lineRule="exact"/>
              <w:rPr>
                <w:sz w:val="20"/>
                <w:szCs w:val="20"/>
                <w:color w:val="auto"/>
              </w:rPr>
            </w:pPr>
            <w:r>
              <w:rPr>
                <w:rFonts w:ascii="Arial" w:cs="Arial" w:eastAsia="Arial" w:hAnsi="Arial"/>
                <w:sz w:val="14"/>
                <w:szCs w:val="14"/>
                <w:b w:val="1"/>
                <w:bCs w:val="1"/>
                <w:color w:val="auto"/>
                <w:w w:val="97"/>
              </w:rPr>
              <w:t>Carrying</w:t>
            </w:r>
          </w:p>
        </w:tc>
        <w:tc>
          <w:tcPr>
            <w:tcW w:w="134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1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Basis</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84"/>
              <w:spacing w:after="0"/>
              <w:rPr>
                <w:sz w:val="20"/>
                <w:szCs w:val="20"/>
                <w:color w:val="auto"/>
              </w:rPr>
            </w:pPr>
            <w:r>
              <w:rPr>
                <w:rFonts w:ascii="Arial" w:cs="Arial" w:eastAsia="Arial" w:hAnsi="Arial"/>
                <w:sz w:val="14"/>
                <w:szCs w:val="14"/>
                <w:b w:val="1"/>
                <w:bCs w:val="1"/>
                <w:color w:val="auto"/>
                <w:w w:val="98"/>
              </w:rPr>
              <w:t>Amount</w:t>
            </w:r>
          </w:p>
        </w:tc>
        <w:tc>
          <w:tcPr>
            <w:tcW w:w="180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5"/>
              </w:rPr>
              <w:t>Yield</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Basis</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Yield</w:t>
            </w:r>
          </w:p>
        </w:tc>
      </w:tr>
      <w:tr>
        <w:trPr>
          <w:trHeight w:val="196"/>
        </w:trPr>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920" w:type="dxa"/>
            <w:vAlign w:val="bottom"/>
            <w:gridSpan w:val="4"/>
          </w:tcPr>
          <w:p>
            <w:pPr>
              <w:jc w:val="right"/>
              <w:ind w:right="742"/>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5"/>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108,966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108,966</w:t>
            </w:r>
          </w:p>
        </w:tc>
        <w:tc>
          <w:tcPr>
            <w:tcW w:w="1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0.26%  $</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106,426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106,426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r>
      <w:tr>
        <w:trPr>
          <w:trHeight w:val="27"/>
        </w:trPr>
        <w:tc>
          <w:tcPr>
            <w:tcW w:w="1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July 14, 2010, we issued $245 million of senior notes in a private placement to a group of institutional investors (the “2010 Senior Notes”). On May 8, 2018, we issued $400 million of senior notes in a private placement to a group of institutional investors (the “2018 Senior Notes”). On December 6, 2019, we issued $350 million of senior notes in a private offering to qualified institutional investors (the “2019 Senior Notes,” and along with the 2010 Senior Notes and 2018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March 31, 2020 and September 30,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 2020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30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Face Value (*)</w:t>
            </w: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Face Value (*)</w:t>
            </w: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8"/>
              </w:rPr>
              <w:t>Fair Value</w:t>
            </w:r>
          </w:p>
        </w:tc>
      </w:tr>
      <w:tr>
        <w:trPr>
          <w:trHeight w:val="196"/>
        </w:trPr>
        <w:tc>
          <w:tcPr>
            <w:tcW w:w="3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2010 Senior Notes</w:t>
            </w:r>
          </w:p>
        </w:tc>
        <w:tc>
          <w:tcPr>
            <w:tcW w:w="3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85,255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86,121</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The 2018 Senior Notes</w:t>
            </w:r>
          </w:p>
        </w:tc>
        <w:tc>
          <w:tcPr>
            <w:tcW w:w="3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402,000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428,000</w:t>
            </w:r>
          </w:p>
        </w:tc>
      </w:tr>
      <w:tr>
        <w:trPr>
          <w:trHeight w:val="27"/>
        </w:trPr>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2019 Senior Notes</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331,625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3280" w:type="dxa"/>
            <w:vAlign w:val="bottom"/>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835,000</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818,880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485,000</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514,121</w:t>
            </w:r>
          </w:p>
        </w:tc>
      </w:tr>
      <w:tr>
        <w:trPr>
          <w:trHeight w:val="20"/>
        </w:trPr>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13"/>
        <w:spacing w:after="0" w:line="277" w:lineRule="auto"/>
        <w:tabs>
          <w:tab w:leader="none" w:pos="661" w:val="left"/>
        </w:tabs>
        <w:numPr>
          <w:ilvl w:val="0"/>
          <w:numId w:val="20"/>
        </w:numPr>
        <w:rPr>
          <w:rFonts w:ascii="Arial" w:cs="Arial" w:eastAsia="Arial" w:hAnsi="Arial"/>
          <w:sz w:val="16"/>
          <w:szCs w:val="16"/>
          <w:color w:val="auto"/>
        </w:rPr>
      </w:pPr>
      <w:r>
        <w:rPr>
          <w:rFonts w:ascii="Arial" w:cs="Arial" w:eastAsia="Arial" w:hAnsi="Arial"/>
          <w:sz w:val="18"/>
          <w:szCs w:val="18"/>
          <w:color w:val="auto"/>
        </w:rPr>
        <w:t>The carrying value of the Senior Notes was reduced by the net debt issuance costs of $11.4 million and $5.2 million at March 31, 2020 and September 30, 2019, respectively.</w:t>
      </w:r>
    </w:p>
    <w:p>
      <w:pPr>
        <w:spacing w:after="0" w:line="17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$124.0 million in borrowings outstanding at a weighted average interest rate of 2.277% under the credit facility as of March 31, 2020.</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our outstanding foreign currency forward contracts, by currency, at March 31, 2020 and September 30, 2019:</w:t>
      </w:r>
    </w:p>
    <w:p>
      <w:pPr>
        <w:spacing w:after="0" w:line="174"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3" w:lineRule="exact"/>
        <w:rPr>
          <w:sz w:val="20"/>
          <w:szCs w:val="20"/>
          <w:color w:val="auto"/>
        </w:rPr>
      </w:pPr>
    </w:p>
    <w:tbl>
      <w:tblPr>
        <w:tblLayout w:type="fixed"/>
        <w:tblInd w:w="596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Contract Amount</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2"/>
        </w:trPr>
        <w:tc>
          <w:tcPr>
            <w:tcW w:w="2620" w:type="dxa"/>
            <w:vAlign w:val="bottom"/>
          </w:tcPr>
          <w:p>
            <w:pPr>
              <w:jc w:val="center"/>
              <w:ind w:right="388"/>
              <w:spacing w:after="0" w:line="153" w:lineRule="exact"/>
              <w:rPr>
                <w:sz w:val="20"/>
                <w:szCs w:val="20"/>
                <w:color w:val="auto"/>
              </w:rPr>
            </w:pPr>
            <w:r>
              <w:rPr>
                <w:rFonts w:ascii="Arial" w:cs="Arial" w:eastAsia="Arial" w:hAnsi="Arial"/>
                <w:sz w:val="14"/>
                <w:szCs w:val="14"/>
                <w:b w:val="1"/>
                <w:bCs w:val="1"/>
                <w:color w:val="auto"/>
                <w:w w:val="93"/>
              </w:rPr>
              <w:t>Foreign</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USD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86"/>
        </w:trPr>
        <w:tc>
          <w:tcPr>
            <w:tcW w:w="2620" w:type="dxa"/>
            <w:vAlign w:val="bottom"/>
          </w:tcPr>
          <w:p>
            <w:pPr>
              <w:jc w:val="center"/>
              <w:ind w:right="408"/>
              <w:spacing w:after="0"/>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7620</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380"/>
              <w:spacing w:after="0"/>
              <w:rPr>
                <w:sz w:val="20"/>
                <w:szCs w:val="20"/>
                <w:color w:val="auto"/>
              </w:rPr>
            </w:pPr>
            <w:r>
              <w:rPr>
                <w:rFonts w:ascii="Arial" w:cs="Arial" w:eastAsia="Arial" w:hAnsi="Arial"/>
                <w:sz w:val="18"/>
                <w:szCs w:val="18"/>
                <w:color w:val="auto"/>
              </w:rPr>
              <w:t>Euro (EUR)</w:t>
            </w:r>
          </w:p>
        </w:tc>
        <w:tc>
          <w:tcPr>
            <w:tcW w:w="2880" w:type="dxa"/>
            <w:vAlign w:val="bottom"/>
          </w:tcPr>
          <w:p>
            <w:pPr>
              <w:ind w:left="1940"/>
              <w:spacing w:after="0"/>
              <w:rPr>
                <w:sz w:val="20"/>
                <w:szCs w:val="20"/>
                <w:color w:val="auto"/>
              </w:rPr>
            </w:pPr>
            <w:r>
              <w:rPr>
                <w:rFonts w:ascii="Arial" w:cs="Arial" w:eastAsia="Arial" w:hAnsi="Arial"/>
                <w:sz w:val="18"/>
                <w:szCs w:val="18"/>
                <w:color w:val="auto"/>
              </w:rPr>
              <w:t>EUR</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11,004</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2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2880" w:type="dxa"/>
            <w:vAlign w:val="bottom"/>
          </w:tcPr>
          <w:p>
            <w:pPr>
              <w:ind w:left="1940"/>
              <w:spacing w:after="0"/>
              <w:rPr>
                <w:sz w:val="20"/>
                <w:szCs w:val="20"/>
                <w:color w:val="auto"/>
              </w:rPr>
            </w:pPr>
            <w:r>
              <w:rPr>
                <w:rFonts w:ascii="Arial" w:cs="Arial" w:eastAsia="Arial" w:hAnsi="Arial"/>
                <w:sz w:val="18"/>
                <w:szCs w:val="18"/>
                <w:color w:val="auto"/>
              </w:rPr>
              <w:t>GBP</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21,781</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27,000</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28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SGD</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10,274</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7,200</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3" w:lineRule="exact"/>
        <w:rPr>
          <w:sz w:val="20"/>
          <w:szCs w:val="20"/>
          <w:color w:val="auto"/>
        </w:rPr>
      </w:pPr>
    </w:p>
    <w:tbl>
      <w:tblPr>
        <w:tblLayout w:type="fixed"/>
        <w:tblInd w:w="5960" w:type="dxa"/>
        <w:tblCellMar>
          <w:top w:w="0" w:type="dxa"/>
          <w:left w:w="0" w:type="dxa"/>
          <w:bottom w:w="0" w:type="dxa"/>
          <w:right w:w="0" w:type="dxa"/>
        </w:tblCellMar>
      </w:tblPr>
      <w:tr>
        <w:trPr>
          <w:trHeight w:val="192"/>
        </w:trPr>
        <w:tc>
          <w:tcPr>
            <w:tcW w:w="26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Contract Amount</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2620" w:type="dxa"/>
            <w:vAlign w:val="bottom"/>
          </w:tcPr>
          <w:p>
            <w:pPr>
              <w:jc w:val="center"/>
              <w:ind w:right="388"/>
              <w:spacing w:after="0" w:line="153" w:lineRule="exact"/>
              <w:rPr>
                <w:sz w:val="20"/>
                <w:szCs w:val="20"/>
                <w:color w:val="auto"/>
              </w:rPr>
            </w:pPr>
            <w:r>
              <w:rPr>
                <w:rFonts w:ascii="Arial" w:cs="Arial" w:eastAsia="Arial" w:hAnsi="Arial"/>
                <w:sz w:val="14"/>
                <w:szCs w:val="14"/>
                <w:b w:val="1"/>
                <w:bCs w:val="1"/>
                <w:color w:val="auto"/>
                <w:w w:val="93"/>
              </w:rPr>
              <w:t>Foreign</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USD</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USD</w:t>
            </w:r>
          </w:p>
        </w:tc>
        <w:tc>
          <w:tcPr>
            <w:tcW w:w="0" w:type="dxa"/>
            <w:vAlign w:val="bottom"/>
          </w:tcPr>
          <w:p>
            <w:pPr>
              <w:spacing w:after="0"/>
              <w:rPr>
                <w:sz w:val="1"/>
                <w:szCs w:val="1"/>
                <w:color w:val="auto"/>
              </w:rPr>
            </w:pPr>
          </w:p>
        </w:tc>
      </w:tr>
      <w:tr>
        <w:trPr>
          <w:trHeight w:val="186"/>
        </w:trPr>
        <w:tc>
          <w:tcPr>
            <w:tcW w:w="2620" w:type="dxa"/>
            <w:vAlign w:val="bottom"/>
          </w:tcPr>
          <w:p>
            <w:pPr>
              <w:jc w:val="center"/>
              <w:ind w:right="408"/>
              <w:spacing w:after="0"/>
              <w:rPr>
                <w:sz w:val="20"/>
                <w:szCs w:val="20"/>
                <w:color w:val="auto"/>
              </w:rPr>
            </w:pPr>
            <w:r>
              <w:rPr>
                <w:rFonts w:ascii="Arial" w:cs="Arial" w:eastAsia="Arial" w:hAnsi="Arial"/>
                <w:sz w:val="14"/>
                <w:szCs w:val="14"/>
                <w:b w:val="1"/>
                <w:bCs w:val="1"/>
                <w:color w:val="auto"/>
                <w:w w:val="94"/>
              </w:rPr>
              <w:t>Currency</w:t>
            </w:r>
          </w:p>
        </w:tc>
        <w:tc>
          <w:tcPr>
            <w:tcW w:w="120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7620</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0"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 foreign currency: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380"/>
              <w:spacing w:after="0"/>
              <w:rPr>
                <w:sz w:val="20"/>
                <w:szCs w:val="20"/>
                <w:color w:val="auto"/>
              </w:rPr>
            </w:pPr>
            <w:r>
              <w:rPr>
                <w:rFonts w:ascii="Arial" w:cs="Arial" w:eastAsia="Arial" w:hAnsi="Arial"/>
                <w:sz w:val="18"/>
                <w:szCs w:val="18"/>
                <w:color w:val="auto"/>
              </w:rPr>
              <w:t>Euro (EUR)</w:t>
            </w:r>
          </w:p>
        </w:tc>
        <w:tc>
          <w:tcPr>
            <w:tcW w:w="2880" w:type="dxa"/>
            <w:vAlign w:val="bottom"/>
          </w:tcPr>
          <w:p>
            <w:pPr>
              <w:ind w:left="1940"/>
              <w:spacing w:after="0"/>
              <w:rPr>
                <w:sz w:val="20"/>
                <w:szCs w:val="20"/>
                <w:color w:val="auto"/>
              </w:rPr>
            </w:pPr>
            <w:r>
              <w:rPr>
                <w:rFonts w:ascii="Arial" w:cs="Arial" w:eastAsia="Arial" w:hAnsi="Arial"/>
                <w:sz w:val="18"/>
                <w:szCs w:val="18"/>
                <w:color w:val="auto"/>
              </w:rPr>
              <w:t>EUR</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10,800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11,723</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 foreign currency:</w:t>
            </w:r>
          </w:p>
        </w:tc>
        <w:tc>
          <w:tcPr>
            <w:tcW w:w="2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380"/>
              <w:spacing w:after="0"/>
              <w:rPr>
                <w:sz w:val="20"/>
                <w:szCs w:val="20"/>
                <w:color w:val="auto"/>
              </w:rPr>
            </w:pPr>
            <w:r>
              <w:rPr>
                <w:rFonts w:ascii="Arial" w:cs="Arial" w:eastAsia="Arial" w:hAnsi="Arial"/>
                <w:sz w:val="18"/>
                <w:szCs w:val="18"/>
                <w:color w:val="auto"/>
              </w:rPr>
              <w:t>British pound (GBP)</w:t>
            </w:r>
          </w:p>
        </w:tc>
        <w:tc>
          <w:tcPr>
            <w:tcW w:w="2880" w:type="dxa"/>
            <w:vAlign w:val="bottom"/>
          </w:tcPr>
          <w:p>
            <w:pPr>
              <w:ind w:left="1940"/>
              <w:spacing w:after="0"/>
              <w:rPr>
                <w:sz w:val="20"/>
                <w:szCs w:val="20"/>
                <w:color w:val="auto"/>
              </w:rPr>
            </w:pPr>
            <w:r>
              <w:rPr>
                <w:rFonts w:ascii="Arial" w:cs="Arial" w:eastAsia="Arial" w:hAnsi="Arial"/>
                <w:sz w:val="18"/>
                <w:szCs w:val="18"/>
                <w:color w:val="auto"/>
              </w:rPr>
              <w:t>GBP</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5,200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6,400</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Singapore dollar (SGD)</w:t>
            </w:r>
          </w:p>
        </w:tc>
        <w:tc>
          <w:tcPr>
            <w:tcW w:w="28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SGD</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5,798</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7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foreign currency forward contracts were entered into on March 31, 2020 and September 30, 2019, respectively; therefore, their fair value was $0 on each of these 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FICO’s management, including the Chief Executive Officer and Chief Financial Officer,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Chief Executive Officer and Chief Financial Officer have concluded that FICO’s disclosure controls and procedures are effective to ensure that information required to be disclosed by FICO in reports that it files or submits under the Exchange Act is (i) recorded, processed, summarized and reported within the time periods specified in SEC rules and forms and (ii) accumulated and communicated to the Chief Executive Officer and Chief Financial Officer to allow timely decisions regarding required disclosure.</w:t>
      </w:r>
    </w:p>
    <w:p>
      <w:pPr>
        <w:spacing w:after="0" w:line="2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No change in FICO’s internal control over financial reporting was identified in connection with the evaluation required by Rules13a-15 or 15d-15 of the Exchange Act that occurred during the period covered by this quarterly report and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March 13, 2020, we received a letter from the Antitrust Division of the U.S. Department of Justice (“DOJ”) informing us that the DOJ had opened a civil investigation into potential exclusionary conduct by the Company. We are cooperating with the DOJ in its investigation.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5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212529"/>
        </w:rPr>
        <w:t>We have updated the risk factors previously disclosed in Part I, Item 1A. of our Annual Report on Form 10-K for the fiscal year ended September 30, 2019, which was filed with the SEC on November 8, 2019 (“2019 Annual Report”), as set forth below. Other than the risk factor titled “</w:t>
      </w:r>
      <w:r>
        <w:rPr>
          <w:rFonts w:ascii="Arial" w:cs="Arial" w:eastAsia="Arial" w:hAnsi="Arial"/>
          <w:sz w:val="16"/>
          <w:szCs w:val="16"/>
          <w:b w:val="1"/>
          <w:bCs w:val="1"/>
          <w:i w:val="1"/>
          <w:iCs w:val="1"/>
          <w:color w:val="000000"/>
        </w:rPr>
        <w:t>The effects of the</w:t>
      </w:r>
    </w:p>
    <w:p>
      <w:pPr>
        <w:jc w:val="both"/>
        <w:spacing w:after="0" w:line="277" w:lineRule="auto"/>
        <w:rPr>
          <w:sz w:val="20"/>
          <w:szCs w:val="20"/>
          <w:color w:val="auto"/>
        </w:rPr>
      </w:pPr>
      <w:r>
        <w:rPr>
          <w:rFonts w:ascii="Arial" w:cs="Arial" w:eastAsia="Arial" w:hAnsi="Arial"/>
          <w:sz w:val="17"/>
          <w:szCs w:val="17"/>
          <w:b w:val="1"/>
          <w:bCs w:val="1"/>
          <w:i w:val="1"/>
          <w:iCs w:val="1"/>
          <w:color w:val="auto"/>
        </w:rPr>
        <w:t>COVID-19 pandemic have negatively affected how we and our customers are operating our businesses. The duration of these effects, and the extent to which they will impact our future revenues, results of operations and overall financial performance, remain uncertain.</w:t>
      </w:r>
      <w:r>
        <w:rPr>
          <w:rFonts w:ascii="Arial" w:cs="Arial" w:eastAsia="Arial" w:hAnsi="Arial"/>
          <w:sz w:val="17"/>
          <w:szCs w:val="17"/>
          <w:color w:val="212529"/>
        </w:rPr>
        <w:t>,” we do not believe any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12529"/>
        </w:rPr>
        <w:t>changes constitute material changes from the risk factors previously disclosed in our 2019 Annual Report.</w:t>
      </w:r>
    </w:p>
    <w:p>
      <w:pPr>
        <w:spacing w:after="0" w:line="119" w:lineRule="exact"/>
        <w:rPr>
          <w:sz w:val="20"/>
          <w:szCs w:val="20"/>
          <w:color w:val="auto"/>
        </w:rPr>
      </w:pPr>
    </w:p>
    <w:p>
      <w:pPr>
        <w:ind w:left="180" w:right="20"/>
        <w:spacing w:after="0" w:line="342" w:lineRule="auto"/>
        <w:rPr>
          <w:sz w:val="20"/>
          <w:szCs w:val="20"/>
          <w:color w:val="auto"/>
        </w:rPr>
      </w:pPr>
      <w:r>
        <w:rPr>
          <w:rFonts w:ascii="Arial" w:cs="Arial" w:eastAsia="Arial" w:hAnsi="Arial"/>
          <w:sz w:val="16"/>
          <w:szCs w:val="16"/>
          <w:b w:val="1"/>
          <w:bCs w:val="1"/>
          <w:i w:val="1"/>
          <w:iCs w:val="1"/>
          <w:color w:val="auto"/>
        </w:rPr>
        <w:t>The effects of the COVID-19 pandemic have negatively affected how we and our customers are operating our businesses. The duration of these effects, and the extent to which they will impact our future revenues, results of operations and overall financial performance, remain uncertain.</w:t>
      </w:r>
    </w:p>
    <w:p>
      <w:pPr>
        <w:spacing w:after="0" w:line="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2020, the World Health Organization declared the outbreak of COVID-19, which continues to spread throughout the U.S. and the world, to be a pandemic. As is possible with any significant outbreak of epidemic, pandemic, or contagious diseases, the COVID-19 outbreak has resulted in a widespread health crisis that has adversely affected broader economies and financial markets. COVID-19 has caused shutdowns to businesses and cities worldwide and has disrupted supply chains, business operations, travel, and consumer confidence.</w:t>
      </w:r>
    </w:p>
    <w:p>
      <w:pPr>
        <w:spacing w:after="0" w:line="13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a result of the COVID-19 pandemic, we have temporarily closed our offices (including our corporate headquarters in the United States) and implemented travel restrictions, both of which have begun to disrupt how we operate our business. Our operations may be further negatively affected by a range of external factors related to the COVID-19 pandemic that are not within our control. For example, many cities, counties, states, and countries have imposed or may impose a wide range of restrictions on our employees’, partners’ and customers’ physical movement to limit the spread of COVID-19. We may also need to or deem it advisable to postpone, cancel or shift certain of our customer, employee or industry events to virtual-only experiences in the future. If the COVID-19 pandemic has a substantial impact on our employees’, partners’ or customers’ productivity or ability to collaborate, our results of operations and overall financial performance will be harmed.</w:t>
      </w:r>
    </w:p>
    <w:p>
      <w:pPr>
        <w:spacing w:after="0" w:line="12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customers, and therefore our business and revenues, are sensitive to negative changes in general economic conditions and lending activities. The COVID-19 pandemic may affect the rate of spending on our solutions and could adversely affect our customers’ ability or willingness to purchase our products and services, cause prospective customers to delay or cancel their purchasing decisions, extend sales cycles, and potentially increase payment defaults, all of which could adversely affect our future revenues, results of operations and overall financial performance. We have begun to see some early signs that COVID-19 has adversely affected certain purchasing decisions by our customers in our Applications and Decision Management Software segments, and reports regarding general economic conditions and lending activity suggest that our Scores segment will be adversely affected.</w:t>
      </w:r>
    </w:p>
    <w:p>
      <w:pPr>
        <w:spacing w:after="0" w:line="110"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While we have not experienced significant disruptions thus far from the COVID-19 outbreak beyond those described above, the situation is constantly evolving and both the short-term and long-term effects remain unknown. We are unable to accurately predict the complete impact that COVID-19 will have due to numerous uncertainties, including the severity and transmission rate of the virus, the duration of the outbreak, the extent and effectiveness of containment actions, and the impact of these and other factors on our employees, customers, partners and vendors, and on worldwide and U.S. economic conditions. If we are not able to respond to and manage the impact of such events effectively, our business may be harmed to a material extent.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170" w:lineRule="exact"/>
        <w:rPr>
          <w:sz w:val="20"/>
          <w:szCs w:val="20"/>
          <w:color w:val="auto"/>
        </w:rPr>
      </w:pPr>
    </w:p>
    <w:p>
      <w:pPr>
        <w:jc w:val="both"/>
        <w:ind w:firstLine="229"/>
        <w:spacing w:after="0" w:line="269" w:lineRule="auto"/>
        <w:rPr>
          <w:sz w:val="20"/>
          <w:szCs w:val="20"/>
          <w:color w:val="auto"/>
        </w:rPr>
      </w:pPr>
      <w:r>
        <w:rPr>
          <w:rFonts w:ascii="Arial" w:cs="Arial" w:eastAsia="Arial" w:hAnsi="Arial"/>
          <w:sz w:val="17"/>
          <w:szCs w:val="17"/>
          <w:color w:val="auto"/>
        </w:rPr>
        <w:t>We continue to expand the pursuit of our business objective to become a leader in helping businesses automate and improve decisions across their enterprises, an approach that we commonly refer to as Decision Management, or “DM.” Our DM strategy is designed to enable us to increase our business by selling multiple products to clients, as well as to enable the development of custom client solutions that may lead to opportunities to develop new proprietary scores or other new proprietary products. Our DM strategy is also increasingly focused on the delivery of our products through cloud-based deployments. The market may be unreceptive to our general DM business approach, including being unreceptive to purchasing multiple products from us, unreceptive to our customized solutions, or unreceptive to our cloud-based offerings. As we continue to pursue our DM strategy, we may experience volatility in our revenues and operating results caused by various factors, including differences in revenue recognition treatment between our cloud-based offerings and on-premise software licenses, the timing of investments and other expenditures necessary to develop and operate our cloud-based offerings, and the adoption of new sales and delivery methods. If our DM strategy is not successful, we may not be able to grow our business, growth may occur more slowly than we anticipate, or our revenues and profits may decline.</w:t>
      </w:r>
    </w:p>
    <w:p>
      <w:pPr>
        <w:spacing w:after="0" w:line="18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70"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business analytics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obtain or use key data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saturation or contraction of market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successfully adopt cloud-based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execute our selling approach;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successfully sell our products in new vertical markets.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unable to access new markets or develop new distribution channels, our business and growth prospects could suffer.</w:t>
      </w:r>
    </w:p>
    <w:p>
      <w:pPr>
        <w:spacing w:after="0" w:line="225" w:lineRule="exact"/>
        <w:rPr>
          <w:sz w:val="20"/>
          <w:szCs w:val="20"/>
          <w:color w:val="auto"/>
        </w:rPr>
      </w:pPr>
    </w:p>
    <w:p>
      <w:pPr>
        <w:jc w:val="both"/>
        <w:ind w:firstLine="229"/>
        <w:spacing w:after="0" w:line="301" w:lineRule="auto"/>
        <w:rPr>
          <w:sz w:val="20"/>
          <w:szCs w:val="20"/>
          <w:color w:val="auto"/>
        </w:rPr>
      </w:pPr>
      <w:r>
        <w:rPr>
          <w:rFonts w:ascii="Arial" w:cs="Arial" w:eastAsia="Arial" w:hAnsi="Arial"/>
          <w:sz w:val="16"/>
          <w:szCs w:val="16"/>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157" w:lineRule="exact"/>
        <w:rPr>
          <w:sz w:val="20"/>
          <w:szCs w:val="20"/>
          <w:color w:val="auto"/>
        </w:rPr>
      </w:pPr>
    </w:p>
    <w:p>
      <w:pPr>
        <w:ind w:left="180" w:right="60"/>
        <w:spacing w:after="0" w:line="277" w:lineRule="auto"/>
        <w:rPr>
          <w:sz w:val="20"/>
          <w:szCs w:val="20"/>
          <w:color w:val="auto"/>
        </w:rPr>
      </w:pPr>
      <w:r>
        <w:rPr>
          <w:rFonts w:ascii="Arial" w:cs="Arial" w:eastAsia="Arial" w:hAnsi="Arial"/>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70" w:lineRule="exact"/>
        <w:rPr>
          <w:sz w:val="20"/>
          <w:szCs w:val="20"/>
          <w:color w:val="auto"/>
        </w:rPr>
      </w:pPr>
    </w:p>
    <w:p>
      <w:pPr>
        <w:jc w:val="both"/>
        <w:ind w:firstLine="229"/>
        <w:spacing w:after="0" w:line="269" w:lineRule="auto"/>
        <w:rPr>
          <w:sz w:val="20"/>
          <w:szCs w:val="20"/>
          <w:color w:val="auto"/>
        </w:rPr>
      </w:pPr>
      <w:r>
        <w:rPr>
          <w:rFonts w:ascii="Arial" w:cs="Arial" w:eastAsia="Arial" w:hAnsi="Arial"/>
          <w:sz w:val="17"/>
          <w:szCs w:val="17"/>
          <w:color w:val="auto"/>
        </w:rPr>
        <w:t>Our growth and the success of our DM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We rely on relatively few customers, as well as our contracts with the three major credit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140"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Most of our customers are relatively large enterprises, such as banks, payment card processors, insurance companies, healthcare firms, telecommunications providers, retailers and public agencies. As a result, many of our customers and potential customers are significantly larger than we are and may have sufficient bargaining power to demand reduced prices and favorable nonstandard terms.</w:t>
      </w:r>
    </w:p>
    <w:p>
      <w:pPr>
        <w:spacing w:after="0" w:line="184"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In addition, the U.S. and other key international economies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European Union (“E.U.”) continues to face great economic uncertainty which could impact the overall world economy or various other regional economies. The potential for economic disruption presents considerable risks to our business, including potential bankruptcies or credit deterioration of financial institutions with which we have substantial relationships. Such disruption</w:t>
      </w:r>
      <w:r>
        <w:rPr>
          <w:rFonts w:ascii="Arial" w:cs="Arial" w:eastAsia="Arial" w:hAnsi="Arial"/>
          <w:sz w:val="18"/>
          <w:szCs w:val="18"/>
          <w:color w:val="212529"/>
        </w:rPr>
        <w:t>,</w:t>
      </w:r>
      <w:r>
        <w:rPr>
          <w:rFonts w:ascii="Arial" w:cs="Arial" w:eastAsia="Arial" w:hAnsi="Arial"/>
          <w:sz w:val="18"/>
          <w:szCs w:val="18"/>
          <w:color w:val="auto"/>
        </w:rPr>
        <w:t xml:space="preserve"> </w:t>
      </w:r>
      <w:r>
        <w:rPr>
          <w:rFonts w:ascii="Arial" w:cs="Arial" w:eastAsia="Arial" w:hAnsi="Arial"/>
          <w:sz w:val="18"/>
          <w:szCs w:val="18"/>
          <w:color w:val="212529"/>
        </w:rPr>
        <w:t xml:space="preserve">whether arising in connection with the current COVID-19 pandemic or otherwise, could </w:t>
      </w:r>
      <w:r>
        <w:rPr>
          <w:rFonts w:ascii="Arial" w:cs="Arial" w:eastAsia="Arial" w:hAnsi="Arial"/>
          <w:sz w:val="18"/>
          <w:szCs w:val="18"/>
          <w:color w:val="000000"/>
        </w:rPr>
        <w:t>result in a decline in the volume of transactions that we execute for</w:t>
      </w:r>
      <w:r>
        <w:rPr>
          <w:rFonts w:ascii="Arial" w:cs="Arial" w:eastAsia="Arial" w:hAnsi="Arial"/>
          <w:sz w:val="18"/>
          <w:szCs w:val="18"/>
          <w:color w:val="212529"/>
        </w:rPr>
        <w:t xml:space="preserve"> </w:t>
      </w:r>
      <w:r>
        <w:rPr>
          <w:rFonts w:ascii="Arial" w:cs="Arial" w:eastAsia="Arial" w:hAnsi="Arial"/>
          <w:sz w:val="18"/>
          <w:szCs w:val="18"/>
          <w:color w:val="000000"/>
        </w:rPr>
        <w:t>our customers.</w:t>
      </w:r>
    </w:p>
    <w:p>
      <w:pPr>
        <w:spacing w:after="0" w:line="195" w:lineRule="exact"/>
        <w:rPr>
          <w:sz w:val="20"/>
          <w:szCs w:val="20"/>
          <w:color w:val="auto"/>
        </w:rPr>
      </w:pPr>
    </w:p>
    <w:p>
      <w:pPr>
        <w:jc w:val="both"/>
        <w:ind w:firstLine="229"/>
        <w:spacing w:after="0" w:line="237" w:lineRule="auto"/>
        <w:rPr>
          <w:sz w:val="20"/>
          <w:szCs w:val="20"/>
          <w:color w:val="auto"/>
        </w:rPr>
      </w:pPr>
      <w:r>
        <w:rPr>
          <w:rFonts w:ascii="Arial" w:cs="Arial" w:eastAsia="Arial" w:hAnsi="Arial"/>
          <w:sz w:val="18"/>
          <w:szCs w:val="18"/>
          <w:color w:val="auto"/>
        </w:rPr>
        <w:t>We also derive a substantial portion of our revenues and operating income from our contracts with the three major credit reporting agencies, Experian, TransUnion and Equifax, and other parties that distribute our products to certain markets. The loss of or a significant change in a relationship with one of these credit reporting agencies with respect to their distribution of our products or with respect to our myFICO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offerings, the loss of or a significant change in a relationship with a major customer, the loss of or a significant change in a relationship with a significant third-party distributor (including payment card processors), or the delay of significant revenues from these sources, could have a material adverse effect on our revenues and results of operations.</w:t>
      </w:r>
    </w:p>
    <w:p>
      <w:pPr>
        <w:spacing w:after="0" w:line="206"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We rely on relationships with third parties for marketing, distribution and certain services. If we experience difficulties in these relationships, our future revenues may be adversely affected.</w:t>
      </w:r>
    </w:p>
    <w:p>
      <w:pPr>
        <w:spacing w:after="0" w:line="170" w:lineRule="exact"/>
        <w:rPr>
          <w:sz w:val="20"/>
          <w:szCs w:val="20"/>
          <w:color w:val="auto"/>
        </w:rPr>
      </w:pPr>
    </w:p>
    <w:p>
      <w:pPr>
        <w:jc w:val="both"/>
        <w:ind w:firstLine="229"/>
        <w:spacing w:after="0" w:line="271" w:lineRule="auto"/>
        <w:rPr>
          <w:sz w:val="20"/>
          <w:szCs w:val="20"/>
          <w:color w:val="auto"/>
        </w:rPr>
      </w:pPr>
      <w:r>
        <w:rPr>
          <w:rFonts w:ascii="Arial" w:cs="Arial" w:eastAsia="Arial" w:hAnsi="Arial"/>
          <w:sz w:val="17"/>
          <w:szCs w:val="17"/>
          <w:color w:val="auto"/>
        </w:rPr>
        <w:t>Most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178"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acquisition and divestiture activities may disrupt our ongoing business and may involve increased expenses, and we may not realize the financial and strategic goals contemplated at the time of a transaction.</w:t>
      </w:r>
    </w:p>
    <w:p>
      <w:pPr>
        <w:spacing w:after="0" w:line="170" w:lineRule="exact"/>
        <w:rPr>
          <w:sz w:val="20"/>
          <w:szCs w:val="20"/>
          <w:color w:val="auto"/>
        </w:rPr>
      </w:pPr>
    </w:p>
    <w:p>
      <w:pPr>
        <w:ind w:right="20" w:firstLine="229"/>
        <w:spacing w:after="0" w:line="277" w:lineRule="auto"/>
        <w:rPr>
          <w:sz w:val="20"/>
          <w:szCs w:val="20"/>
          <w:color w:val="auto"/>
        </w:rPr>
      </w:pPr>
      <w:r>
        <w:rPr>
          <w:rFonts w:ascii="Arial" w:cs="Arial" w:eastAsia="Arial" w:hAnsi="Arial"/>
          <w:sz w:val="18"/>
          <w:szCs w:val="18"/>
          <w:color w:val="auto"/>
        </w:rPr>
        <w:t>We have acquired and expect to continue to acquire companies, businesses, products, services and technologies. Acquisitions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ongoing business may be disrupted and our management’s attention may be diverted by acquisition, transition or integration activities;</w:t>
      </w:r>
    </w:p>
    <w:p>
      <w:pPr>
        <w:spacing w:after="0" w:line="34"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retain the key employees, customers and other business partners of the acquired operation;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difficulties entering new markets where we have no or limited direct prior experience or where competitors may have stronger market positions;</w:t>
      </w:r>
    </w:p>
    <w:p>
      <w:pPr>
        <w:jc w:val="both"/>
        <w:ind w:left="660" w:hanging="328"/>
        <w:spacing w:after="0" w:line="295"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operating results or financial condition may be adversely impacted by claims or liabilities we assume from an acquired company, business, product or technology, including claims by government agencies, terminated employees, current or former customers, former stockholders or other third parties; pre-existing contractual relationships of an acquired company we would not have otherwise entered into; unfavorable revenue recognition or other accounting treatment as a result of an acquired company’s practices; and intellectual property claims or disputes;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7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fail to identify or assess the magnitude of certain liabilities or other circumstances prior to acquiring a company, business, product or technology, which could result in unexpected litigation or regulatory exposure, unfavorable accounting treatment, unexpected increases in taxes due, a loss of anticipated tax benefits or other adverse effects on our business, operating results or financial condition;</w:t>
      </w: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realize the anticipated increase in our revenues from an acquisition for a number of reasons, including if a larger than predicted number of customers decline to renew their contracts, if we are unable to sell the acquired products to our customer base or if contract models of an acquired company do not allow us to recognize revenues on a timely basis;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difficulty incorporating acquired technologies or products with our existing product lines and maintaining uniform standards, architecture, controls, procedures and policies;</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use of cash to pay for acquisitions may limit other potential uses of our cash, including stock repurchases, dividend payments and retirement of outstanding indebtedness;</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we issue a significant amount of equity securities in connection with future acquisitions, existing stockholders may be diluted and earnings per share may decrease; and</w:t>
      </w:r>
    </w:p>
    <w:p>
      <w:pPr>
        <w:ind w:left="66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additional or unexpected changes in how we are required to account for our acquisitions pursuant to U.S. generally accepted accounting principles, including arrangements we assume from an acquisition.</w:t>
      </w:r>
    </w:p>
    <w:p>
      <w:pPr>
        <w:spacing w:after="0" w:line="185" w:lineRule="exact"/>
        <w:rPr>
          <w:sz w:val="20"/>
          <w:szCs w:val="20"/>
          <w:color w:val="auto"/>
        </w:rPr>
      </w:pPr>
    </w:p>
    <w:p>
      <w:pPr>
        <w:ind w:firstLine="229"/>
        <w:spacing w:after="0" w:line="277" w:lineRule="auto"/>
        <w:rPr>
          <w:sz w:val="20"/>
          <w:szCs w:val="20"/>
          <w:color w:val="auto"/>
        </w:rPr>
      </w:pPr>
      <w:r>
        <w:rPr>
          <w:rFonts w:ascii="Arial" w:cs="Arial" w:eastAsia="Arial" w:hAnsi="Arial"/>
          <w:sz w:val="18"/>
          <w:szCs w:val="18"/>
          <w:color w:val="auto"/>
        </w:rPr>
        <w:t>We have also divested ourselves of businesses in the past and may do so again in the future. Divestitures involve significant risks and uncertainties, including: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of our ongoing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of our revenues or 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liabilities, legal risks and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distraction of management from our ongoing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relationships with employees and customers as a result of migrating a business to new owners.</w:t>
      </w:r>
    </w:p>
    <w:p>
      <w:pPr>
        <w:spacing w:after="0" w:line="211"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Because acquisitions and divestitures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Charges to earnings resulting from acquisitions may adversely affect our operating results.</w:t>
      </w:r>
    </w:p>
    <w:p>
      <w:pPr>
        <w:spacing w:after="0" w:line="225" w:lineRule="exact"/>
        <w:rPr>
          <w:sz w:val="20"/>
          <w:szCs w:val="20"/>
          <w:color w:val="auto"/>
        </w:rPr>
      </w:pPr>
    </w:p>
    <w:p>
      <w:pPr>
        <w:jc w:val="both"/>
        <w:ind w:firstLine="229"/>
        <w:spacing w:after="0" w:line="296" w:lineRule="auto"/>
        <w:rPr>
          <w:sz w:val="20"/>
          <w:szCs w:val="20"/>
          <w:color w:val="auto"/>
        </w:rPr>
      </w:pPr>
      <w:r>
        <w:rPr>
          <w:rFonts w:ascii="Arial" w:cs="Arial" w:eastAsia="Arial" w:hAnsi="Arial"/>
          <w:sz w:val="16"/>
          <w:szCs w:val="16"/>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6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goodwill or intangible assets, or a reduction in the useful lives of intangible assets acquired;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(Item 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reengineering efforts may cause our growth prospects and profitability to suffer.</w:t>
      </w:r>
    </w:p>
    <w:p>
      <w:pPr>
        <w:spacing w:after="0" w:line="225"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As part of our management approach, we pursue ongoing reengineering efforts designed to grow revenues through strategic resource allocation and improve profitability through cost reductions. Our reengineering efforts may not be successful over the long term as a result of our failure to reduce expenses at the anticipated level, or a lower, or no, positive impact on revenues from strategic resource allocation. If our reengineering efforts are not successful over the long term, our revenues, results of operations and business may suffer.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occurrence of certain negative events may cause fluctuations in our stock price.</w:t>
      </w:r>
    </w:p>
    <w:p>
      <w:pPr>
        <w:spacing w:after="0" w:line="225" w:lineRule="exact"/>
        <w:rPr>
          <w:sz w:val="20"/>
          <w:szCs w:val="20"/>
          <w:color w:val="auto"/>
        </w:rPr>
      </w:pPr>
    </w:p>
    <w:p>
      <w:pPr>
        <w:jc w:val="both"/>
        <w:ind w:firstLine="229"/>
        <w:spacing w:after="0" w:line="279" w:lineRule="auto"/>
        <w:rPr>
          <w:sz w:val="20"/>
          <w:szCs w:val="20"/>
          <w:color w:val="auto"/>
        </w:rPr>
      </w:pPr>
      <w:r>
        <w:rPr>
          <w:rFonts w:ascii="Arial" w:cs="Arial" w:eastAsia="Arial" w:hAnsi="Arial"/>
          <w:sz w:val="17"/>
          <w:szCs w:val="17"/>
          <w:color w:val="auto"/>
        </w:rPr>
        <w:t>The market price of our common stock may be volatile and could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variability in demand from our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meet the expectations of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recommendations by market analysts;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lengthy and variable sales cycle of many products, combined with the relatively large size of orders for our products, increases the likelihood of short-term fluctuation in revenues;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consumer or customer dissatisfaction with, or problems caused by, the performance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new product announcements and introductions in comparison with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competitive and other conditions in the consumer credit, banking and insurance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fluctuations in domestic and international economic conditions</w:t>
      </w:r>
      <w:r>
        <w:rPr>
          <w:rFonts w:ascii="Arial" w:cs="Arial" w:eastAsia="Arial" w:hAnsi="Arial"/>
          <w:sz w:val="17"/>
          <w:szCs w:val="17"/>
          <w:color w:val="212529"/>
        </w:rPr>
        <w:t>, such as those which have occurred as a result of the COVID-19 pandemic;</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complete large installations, and to adopt and configure cloud-based deployments, on schedule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acquisition-related expenses and charges;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timing of orders for and deliveries of software systems.</w:t>
      </w:r>
    </w:p>
    <w:p>
      <w:pPr>
        <w:spacing w:after="0" w:line="211" w:lineRule="exact"/>
        <w:rPr>
          <w:sz w:val="20"/>
          <w:szCs w:val="20"/>
          <w:color w:val="auto"/>
        </w:rPr>
      </w:pPr>
    </w:p>
    <w:p>
      <w:pPr>
        <w:jc w:val="both"/>
        <w:ind w:firstLine="229"/>
        <w:spacing w:after="0" w:line="301" w:lineRule="auto"/>
        <w:rPr>
          <w:sz w:val="20"/>
          <w:szCs w:val="20"/>
          <w:color w:val="auto"/>
        </w:rPr>
      </w:pPr>
      <w:r>
        <w:rPr>
          <w:rFonts w:ascii="Arial" w:cs="Arial" w:eastAsia="Arial" w:hAnsi="Arial"/>
          <w:sz w:val="16"/>
          <w:szCs w:val="16"/>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70" w:lineRule="exact"/>
        <w:rPr>
          <w:sz w:val="20"/>
          <w:szCs w:val="20"/>
          <w:color w:val="auto"/>
        </w:rPr>
      </w:pPr>
    </w:p>
    <w:p>
      <w:pPr>
        <w:jc w:val="both"/>
        <w:ind w:firstLine="229"/>
        <w:spacing w:after="0" w:line="288" w:lineRule="auto"/>
        <w:rPr>
          <w:sz w:val="20"/>
          <w:szCs w:val="20"/>
          <w:color w:val="auto"/>
        </w:rPr>
      </w:pPr>
      <w:r>
        <w:rPr>
          <w:rFonts w:ascii="Arial" w:cs="Arial" w:eastAsia="Arial" w:hAnsi="Arial"/>
          <w:sz w:val="16"/>
          <w:szCs w:val="16"/>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our products typically ranges from 60 days to 18 months, which may be further extended as a result of COVID-19.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68" w:lineRule="exact"/>
        <w:rPr>
          <w:sz w:val="20"/>
          <w:szCs w:val="20"/>
          <w:color w:val="auto"/>
        </w:rPr>
      </w:pPr>
    </w:p>
    <w:p>
      <w:pPr>
        <w:ind w:left="180" w:right="520"/>
        <w:spacing w:after="0" w:line="277" w:lineRule="auto"/>
        <w:rPr>
          <w:sz w:val="20"/>
          <w:szCs w:val="20"/>
          <w:color w:val="auto"/>
        </w:rPr>
      </w:pPr>
      <w:r>
        <w:rPr>
          <w:rFonts w:ascii="Arial" w:cs="Arial" w:eastAsia="Arial" w:hAnsi="Arial"/>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70"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recruit and retain additional qualified personnel could hinder our ability to successfully manage our business.</w:t>
      </w:r>
    </w:p>
    <w:p>
      <w:pPr>
        <w:spacing w:after="0" w:line="225" w:lineRule="exact"/>
        <w:rPr>
          <w:sz w:val="20"/>
          <w:szCs w:val="20"/>
          <w:color w:val="auto"/>
        </w:rPr>
      </w:pPr>
    </w:p>
    <w:p>
      <w:pPr>
        <w:jc w:val="both"/>
        <w:ind w:firstLine="229"/>
        <w:spacing w:after="0" w:line="268" w:lineRule="auto"/>
        <w:rPr>
          <w:sz w:val="20"/>
          <w:szCs w:val="20"/>
          <w:color w:val="auto"/>
        </w:rPr>
      </w:pPr>
      <w:r>
        <w:rPr>
          <w:rFonts w:ascii="Arial" w:cs="Arial" w:eastAsia="Arial" w:hAnsi="Arial"/>
          <w:sz w:val="17"/>
          <w:szCs w:val="17"/>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failure to obtain certain forms of model construction data from our customers or others could harm our business.</w:t>
      </w:r>
    </w:p>
    <w:p>
      <w:pPr>
        <w:spacing w:after="0" w:line="225" w:lineRule="exact"/>
        <w:rPr>
          <w:sz w:val="20"/>
          <w:szCs w:val="20"/>
          <w:color w:val="auto"/>
        </w:rPr>
      </w:pPr>
    </w:p>
    <w:p>
      <w:pPr>
        <w:jc w:val="both"/>
        <w:ind w:firstLine="229"/>
        <w:spacing w:after="0" w:line="269" w:lineRule="auto"/>
        <w:rPr>
          <w:sz w:val="20"/>
          <w:szCs w:val="20"/>
          <w:color w:val="auto"/>
        </w:rPr>
      </w:pPr>
      <w:r>
        <w:rPr>
          <w:rFonts w:ascii="Arial" w:cs="Arial" w:eastAsia="Arial" w:hAnsi="Arial"/>
          <w:sz w:val="17"/>
          <w:szCs w:val="17"/>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partners, or if they decline to provide such data due to privacy concerns, competition concerns, prohibitions or a lack of permission from their customers or partners, we could lose access to required data and our products, and the development of new products, might become less effective. Third parties have asserted copyright and other intellectual property interests in these data, and these assertions, if successful, could prevent us from using these data. Any interruption of our supply of data could seriously harm our business, financial condition or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will continue to rely upon proprietary technology rights, and if we are unable to protect them, our business could be harmed.</w:t>
      </w:r>
    </w:p>
    <w:p>
      <w:pPr>
        <w:spacing w:after="0" w:line="225" w:lineRule="exact"/>
        <w:rPr>
          <w:sz w:val="20"/>
          <w:szCs w:val="20"/>
          <w:color w:val="auto"/>
        </w:rPr>
      </w:pPr>
    </w:p>
    <w:p>
      <w:pPr>
        <w:jc w:val="both"/>
        <w:ind w:firstLine="229"/>
        <w:spacing w:after="0" w:line="289" w:lineRule="auto"/>
        <w:rPr>
          <w:sz w:val="20"/>
          <w:szCs w:val="20"/>
          <w:color w:val="auto"/>
        </w:rPr>
      </w:pPr>
      <w:r>
        <w:rPr>
          <w:rFonts w:ascii="Arial" w:cs="Arial" w:eastAsia="Arial" w:hAnsi="Arial"/>
          <w:sz w:val="16"/>
          <w:szCs w:val="16"/>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166"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are subject to infringement claims, it could harm our business.</w:t>
      </w:r>
    </w:p>
    <w:p>
      <w:pPr>
        <w:spacing w:after="0" w:line="225"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significant defense costs or substantial damages;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required to cease the use or sale of infringing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expend significant resources to develop or license a substitute non-infringing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discontinue the use of some technology; or</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185"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184" w:lineRule="exact"/>
        <w:rPr>
          <w:sz w:val="20"/>
          <w:szCs w:val="20"/>
          <w:color w:val="auto"/>
        </w:rPr>
      </w:pPr>
    </w:p>
    <w:p>
      <w:pPr>
        <w:jc w:val="both"/>
        <w:ind w:firstLine="229"/>
        <w:spacing w:after="0" w:line="286" w:lineRule="auto"/>
        <w:rPr>
          <w:sz w:val="20"/>
          <w:szCs w:val="20"/>
          <w:color w:val="auto"/>
        </w:rPr>
      </w:pPr>
      <w:r>
        <w:rPr>
          <w:rFonts w:ascii="Arial" w:cs="Arial" w:eastAsia="Arial" w:hAnsi="Arial"/>
          <w:sz w:val="16"/>
          <w:szCs w:val="16"/>
          <w:color w:val="auto"/>
        </w:rPr>
        <w:t>Our business requires the storage, transmission and utilization of sensitive consumer and customer information. Many of our products are provided by us through the Internet. Cybersecurity breaches could expose us to a risk of loss, the unauthorized disclosure of consumer or customer information, litigation, indemnity obligations and other liability. If our cybersecurity measures are breached as a result of third-party action, employee error, malfeasance or otherwise, and as a result, someone obtains unauthorized access to our systems or to consumer or customer information, our reputation may be damaged, our business may suffer and we could incur significant liability.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 Cybersecurity compromises experienced by our competitors, by our distributors, by our customers or by us may lead to public disclosures, which may lead to widespread negative publicity. Any cybersecurity compromise in our industry,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 In addition, the COVID-19 pandemic may cause increased cybersecurity risk, as cybercriminals attempt to capitalize from the disruption.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Protection from system interruptions is important to our business. If we experience system interruptions, it could harm our business.</w:t>
      </w:r>
    </w:p>
    <w:p>
      <w:pPr>
        <w:spacing w:after="0" w:line="237"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 xml:space="preserve">Systems or network interruptions, including interruptions experienced in connection with our cloud-based and other product offerings, could delay and disrupt our ability to develop, deliver or maintain our products and services, causing harm to our business and reputation and resulting in loss of customers or revenue. These interruptions can include software or hardware malfunctions, communication failures, outages or other failures of third party environments or service providers, fires, floods, earthquakes, </w:t>
      </w:r>
      <w:r>
        <w:rPr>
          <w:rFonts w:ascii="Arial" w:cs="Arial" w:eastAsia="Arial" w:hAnsi="Arial"/>
          <w:sz w:val="18"/>
          <w:szCs w:val="18"/>
          <w:color w:val="212529"/>
        </w:rPr>
        <w:t>pandemics (including the COVID-19 pandemic)</w:t>
      </w:r>
      <w:r>
        <w:rPr>
          <w:rFonts w:ascii="Arial" w:cs="Arial" w:eastAsia="Arial" w:hAnsi="Arial"/>
          <w:sz w:val="18"/>
          <w:szCs w:val="18"/>
          <w:b w:val="1"/>
          <w:bCs w:val="1"/>
          <w:color w:val="212529"/>
        </w:rPr>
        <w:t>,</w:t>
      </w:r>
      <w:r>
        <w:rPr>
          <w:rFonts w:ascii="Arial" w:cs="Arial" w:eastAsia="Arial" w:hAnsi="Arial"/>
          <w:sz w:val="18"/>
          <w:szCs w:val="18"/>
          <w:color w:val="auto"/>
        </w:rPr>
        <w:t xml:space="preserve"> power losses, equipment failures and other events beyond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70" w:lineRule="exact"/>
        <w:rPr>
          <w:sz w:val="20"/>
          <w:szCs w:val="20"/>
          <w:color w:val="auto"/>
        </w:rPr>
      </w:pPr>
    </w:p>
    <w:p>
      <w:pPr>
        <w:jc w:val="both"/>
        <w:ind w:firstLine="229"/>
        <w:spacing w:after="0" w:line="270" w:lineRule="auto"/>
        <w:rPr>
          <w:sz w:val="20"/>
          <w:szCs w:val="20"/>
          <w:color w:val="auto"/>
        </w:rPr>
      </w:pPr>
      <w:r>
        <w:rPr>
          <w:rFonts w:ascii="Arial" w:cs="Arial" w:eastAsia="Arial" w:hAnsi="Arial"/>
          <w:sz w:val="17"/>
          <w:szCs w:val="17"/>
          <w:color w:val="auto"/>
        </w:rPr>
        <w:t>We have a significant share of the available market in portions of our Scores segment and for certain services in our Applications segment, specifically, the markets for account management services at payment card processors and payment card fraud detection software. 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fail to keep up with rapidly changing technologies, our products could become less competitive or obsolete.</w:t>
      </w:r>
    </w:p>
    <w:p>
      <w:pPr>
        <w:spacing w:after="0" w:line="225"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18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innovate by internally developing new and competitive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leading third-party technologies effectively;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develop our technical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anticipate and effectively respond to changing customer needs;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new product introductions in a way that minimizes the impact of customers delaying purchases of existing products in anticipation of new product releases;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influence and respond to emerging industry standards and other technological changes.</w:t>
      </w:r>
    </w:p>
    <w:p>
      <w:pPr>
        <w:spacing w:after="0" w:line="211"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46" w:lineRule="exact"/>
        <w:rPr>
          <w:sz w:val="20"/>
          <w:szCs w:val="20"/>
          <w:color w:val="auto"/>
        </w:rPr>
      </w:pPr>
    </w:p>
    <w:p>
      <w:pPr>
        <w:jc w:val="both"/>
        <w:ind w:firstLine="229"/>
        <w:spacing w:after="0" w:line="275" w:lineRule="auto"/>
        <w:rPr>
          <w:sz w:val="20"/>
          <w:szCs w:val="20"/>
          <w:color w:val="auto"/>
        </w:rPr>
      </w:pPr>
      <w:r>
        <w:rPr>
          <w:rFonts w:ascii="Arial" w:cs="Arial" w:eastAsia="Arial" w:hAnsi="Arial"/>
          <w:sz w:val="17"/>
          <w:szCs w:val="17"/>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business analytics is rapidly evolving and highly competitive, and we expect competition in this market to persist and intensify. Our regional and global competitors vary in size and in the scope of the products and services they offer, and include:</w:t>
      </w:r>
    </w:p>
    <w:p>
      <w:pPr>
        <w:spacing w:after="0" w:line="17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in-house analytic and systems developers;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scoring model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fraud and security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enterprise resource planning, customer relationship management, and customer communication and mobility solution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intelligence solutions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credit report and credit score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process management and decision rules management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process modeling tools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automated application processing services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data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neural network developers and artificial intelligence system 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professional services and consulting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account/workflow management software providers;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software tools companies supplying modeling, rules, or analytic development tools; collections and recovery solutions providers; entity resolution and social network analysis solutions providers;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cloud-based customer engagement and risk management solutions providers.</w:t>
      </w:r>
    </w:p>
    <w:p>
      <w:pPr>
        <w:spacing w:after="0" w:line="21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We expect to experience additional competition from other established and emerging companies, as well as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 Many of our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18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80"/>
        <w:spacing w:after="0" w:line="327" w:lineRule="auto"/>
        <w:rPr>
          <w:sz w:val="20"/>
          <w:szCs w:val="20"/>
          <w:color w:val="auto"/>
        </w:rPr>
      </w:pPr>
      <w:r>
        <w:rPr>
          <w:rFonts w:ascii="Arial" w:cs="Arial" w:eastAsia="Arial" w:hAnsi="Arial"/>
          <w:sz w:val="15"/>
          <w:szCs w:val="15"/>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140" w:lineRule="exact"/>
        <w:rPr>
          <w:sz w:val="20"/>
          <w:szCs w:val="20"/>
          <w:color w:val="auto"/>
        </w:rPr>
      </w:pPr>
    </w:p>
    <w:p>
      <w:pPr>
        <w:jc w:val="both"/>
        <w:ind w:firstLine="229"/>
        <w:spacing w:after="0" w:line="279" w:lineRule="auto"/>
        <w:rPr>
          <w:sz w:val="20"/>
          <w:szCs w:val="20"/>
          <w:color w:val="auto"/>
        </w:rPr>
      </w:pPr>
      <w:r>
        <w:rPr>
          <w:rFonts w:ascii="Arial" w:cs="Arial" w:eastAsia="Arial" w:hAnsi="Arial"/>
          <w:sz w:val="17"/>
          <w:szCs w:val="17"/>
          <w:color w:val="auto"/>
        </w:rPr>
        <w:t>Laws and governmental regulation affect how our business is conducted and, in some cases, subject us to the possibility of government supervision and future lawsuits arising from our products and services. Laws and governmental regulation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171" w:lineRule="exact"/>
        <w:rPr>
          <w:sz w:val="20"/>
          <w:szCs w:val="20"/>
          <w:color w:val="auto"/>
        </w:rPr>
      </w:pPr>
    </w:p>
    <w:p>
      <w:pPr>
        <w:ind w:left="560" w:hanging="323"/>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 of data by creditors and consumer reporting agencies (e.g., the U.S. Fair Credit Reporting Act);</w:t>
      </w:r>
    </w:p>
    <w:p>
      <w:pPr>
        <w:spacing w:after="0" w:line="23" w:lineRule="exact"/>
        <w:rPr>
          <w:rFonts w:ascii="Arial" w:cs="Arial" w:eastAsia="Arial" w:hAnsi="Arial"/>
          <w:sz w:val="18"/>
          <w:szCs w:val="18"/>
          <w:color w:val="auto"/>
        </w:rPr>
      </w:pPr>
    </w:p>
    <w:p>
      <w:pPr>
        <w:ind w:left="560" w:hanging="323"/>
        <w:spacing w:after="0" w:line="250"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ind w:left="560" w:hanging="323"/>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Fair lending laws (e.g., the Equal Credit Opportunity Act and Regulation B, and the Fair Housing Act);</w:t>
      </w:r>
    </w:p>
    <w:p>
      <w:pPr>
        <w:spacing w:after="0" w:line="9" w:lineRule="exact"/>
        <w:rPr>
          <w:rFonts w:ascii="Arial" w:cs="Arial" w:eastAsia="Arial" w:hAnsi="Arial"/>
          <w:sz w:val="18"/>
          <w:szCs w:val="18"/>
          <w:color w:val="auto"/>
        </w:rPr>
      </w:pPr>
    </w:p>
    <w:p>
      <w:pPr>
        <w:jc w:val="both"/>
        <w:ind w:left="560" w:hanging="323"/>
        <w:spacing w:after="0" w:line="250"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the U.S. Health Insurance Portability and Accountability Act of 1996, as amended by the Health Information Technology for Economic and Clinical Health Act; the Cybersecurity Act of 2015; the U.S. Department of Commerce’s National Institute of Standards and Technology’s Cybersecurity Framework; the Clarifying Lawful Overseas Use of Data Act; and identity theft, file freezing, security breach notification and similar state privacy laws);</w:t>
      </w:r>
    </w:p>
    <w:p>
      <w:pPr>
        <w:spacing w:after="0" w:line="2" w:lineRule="exact"/>
        <w:rPr>
          <w:rFonts w:ascii="Arial" w:cs="Arial" w:eastAsia="Arial" w:hAnsi="Arial"/>
          <w:sz w:val="18"/>
          <w:szCs w:val="18"/>
          <w:color w:val="auto"/>
        </w:rPr>
      </w:pPr>
    </w:p>
    <w:p>
      <w:pPr>
        <w:ind w:left="560" w:right="20" w:hanging="323"/>
        <w:spacing w:after="0" w:line="216" w:lineRule="exact"/>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Extension of credit to consumers through the Electronic Fund Transfers Act and Regulation E, as well as non</w:t>
      </w:r>
      <w:r>
        <w:rPr>
          <w:rFonts w:ascii="MS PGothic" w:cs="MS PGothic" w:eastAsia="MS PGothic" w:hAnsi="MS PGothic"/>
          <w:sz w:val="18"/>
          <w:szCs w:val="18"/>
          <w:color w:val="auto"/>
        </w:rPr>
        <w:t>‑</w:t>
      </w:r>
      <w:r>
        <w:rPr>
          <w:rFonts w:ascii="Arial" w:cs="Arial" w:eastAsia="Arial" w:hAnsi="Arial"/>
          <w:sz w:val="18"/>
          <w:szCs w:val="18"/>
          <w:color w:val="auto"/>
        </w:rPr>
        <w:t>governmental VISA and MasterCard electronic payment standards;</w:t>
      </w:r>
    </w:p>
    <w:p>
      <w:pPr>
        <w:jc w:val="both"/>
        <w:ind w:left="560" w:hanging="323"/>
        <w:spacing w:after="0" w:line="250"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1" w:lineRule="exact"/>
        <w:rPr>
          <w:rFonts w:ascii="Arial" w:cs="Arial" w:eastAsia="Arial" w:hAnsi="Arial"/>
          <w:sz w:val="18"/>
          <w:szCs w:val="18"/>
          <w:color w:val="auto"/>
        </w:rPr>
      </w:pPr>
    </w:p>
    <w:p>
      <w:pPr>
        <w:ind w:left="560" w:hanging="323"/>
        <w:spacing w:after="0" w:line="250"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applicable to our customer communication clients and their use of our products and services (e.g., the Telemarketing Sales Rule, Telephone Consumer Protection Act and regulations promulgated thereunder);</w:t>
      </w:r>
    </w:p>
    <w:p>
      <w:pPr>
        <w:ind w:left="560" w:hanging="323"/>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applicable to our insurance clients and their use of our insurance products and services;</w:t>
      </w:r>
    </w:p>
    <w:p>
      <w:pPr>
        <w:spacing w:after="0" w:line="9" w:lineRule="exact"/>
        <w:rPr>
          <w:rFonts w:ascii="Arial" w:cs="Arial" w:eastAsia="Arial" w:hAnsi="Arial"/>
          <w:sz w:val="18"/>
          <w:szCs w:val="18"/>
          <w:color w:val="auto"/>
        </w:rPr>
      </w:pPr>
    </w:p>
    <w:p>
      <w:pPr>
        <w:jc w:val="both"/>
        <w:ind w:left="560" w:hanging="323"/>
        <w:spacing w:after="0" w:line="250"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1" w:lineRule="exact"/>
        <w:rPr>
          <w:rFonts w:ascii="Arial" w:cs="Arial" w:eastAsia="Arial" w:hAnsi="Arial"/>
          <w:sz w:val="18"/>
          <w:szCs w:val="18"/>
          <w:color w:val="auto"/>
        </w:rPr>
      </w:pPr>
    </w:p>
    <w:p>
      <w:pPr>
        <w:ind w:left="560" w:hanging="323"/>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governing the use of the Internet and social media, telemarketing, advertising, endorsements and testimonials;</w:t>
      </w:r>
    </w:p>
    <w:p>
      <w:pPr>
        <w:spacing w:after="0" w:line="9" w:lineRule="exact"/>
        <w:rPr>
          <w:rFonts w:ascii="Arial" w:cs="Arial" w:eastAsia="Arial" w:hAnsi="Arial"/>
          <w:sz w:val="18"/>
          <w:szCs w:val="18"/>
          <w:color w:val="auto"/>
        </w:rPr>
      </w:pPr>
    </w:p>
    <w:p>
      <w:pPr>
        <w:ind w:left="560" w:hanging="323"/>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Anti-bribery and corruption laws and regulations (e.g., the Foreign Corrupt Practices Act and the UK Bribery Act 2010);</w:t>
      </w:r>
    </w:p>
    <w:p>
      <w:pPr>
        <w:spacing w:after="0" w:line="9" w:lineRule="exact"/>
        <w:rPr>
          <w:rFonts w:ascii="Arial" w:cs="Arial" w:eastAsia="Arial" w:hAnsi="Arial"/>
          <w:sz w:val="18"/>
          <w:szCs w:val="18"/>
          <w:color w:val="auto"/>
        </w:rPr>
      </w:pPr>
    </w:p>
    <w:p>
      <w:pPr>
        <w:ind w:left="560" w:hanging="323"/>
        <w:spacing w:after="0" w:line="250"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regulatory standards (e.g., Sarbanes-Oxley Act requirements to maintain and verify internal process controls, including controls for material event awareness and notification);</w:t>
      </w:r>
    </w:p>
    <w:p>
      <w:pPr>
        <w:ind w:left="560" w:hanging="323"/>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requirements for managing third parties (e.g., vendors, contractors, suppliers and distributors);</w:t>
      </w:r>
    </w:p>
    <w:p>
      <w:pPr>
        <w:spacing w:after="0" w:line="9" w:lineRule="exact"/>
        <w:rPr>
          <w:rFonts w:ascii="Arial" w:cs="Arial" w:eastAsia="Arial" w:hAnsi="Arial"/>
          <w:sz w:val="18"/>
          <w:szCs w:val="18"/>
          <w:color w:val="auto"/>
        </w:rPr>
      </w:pPr>
    </w:p>
    <w:p>
      <w:pPr>
        <w:ind w:left="560" w:hanging="323"/>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Anti-money laundering laws and regulations (e.g., the Bank Secrecy Act and the USA PATRIOT Act);</w:t>
      </w:r>
    </w:p>
    <w:p>
      <w:pPr>
        <w:spacing w:after="0" w:line="9" w:lineRule="exact"/>
        <w:rPr>
          <w:rFonts w:ascii="Arial" w:cs="Arial" w:eastAsia="Arial" w:hAnsi="Arial"/>
          <w:sz w:val="18"/>
          <w:szCs w:val="18"/>
          <w:color w:val="auto"/>
        </w:rPr>
      </w:pPr>
    </w:p>
    <w:p>
      <w:pPr>
        <w:ind w:left="560" w:hanging="323"/>
        <w:spacing w:after="0" w:line="281"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 and</w:t>
      </w:r>
    </w:p>
    <w:p>
      <w:pPr>
        <w:spacing w:after="0" w:line="1" w:lineRule="exact"/>
        <w:rPr>
          <w:rFonts w:ascii="Arial" w:cs="Arial" w:eastAsia="Arial" w:hAnsi="Arial"/>
          <w:sz w:val="16"/>
          <w:szCs w:val="16"/>
          <w:color w:val="auto"/>
        </w:rPr>
      </w:pPr>
    </w:p>
    <w:p>
      <w:pPr>
        <w:ind w:left="560" w:right="520" w:hanging="323"/>
        <w:spacing w:after="0" w:line="260"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 and regulations regarding export controls as they apply to FICO products delivered in non-U.S. countries (e.g., Office of Foreign Asset Control sanctions, and Export Administration Regulations).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229"/>
        <w:spacing w:after="0" w:line="287" w:lineRule="auto"/>
        <w:rPr>
          <w:sz w:val="20"/>
          <w:szCs w:val="20"/>
          <w:color w:val="auto"/>
        </w:rPr>
      </w:pPr>
      <w:r>
        <w:rPr>
          <w:rFonts w:ascii="Arial" w:cs="Arial" w:eastAsia="Arial" w:hAnsi="Arial"/>
          <w:sz w:val="16"/>
          <w:szCs w:val="16"/>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GDPR became effective on May 25, 2018 and imposes more stringent operational requirements for entities processing personal information and greater penalties for noncompliance. Brazil, India, South Africa, Japan, China, Israel, Canada, and several other countries have introduced and, in some cases, enacted, similar privacy laws. The California Consumer Privacy Act of 2018, which was enacted on June 28, 2018 and became effective on January 1, 2020, gives California residents certain privacy rights in the collection and disclosure of their personal information and requires businesses to make certain disclosures and take certain other acts in furtherance of those rights. 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168" w:lineRule="exact"/>
        <w:rPr>
          <w:sz w:val="20"/>
          <w:szCs w:val="20"/>
          <w:color w:val="auto"/>
        </w:rPr>
      </w:pPr>
    </w:p>
    <w:p>
      <w:pPr>
        <w:jc w:val="both"/>
        <w:ind w:firstLine="229"/>
        <w:spacing w:after="0" w:line="259" w:lineRule="auto"/>
        <w:rPr>
          <w:sz w:val="20"/>
          <w:szCs w:val="20"/>
          <w:color w:val="auto"/>
        </w:rPr>
      </w:pPr>
      <w:r>
        <w:rPr>
          <w:rFonts w:ascii="Arial" w:cs="Arial" w:eastAsia="Arial" w:hAnsi="Arial"/>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could affect the demand for or profitability of our products, including scoring and consumer products. New laws and regulations pertaining to our customers could cause them to pursue new strategies, reducing the demand for our products.</w:t>
      </w:r>
    </w:p>
    <w:p>
      <w:pPr>
        <w:spacing w:after="0" w:line="18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revenues depend, to a great extent, upon conditions in the banking (including consumer credit) and insurance industries. If our clients’ industries experience uncertainty, it will likely harm our business, financial condition or results of operations.</w:t>
      </w:r>
    </w:p>
    <w:p>
      <w:pPr>
        <w:spacing w:after="0" w:line="170"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During fiscal 2019, 88% of our revenues were derived from sales of products and services to the banking and insurance industries. Global economic uncertainty experienced in the U.S. and other key international economies in the past produced substantial stress, volatility, illiquidity and disruption of global credit and other financial markets, resulting in the bankruptcy or acquisition of, or government assistance to, several major domestic and international financial institutions. The potential for disruptions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w:t>
      </w:r>
    </w:p>
    <w:p>
      <w:pPr>
        <w:spacing w:after="0" w:line="192" w:lineRule="exact"/>
        <w:rPr>
          <w:sz w:val="20"/>
          <w:szCs w:val="20"/>
          <w:color w:val="auto"/>
        </w:rPr>
      </w:pPr>
    </w:p>
    <w:p>
      <w:pPr>
        <w:jc w:val="both"/>
        <w:ind w:firstLine="229"/>
        <w:spacing w:after="0" w:line="272" w:lineRule="auto"/>
        <w:rPr>
          <w:sz w:val="20"/>
          <w:szCs w:val="20"/>
          <w:color w:val="auto"/>
        </w:rPr>
      </w:pPr>
      <w:r>
        <w:rPr>
          <w:rFonts w:ascii="Arial" w:cs="Arial" w:eastAsia="Arial" w:hAnsi="Arial"/>
          <w:sz w:val="17"/>
          <w:szCs w:val="17"/>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177" w:lineRule="exact"/>
        <w:rPr>
          <w:sz w:val="20"/>
          <w:szCs w:val="20"/>
          <w:color w:val="auto"/>
        </w:rPr>
      </w:pPr>
    </w:p>
    <w:p>
      <w:pPr>
        <w:jc w:val="both"/>
        <w:ind w:firstLine="229"/>
        <w:spacing w:after="0" w:line="277" w:lineRule="auto"/>
        <w:rPr>
          <w:sz w:val="20"/>
          <w:szCs w:val="20"/>
          <w:color w:val="auto"/>
        </w:rPr>
      </w:pPr>
      <w:r>
        <w:rPr>
          <w:rFonts w:ascii="Arial" w:cs="Arial" w:eastAsia="Arial" w:hAnsi="Arial"/>
          <w:sz w:val="18"/>
          <w:szCs w:val="18"/>
          <w:color w:val="auto"/>
        </w:rPr>
        <w:t>While we are attempting to expand our sales of consumer credit, banking and insurance products and services into international markets, the risks are greater as these markets are also experiencing substantial disruption and we are less well-known 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External Conditions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70" w:lineRule="exact"/>
        <w:rPr>
          <w:sz w:val="20"/>
          <w:szCs w:val="20"/>
          <w:color w:val="auto"/>
        </w:rPr>
      </w:pPr>
    </w:p>
    <w:p>
      <w:pPr>
        <w:jc w:val="both"/>
        <w:ind w:firstLine="229"/>
        <w:spacing w:after="0" w:line="271" w:lineRule="auto"/>
        <w:rPr>
          <w:sz w:val="20"/>
          <w:szCs w:val="20"/>
          <w:color w:val="auto"/>
        </w:rPr>
      </w:pPr>
      <w:r>
        <w:rPr>
          <w:rFonts w:ascii="Arial" w:cs="Arial" w:eastAsia="Arial" w:hAnsi="Arial"/>
          <w:sz w:val="17"/>
          <w:szCs w:val="17"/>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has produced substantial stress, volatility, illiquidity and disruption of global credit and other financial markets in the past. Any economic uncertainty can negatively affect the businesses and purchasing decisions of companies in the industries we serve. The potential for disruptions presents considerable risks to our businesses and operations. If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229"/>
        <w:spacing w:after="0" w:line="296" w:lineRule="auto"/>
        <w:rPr>
          <w:sz w:val="20"/>
          <w:szCs w:val="20"/>
          <w:color w:val="auto"/>
        </w:rPr>
      </w:pPr>
      <w:r>
        <w:rPr>
          <w:rFonts w:ascii="Arial" w:cs="Arial" w:eastAsia="Arial" w:hAnsi="Arial"/>
          <w:sz w:val="16"/>
          <w:szCs w:val="16"/>
          <w:color w:val="auto"/>
        </w:rPr>
        <w:t>For example, on June 23, 2016, the United Kingdom (“U.K.”) held a referendum in which voters approved an exit from the E.U., commonly referred to as “Brexit.” As a result of the referendum, on March 29, 2017, the U.K. triggered Article 50 of the Lisbon Treaty formally starting negotiations regarding its exit from the E.U. As a result of the referendum and the ongoing uncertainty regarding the timing of Brexit, the future relationship between the U.K. and the E.U. remains unknown. Brexit has caused, and may continue to create, volatility in global stock markets and regional and global economic uncertainty, which may cause our customers to closely monitor their costs and reduce their spending budget on our products and services.</w:t>
      </w:r>
    </w:p>
    <w:p>
      <w:pPr>
        <w:spacing w:after="0" w:line="10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In March 2020, the World Health Organization declared the outbreak of COVID-19, which continues to spread throughout the U.S. and the world, to be a pandemic. As is possible with any significant outbreak of epidemic, pandemic, or contagious diseases, the COVID-19 outbreak has resulted in a widespread health crisis that has adversely affected broader economies and financial markets. COVID-19 has caused shutdowns to businesses and cities worldwide and has disrupted supply chains, business operations, travel, and consumer confidence.</w:t>
      </w:r>
    </w:p>
    <w:p>
      <w:pPr>
        <w:spacing w:after="0" w:line="133" w:lineRule="exact"/>
        <w:rPr>
          <w:sz w:val="20"/>
          <w:szCs w:val="20"/>
          <w:color w:val="auto"/>
        </w:rPr>
      </w:pPr>
    </w:p>
    <w:p>
      <w:pPr>
        <w:jc w:val="both"/>
        <w:ind w:firstLine="216"/>
        <w:spacing w:after="0" w:line="296" w:lineRule="auto"/>
        <w:rPr>
          <w:sz w:val="20"/>
          <w:szCs w:val="20"/>
          <w:color w:val="auto"/>
        </w:rPr>
      </w:pPr>
      <w:r>
        <w:rPr>
          <w:rFonts w:ascii="Arial" w:cs="Arial" w:eastAsia="Arial" w:hAnsi="Arial"/>
          <w:sz w:val="16"/>
          <w:szCs w:val="16"/>
          <w:color w:val="auto"/>
        </w:rPr>
        <w:t>Whether or not recent or new legislative or regulatory initiatives or other efforts successfully stabilize and add liquidity to the financial markets,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 operations outside the U.S., we are subject to additional risks that may harm our business, financial condition or results of operations.</w:t>
      </w:r>
    </w:p>
    <w:p>
      <w:pPr>
        <w:spacing w:after="0" w:line="24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 growing portion of our revenues is derived from international sales. During fiscal 2019, 34%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18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political conditions in countries where we sell our products and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staffing and efficiently managing our operations in multiple geographic locations and in various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effects of a variety of foreign laws and regulations, including restrictions on access to personal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import and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tariffs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212529"/>
        </w:rPr>
        <w:t>terrorism, war, natural disasters and pandemics, including the 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and delays in translating products and related documentation into foreign languages.</w:t>
      </w:r>
    </w:p>
    <w:p>
      <w:pPr>
        <w:spacing w:after="0" w:line="211" w:lineRule="exact"/>
        <w:rPr>
          <w:sz w:val="20"/>
          <w:szCs w:val="20"/>
          <w:color w:val="auto"/>
        </w:rPr>
      </w:pPr>
    </w:p>
    <w:p>
      <w:pPr>
        <w:jc w:val="both"/>
        <w:ind w:firstLine="229"/>
        <w:spacing w:after="0" w:line="311" w:lineRule="auto"/>
        <w:rPr>
          <w:sz w:val="20"/>
          <w:szCs w:val="20"/>
          <w:color w:val="auto"/>
        </w:rPr>
      </w:pPr>
      <w:r>
        <w:rPr>
          <w:rFonts w:ascii="Arial" w:cs="Arial" w:eastAsia="Arial" w:hAnsi="Arial"/>
          <w:sz w:val="16"/>
          <w:szCs w:val="16"/>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149" w:lineRule="exact"/>
        <w:rPr>
          <w:sz w:val="20"/>
          <w:szCs w:val="20"/>
          <w:color w:val="auto"/>
        </w:rPr>
      </w:pPr>
    </w:p>
    <w:p>
      <w:pPr>
        <w:jc w:val="both"/>
        <w:ind w:firstLine="229"/>
        <w:spacing w:after="0" w:line="263" w:lineRule="auto"/>
        <w:rPr>
          <w:sz w:val="20"/>
          <w:szCs w:val="20"/>
          <w:color w:val="auto"/>
        </w:rPr>
      </w:pPr>
      <w:r>
        <w:rPr>
          <w:rFonts w:ascii="Arial" w:cs="Arial" w:eastAsia="Arial" w:hAnsi="Arial"/>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70"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18"/>
          <w:szCs w:val="18"/>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19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Average</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88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per Share</w:t>
            </w:r>
          </w:p>
        </w:tc>
        <w:tc>
          <w:tcPr>
            <w:tcW w:w="1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 (2)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1, 2020 through January 31,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62,171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400.43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37,728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145,323,067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February 1, 2020 through February 29, 2020</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70,606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407.89</w:t>
            </w:r>
          </w:p>
        </w:tc>
        <w:tc>
          <w:tcPr>
            <w:tcW w:w="100" w:type="dxa"/>
            <w:vAlign w:val="bottom"/>
          </w:tcPr>
          <w:p>
            <w:pPr>
              <w:spacing w:after="0"/>
              <w:rPr>
                <w:sz w:val="21"/>
                <w:szCs w:val="21"/>
                <w:color w:val="auto"/>
              </w:rPr>
            </w:pPr>
          </w:p>
        </w:tc>
        <w:tc>
          <w:tcPr>
            <w:tcW w:w="1560" w:type="dxa"/>
            <w:vAlign w:val="bottom"/>
          </w:tcPr>
          <w:p>
            <w:pPr>
              <w:jc w:val="right"/>
              <w:ind w:right="40"/>
              <w:spacing w:after="0"/>
              <w:rPr>
                <w:sz w:val="20"/>
                <w:szCs w:val="20"/>
                <w:color w:val="auto"/>
              </w:rPr>
            </w:pPr>
            <w:r>
              <w:rPr>
                <w:rFonts w:ascii="Arial" w:cs="Arial" w:eastAsia="Arial" w:hAnsi="Arial"/>
                <w:sz w:val="18"/>
                <w:szCs w:val="18"/>
                <w:color w:val="auto"/>
              </w:rPr>
              <w:t>70,000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
              <w:spacing w:after="0"/>
              <w:rPr>
                <w:sz w:val="20"/>
                <w:szCs w:val="20"/>
                <w:color w:val="auto"/>
              </w:rPr>
            </w:pPr>
            <w:r>
              <w:rPr>
                <w:rFonts w:ascii="Arial" w:cs="Arial" w:eastAsia="Arial" w:hAnsi="Arial"/>
                <w:sz w:val="18"/>
                <w:szCs w:val="18"/>
                <w:color w:val="auto"/>
              </w:rPr>
              <w:t>116,769,923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March 1, 2020 through March 31,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184,837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288.46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181,868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64,323,008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317,614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336.93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289,596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1"/>
              <w:spacing w:after="0"/>
              <w:rPr>
                <w:sz w:val="20"/>
                <w:szCs w:val="20"/>
                <w:color w:val="auto"/>
              </w:rPr>
            </w:pPr>
            <w:r>
              <w:rPr>
                <w:rFonts w:ascii="Arial" w:cs="Arial" w:eastAsia="Arial" w:hAnsi="Arial"/>
                <w:sz w:val="18"/>
                <w:szCs w:val="18"/>
                <w:color w:val="auto"/>
              </w:rPr>
              <w:t>64,323,008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20" w:hanging="332"/>
        <w:spacing w:after="0" w:line="258"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28,018 shares delivered in satisfaction of the tax withholding obligations resulting from the vesting of restricted stock units held by employees during the quarter ended March 31, 2020.</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July 2019, our Board of Directors approved a stock repurchase program following the completion of our previous program. This program was open-ended and authorized repurchases of shares of our common stock up to an aggregate cost of $250.0 million in the open market or in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13887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26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p>
    <w:p>
      <w:pPr>
        <w:spacing w:after="0" w:line="144" w:lineRule="exact"/>
        <w:rPr>
          <w:sz w:val="20"/>
          <w:szCs w:val="20"/>
          <w:color w:val="auto"/>
        </w:rPr>
      </w:pPr>
    </w:p>
    <w:p>
      <w:pPr>
        <w:jc w:val="center"/>
        <w:ind w:right="92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200" w:lineRule="exact"/>
        <w:rPr>
          <w:sz w:val="20"/>
          <w:szCs w:val="20"/>
          <w:color w:val="auto"/>
        </w:rPr>
      </w:pPr>
    </w:p>
    <w:p>
      <w:pPr>
        <w:spacing w:after="0" w:line="316"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4"/>
          <w:szCs w:val="14"/>
          <w:b w:val="1"/>
          <w:bCs w:val="1"/>
          <w:u w:val="single" w:color="auto"/>
          <w:color w:val="auto"/>
        </w:rPr>
        <w:t>Number</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50" w:lineRule="exact"/>
        <w:rPr>
          <w:sz w:val="20"/>
          <w:szCs w:val="20"/>
          <w:color w:val="auto"/>
        </w:rPr>
      </w:pPr>
    </w:p>
    <w:p>
      <w:pPr>
        <w:spacing w:after="0" w:line="277"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Composite Restated Certificate of Incorporation of Fair Isaac Corporation (incorporated by reference to Exhibit 3.2 to the Company’s</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Form 10-Q for the quarter ended December 31, 2009 (file no. 001-11689)).</w:t>
        </w:r>
      </w:hyperlink>
    </w:p>
    <w:p>
      <w:pPr>
        <w:spacing w:after="0" w:line="130" w:lineRule="exact"/>
        <w:rPr>
          <w:sz w:val="20"/>
          <w:szCs w:val="20"/>
          <w:color w:val="auto"/>
        </w:rPr>
      </w:pPr>
    </w:p>
    <w:p>
      <w:pPr>
        <w:ind w:right="460"/>
        <w:spacing w:after="0" w:line="277"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By-laws of Fair Isaac Corporation (incorporated by reference to Exhibit 3.1 to the Company’s Form 10-Q for the quarter ended</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December 31, 2009 (file no. 001-11689)).</w:t>
        </w:r>
      </w:hyperlink>
    </w:p>
    <w:p>
      <w:pPr>
        <w:spacing w:after="0" w:line="113" w:lineRule="exact"/>
        <w:rPr>
          <w:sz w:val="20"/>
          <w:szCs w:val="20"/>
          <w:color w:val="auto"/>
        </w:rPr>
      </w:pPr>
    </w:p>
    <w:p>
      <w:pPr>
        <w:sectPr>
          <w:pgSz w:w="11900" w:h="16838" w:orient="portrait"/>
          <w:cols w:equalWidth="0" w:num="2">
            <w:col w:w="1280" w:space="220"/>
            <w:col w:w="9620"/>
          </w:cols>
          <w:pgMar w:left="320" w:top="125" w:right="459" w:bottom="1440" w:gutter="0" w:footer="0" w:header="0"/>
        </w:sectPr>
      </w:pPr>
    </w:p>
    <w:tbl>
      <w:tblPr>
        <w:tblLayout w:type="fixed"/>
        <w:tblInd w:w="340" w:type="dxa"/>
        <w:tblCellMar>
          <w:top w:w="0" w:type="dxa"/>
          <w:left w:w="0" w:type="dxa"/>
          <w:bottom w:w="0" w:type="dxa"/>
          <w:right w:w="0" w:type="dxa"/>
        </w:tblCellMar>
      </w:tblPr>
      <w:tr>
        <w:trPr>
          <w:trHeight w:val="207"/>
        </w:trPr>
        <w:tc>
          <w:tcPr>
            <w:tcW w:w="1160" w:type="dxa"/>
            <w:vAlign w:val="bottom"/>
            <w:vMerge w:val="restart"/>
          </w:tcPr>
          <w:p>
            <w:pPr>
              <w:jc w:val="center"/>
              <w:ind w:right="390"/>
              <w:spacing w:after="0"/>
              <w:rPr>
                <w:sz w:val="20"/>
                <w:szCs w:val="20"/>
                <w:color w:val="auto"/>
              </w:rPr>
            </w:pPr>
            <w:r>
              <w:rPr>
                <w:rFonts w:ascii="Arial" w:cs="Arial" w:eastAsia="Arial" w:hAnsi="Arial"/>
                <w:sz w:val="18"/>
                <w:szCs w:val="18"/>
                <w:color w:val="auto"/>
                <w:w w:val="91"/>
              </w:rPr>
              <w:t>10.1</w:t>
            </w:r>
          </w:p>
        </w:tc>
        <w:tc>
          <w:tcPr>
            <w:tcW w:w="9560" w:type="dxa"/>
            <w:vAlign w:val="bottom"/>
            <w:tcBorders>
              <w:bottom w:val="single" w:sz="8" w:color="0000FF"/>
            </w:tcBorders>
            <w:gridSpan w:val="2"/>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Fair Isaac Corporation 2012 Long-Term Incentive Plan, as amended as of March 4, 2020 (incorporated by reference to Exhibit 4.3 to</w:t>
              </w:r>
            </w:hyperlink>
          </w:p>
        </w:tc>
        <w:tc>
          <w:tcPr>
            <w:tcW w:w="0" w:type="dxa"/>
            <w:vAlign w:val="bottom"/>
          </w:tcPr>
          <w:p>
            <w:pPr>
              <w:spacing w:after="0"/>
              <w:rPr>
                <w:sz w:val="1"/>
                <w:szCs w:val="1"/>
                <w:color w:val="auto"/>
              </w:rPr>
            </w:pPr>
          </w:p>
        </w:tc>
      </w:tr>
      <w:tr>
        <w:trPr>
          <w:trHeight w:val="128"/>
        </w:trPr>
        <w:tc>
          <w:tcPr>
            <w:tcW w:w="1160" w:type="dxa"/>
            <w:vAlign w:val="bottom"/>
            <w:vMerge w:val="continue"/>
          </w:tcPr>
          <w:p>
            <w:pPr>
              <w:spacing w:after="0"/>
              <w:rPr>
                <w:sz w:val="11"/>
                <w:szCs w:val="11"/>
                <w:color w:val="auto"/>
              </w:rPr>
            </w:pPr>
          </w:p>
        </w:tc>
        <w:tc>
          <w:tcPr>
            <w:tcW w:w="4680" w:type="dxa"/>
            <w:vAlign w:val="bottom"/>
            <w:vMerge w:val="restart"/>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the Company’s Form S-8, filed with the SEC on March 6, 2020).</w:t>
              </w:r>
            </w:hyperlink>
          </w:p>
        </w:tc>
        <w:tc>
          <w:tcPr>
            <w:tcW w:w="48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60" w:type="dxa"/>
            <w:vAlign w:val="bottom"/>
          </w:tcPr>
          <w:p>
            <w:pPr>
              <w:spacing w:after="0"/>
              <w:rPr>
                <w:sz w:val="5"/>
                <w:szCs w:val="5"/>
                <w:color w:val="auto"/>
              </w:rPr>
            </w:pPr>
          </w:p>
        </w:tc>
        <w:tc>
          <w:tcPr>
            <w:tcW w:w="4680" w:type="dxa"/>
            <w:vAlign w:val="bottom"/>
            <w:tcBorders>
              <w:bottom w:val="single" w:sz="8" w:color="0000FF"/>
            </w:tcBorders>
            <w:vMerge w:val="continue"/>
          </w:tcPr>
          <w:p>
            <w:pPr>
              <w:spacing w:after="0"/>
              <w:rPr>
                <w:sz w:val="5"/>
                <w:szCs w:val="5"/>
                <w:color w:val="auto"/>
              </w:rPr>
            </w:pPr>
          </w:p>
        </w:tc>
        <w:tc>
          <w:tcPr>
            <w:tcW w:w="4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3"/>
              </w:rPr>
              <w:t>31.1 *</w:t>
            </w:r>
          </w:p>
        </w:tc>
        <w:tc>
          <w:tcPr>
            <w:tcW w:w="9560" w:type="dxa"/>
            <w:vAlign w:val="bottom"/>
            <w:gridSpan w:val="2"/>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Rule 13a-14(a)/15d-14(a) Certifications of CEO.</w:t>
              </w:r>
            </w:hyperlink>
          </w:p>
        </w:tc>
        <w:tc>
          <w:tcPr>
            <w:tcW w:w="0" w:type="dxa"/>
            <w:vAlign w:val="bottom"/>
          </w:tcPr>
          <w:p>
            <w:pPr>
              <w:spacing w:after="0"/>
              <w:rPr>
                <w:sz w:val="1"/>
                <w:szCs w:val="1"/>
                <w:color w:val="auto"/>
              </w:rPr>
            </w:pPr>
          </w:p>
        </w:tc>
      </w:tr>
      <w:tr>
        <w:trPr>
          <w:trHeight w:val="392"/>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3"/>
              </w:rPr>
              <w:t>31.2 *</w:t>
            </w:r>
          </w:p>
        </w:tc>
        <w:tc>
          <w:tcPr>
            <w:tcW w:w="9560" w:type="dxa"/>
            <w:vAlign w:val="bottom"/>
            <w:gridSpan w:val="2"/>
          </w:tcPr>
          <w:p>
            <w:pPr>
              <w:spacing w:after="0"/>
              <w:rPr>
                <w:rFonts w:ascii="Arial" w:cs="Arial" w:eastAsia="Arial" w:hAnsi="Arial"/>
                <w:sz w:val="18"/>
                <w:szCs w:val="18"/>
                <w:color w:val="0000FF"/>
              </w:rPr>
            </w:pPr>
            <w:hyperlink w:anchor="page60">
              <w:r>
                <w:rPr>
                  <w:rFonts w:ascii="Arial" w:cs="Arial" w:eastAsia="Arial" w:hAnsi="Arial"/>
                  <w:sz w:val="18"/>
                  <w:szCs w:val="18"/>
                  <w:u w:val="single" w:color="auto"/>
                  <w:color w:val="0000FF"/>
                </w:rPr>
                <w:t>Rule 13a-14(a)/15d-14(a) Certifications of CFO</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392"/>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3"/>
              </w:rPr>
              <w:t>32.1 *</w:t>
            </w:r>
          </w:p>
        </w:tc>
        <w:tc>
          <w:tcPr>
            <w:tcW w:w="9560" w:type="dxa"/>
            <w:vAlign w:val="bottom"/>
            <w:gridSpan w:val="2"/>
          </w:tcPr>
          <w:p>
            <w:pPr>
              <w:spacing w:after="0"/>
              <w:rPr>
                <w:rFonts w:ascii="Arial" w:cs="Arial" w:eastAsia="Arial" w:hAnsi="Arial"/>
                <w:sz w:val="18"/>
                <w:szCs w:val="18"/>
                <w:color w:val="0000FF"/>
              </w:rPr>
            </w:pPr>
            <w:hyperlink w:anchor="page61">
              <w:r>
                <w:rPr>
                  <w:rFonts w:ascii="Arial" w:cs="Arial" w:eastAsia="Arial" w:hAnsi="Arial"/>
                  <w:sz w:val="18"/>
                  <w:szCs w:val="18"/>
                  <w:u w:val="single" w:color="auto"/>
                  <w:color w:val="0000FF"/>
                </w:rPr>
                <w:t>Section 1350 Certification of CEO</w:t>
              </w:r>
              <w:r>
                <w:rPr>
                  <w:rFonts w:ascii="Arial" w:cs="Arial" w:eastAsia="Arial" w:hAnsi="Arial"/>
                  <w:sz w:val="18"/>
                  <w:szCs w:val="18"/>
                  <w:color w:val="0000FF"/>
                </w:rPr>
                <w:t>.</w:t>
              </w:r>
            </w:hyperlink>
          </w:p>
        </w:tc>
        <w:tc>
          <w:tcPr>
            <w:tcW w:w="0" w:type="dxa"/>
            <w:vAlign w:val="bottom"/>
          </w:tcPr>
          <w:p>
            <w:pPr>
              <w:spacing w:after="0"/>
              <w:rPr>
                <w:sz w:val="1"/>
                <w:szCs w:val="1"/>
                <w:color w:val="auto"/>
              </w:rPr>
            </w:pPr>
          </w:p>
        </w:tc>
      </w:tr>
      <w:tr>
        <w:trPr>
          <w:trHeight w:val="392"/>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3"/>
              </w:rPr>
              <w:t>32.2 *</w:t>
            </w:r>
          </w:p>
        </w:tc>
        <w:tc>
          <w:tcPr>
            <w:tcW w:w="9560" w:type="dxa"/>
            <w:vAlign w:val="bottom"/>
            <w:gridSpan w:val="2"/>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Section 1350 Certification of CFO.</w:t>
              </w:r>
            </w:hyperlink>
          </w:p>
        </w:tc>
        <w:tc>
          <w:tcPr>
            <w:tcW w:w="0" w:type="dxa"/>
            <w:vAlign w:val="bottom"/>
          </w:tcPr>
          <w:p>
            <w:pPr>
              <w:spacing w:after="0"/>
              <w:rPr>
                <w:sz w:val="1"/>
                <w:szCs w:val="1"/>
                <w:color w:val="auto"/>
              </w:rPr>
            </w:pPr>
          </w:p>
        </w:tc>
      </w:tr>
      <w:tr>
        <w:trPr>
          <w:trHeight w:val="391"/>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2"/>
              </w:rPr>
              <w:t>101.INS</w:t>
            </w:r>
          </w:p>
        </w:tc>
        <w:tc>
          <w:tcPr>
            <w:tcW w:w="95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tcPr>
          <w:p>
            <w:pPr>
              <w:jc w:val="center"/>
              <w:ind w:right="370"/>
              <w:spacing w:after="0"/>
              <w:rPr>
                <w:sz w:val="20"/>
                <w:szCs w:val="20"/>
                <w:color w:val="auto"/>
              </w:rPr>
            </w:pPr>
            <w:r>
              <w:rPr>
                <w:rFonts w:ascii="Arial" w:cs="Arial" w:eastAsia="Arial" w:hAnsi="Arial"/>
                <w:sz w:val="18"/>
                <w:szCs w:val="18"/>
                <w:color w:val="auto"/>
                <w:w w:val="90"/>
              </w:rPr>
              <w:t>101.SCH</w:t>
            </w: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7"/>
              </w:rPr>
              <w:t>101.CAL</w:t>
            </w: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1"/>
        </w:trPr>
        <w:tc>
          <w:tcPr>
            <w:tcW w:w="1160" w:type="dxa"/>
            <w:vAlign w:val="bottom"/>
          </w:tcPr>
          <w:p>
            <w:pPr>
              <w:jc w:val="center"/>
              <w:ind w:right="370"/>
              <w:spacing w:after="0"/>
              <w:rPr>
                <w:sz w:val="20"/>
                <w:szCs w:val="20"/>
                <w:color w:val="auto"/>
              </w:rPr>
            </w:pPr>
            <w:r>
              <w:rPr>
                <w:rFonts w:ascii="Arial" w:cs="Arial" w:eastAsia="Arial" w:hAnsi="Arial"/>
                <w:sz w:val="18"/>
                <w:szCs w:val="18"/>
                <w:color w:val="auto"/>
                <w:w w:val="92"/>
              </w:rPr>
              <w:t>101.DEF</w:t>
            </w: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98"/>
              </w:rPr>
              <w:t>101.LAB</w:t>
            </w: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1"/>
        </w:trPr>
        <w:tc>
          <w:tcPr>
            <w:tcW w:w="1160" w:type="dxa"/>
            <w:vAlign w:val="bottom"/>
          </w:tcPr>
          <w:p>
            <w:pPr>
              <w:jc w:val="center"/>
              <w:ind w:right="390"/>
              <w:spacing w:after="0"/>
              <w:rPr>
                <w:sz w:val="20"/>
                <w:szCs w:val="20"/>
                <w:color w:val="auto"/>
              </w:rPr>
            </w:pPr>
            <w:r>
              <w:rPr>
                <w:rFonts w:ascii="Arial" w:cs="Arial" w:eastAsia="Arial" w:hAnsi="Arial"/>
                <w:sz w:val="18"/>
                <w:szCs w:val="18"/>
                <w:color w:val="auto"/>
                <w:w w:val="88"/>
              </w:rPr>
              <w:t>101.PRE</w:t>
            </w: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500" w:hanging="952"/>
        <w:spacing w:after="0"/>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362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125" w:right="4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FAIR ISAAC CORPORATION</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200"/>
              <w:spacing w:after="0"/>
              <w:rPr>
                <w:sz w:val="20"/>
                <w:szCs w:val="20"/>
                <w:color w:val="auto"/>
              </w:rPr>
            </w:pPr>
            <w:r>
              <w:rPr>
                <w:rFonts w:ascii="Arial" w:cs="Arial" w:eastAsia="Arial" w:hAnsi="Arial"/>
                <w:sz w:val="18"/>
                <w:szCs w:val="18"/>
                <w:color w:val="auto"/>
              </w:rPr>
              <w:t>April 29, 2020</w:t>
            </w:r>
          </w:p>
        </w:tc>
        <w:tc>
          <w:tcPr>
            <w:tcW w:w="5380" w:type="dxa"/>
            <w:vAlign w:val="bottom"/>
          </w:tcPr>
          <w:p>
            <w:pPr>
              <w:spacing w:after="0"/>
              <w:rPr>
                <w:sz w:val="20"/>
                <w:szCs w:val="20"/>
                <w:color w:val="auto"/>
              </w:rPr>
            </w:pPr>
          </w:p>
        </w:tc>
      </w:tr>
      <w:tr>
        <w:trPr>
          <w:trHeight w:val="594"/>
        </w:trPr>
        <w:tc>
          <w:tcPr>
            <w:tcW w:w="70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rPr>
              <w:t>/s/ MICHAEL I. MCLAUGHLIN</w:t>
            </w:r>
          </w:p>
        </w:tc>
      </w:tr>
      <w:tr>
        <w:trPr>
          <w:trHeight w:val="27"/>
        </w:trPr>
        <w:tc>
          <w:tcPr>
            <w:tcW w:w="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6"/>
              </w:rPr>
              <w:t>Michael I. McLaughlin</w:t>
            </w:r>
          </w:p>
        </w:tc>
      </w:tr>
      <w:tr>
        <w:trPr>
          <w:trHeight w:val="270"/>
        </w:trPr>
        <w:tc>
          <w:tcPr>
            <w:tcW w:w="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270"/>
        </w:trPr>
        <w:tc>
          <w:tcPr>
            <w:tcW w:w="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2"/>
              </w:rPr>
              <w:t>(for Registrant as duly authorized officer and</w:t>
            </w:r>
          </w:p>
        </w:tc>
      </w:tr>
      <w:tr>
        <w:trPr>
          <w:trHeight w:val="270"/>
        </w:trPr>
        <w:tc>
          <w:tcPr>
            <w:tcW w:w="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as Principal Financial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5120" w:type="dxa"/>
            <w:vAlign w:val="bottom"/>
          </w:tcPr>
          <w:p>
            <w:pPr>
              <w:ind w:left="200"/>
              <w:spacing w:after="0"/>
              <w:rPr>
                <w:sz w:val="20"/>
                <w:szCs w:val="20"/>
                <w:color w:val="auto"/>
              </w:rPr>
            </w:pPr>
            <w:r>
              <w:rPr>
                <w:rFonts w:ascii="Arial" w:cs="Arial" w:eastAsia="Arial" w:hAnsi="Arial"/>
                <w:sz w:val="18"/>
                <w:szCs w:val="18"/>
                <w:color w:val="auto"/>
              </w:rPr>
              <w:t>April 29, 2020</w:t>
            </w:r>
          </w:p>
        </w:tc>
        <w:tc>
          <w:tcPr>
            <w:tcW w:w="5380" w:type="dxa"/>
            <w:vAlign w:val="bottom"/>
          </w:tcPr>
          <w:p>
            <w:pPr>
              <w:spacing w:after="0"/>
              <w:rPr>
                <w:sz w:val="24"/>
                <w:szCs w:val="24"/>
                <w:color w:val="auto"/>
              </w:rPr>
            </w:pPr>
          </w:p>
        </w:tc>
      </w:tr>
      <w:tr>
        <w:trPr>
          <w:trHeight w:val="594"/>
        </w:trPr>
        <w:tc>
          <w:tcPr>
            <w:tcW w:w="70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spacing w:after="0"/>
              <w:rPr>
                <w:sz w:val="20"/>
                <w:szCs w:val="20"/>
                <w:color w:val="auto"/>
              </w:rPr>
            </w:pPr>
            <w:r>
              <w:rPr>
                <w:rFonts w:ascii="Arial" w:cs="Arial" w:eastAsia="Arial" w:hAnsi="Arial"/>
                <w:sz w:val="18"/>
                <w:szCs w:val="18"/>
                <w:color w:val="auto"/>
                <w:w w:val="98"/>
              </w:rPr>
              <w:t>/s/ MICHAEL S. LEONARD</w:t>
            </w:r>
          </w:p>
        </w:tc>
      </w:tr>
      <w:tr>
        <w:trPr>
          <w:trHeight w:val="27"/>
        </w:trPr>
        <w:tc>
          <w:tcPr>
            <w:tcW w:w="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1"/>
              </w:rPr>
              <w:t>Michael S. Leonard</w:t>
            </w:r>
          </w:p>
        </w:tc>
      </w:tr>
      <w:tr>
        <w:trPr>
          <w:trHeight w:val="256"/>
        </w:trPr>
        <w:tc>
          <w:tcPr>
            <w:tcW w:w="70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1"/>
              </w:rPr>
              <w:t>Vice President and Chief Accounting Officer</w:t>
            </w:r>
          </w:p>
        </w:tc>
      </w:tr>
      <w:tr>
        <w:trPr>
          <w:trHeight w:val="230"/>
        </w:trPr>
        <w:tc>
          <w:tcPr>
            <w:tcW w:w="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891"/>
        </w:trPr>
        <w:tc>
          <w:tcPr>
            <w:tcW w:w="700" w:type="dxa"/>
            <w:vAlign w:val="bottom"/>
          </w:tcPr>
          <w:p>
            <w:pPr>
              <w:spacing w:after="0"/>
              <w:rPr>
                <w:sz w:val="24"/>
                <w:szCs w:val="24"/>
                <w:color w:val="auto"/>
              </w:rPr>
            </w:pPr>
          </w:p>
        </w:tc>
        <w:tc>
          <w:tcPr>
            <w:tcW w:w="5120" w:type="dxa"/>
            <w:vAlign w:val="bottom"/>
          </w:tcPr>
          <w:p>
            <w:pPr>
              <w:ind w:left="4800"/>
              <w:spacing w:after="0"/>
              <w:rPr>
                <w:sz w:val="20"/>
                <w:szCs w:val="20"/>
                <w:color w:val="auto"/>
              </w:rPr>
            </w:pPr>
            <w:r>
              <w:rPr>
                <w:rFonts w:ascii="Arial" w:cs="Arial" w:eastAsia="Arial" w:hAnsi="Arial"/>
                <w:sz w:val="18"/>
                <w:szCs w:val="18"/>
                <w:color w:val="auto"/>
              </w:rPr>
              <w:t>55</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0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I. McLaughlin,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Fair Isaac Corporation;</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0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I. McLaughlin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6" w:lineRule="exact"/>
        <w:rPr>
          <w:sz w:val="20"/>
          <w:szCs w:val="20"/>
          <w:color w:val="auto"/>
        </w:rPr>
      </w:pPr>
    </w:p>
    <w:p>
      <w:pPr>
        <w:ind w:left="40"/>
        <w:spacing w:after="0"/>
        <w:tabs>
          <w:tab w:leader="none" w:pos="700" w:val="left"/>
          <w:tab w:leader="none" w:pos="5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2020</w:t>
      </w:r>
      <w:r>
        <w:rPr>
          <w:sz w:val="20"/>
          <w:szCs w:val="20"/>
          <w:color w:val="auto"/>
        </w:rPr>
        <w:tab/>
      </w:r>
      <w:r>
        <w:rPr>
          <w:rFonts w:ascii="Arial" w:cs="Arial" w:eastAsia="Arial" w:hAnsi="Arial"/>
          <w:sz w:val="17"/>
          <w:szCs w:val="17"/>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9173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William J. Lansing</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UNDER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86" w:lineRule="exact"/>
        <w:rPr>
          <w:sz w:val="20"/>
          <w:szCs w:val="20"/>
          <w:color w:val="auto"/>
        </w:rPr>
      </w:pPr>
    </w:p>
    <w:p>
      <w:pPr>
        <w:ind w:left="40"/>
        <w:spacing w:after="0"/>
        <w:tabs>
          <w:tab w:leader="none" w:pos="700" w:val="left"/>
          <w:tab w:leader="none" w:pos="5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2020</w:t>
      </w:r>
      <w:r>
        <w:rPr>
          <w:sz w:val="20"/>
          <w:szCs w:val="20"/>
          <w:color w:val="auto"/>
        </w:rPr>
        <w:tab/>
      </w:r>
      <w:r>
        <w:rPr>
          <w:rFonts w:ascii="Arial" w:cs="Arial" w:eastAsia="Arial" w:hAnsi="Arial"/>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9173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57"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Michael I. McLaughlin</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9"/>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
      <w:numFmt w:val="bullet"/>
      <w:start w:val="1"/>
    </w:lvl>
    <w:lvl w:ilvl="1">
      <w:lvlJc w:val="left"/>
      <w:lvlText w:val="%2"/>
      <w:numFmt w:val="decimal"/>
      <w:start w:val="104"/>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29" Type="http://schemas.openxmlformats.org/officeDocument/2006/relationships/hyperlink" Target="http://www.sec.gov/Archives/edgar/data/814547/000095012310009970/c56194exv3w2.htm" TargetMode="External"/><Relationship Id="rId30" Type="http://schemas.openxmlformats.org/officeDocument/2006/relationships/hyperlink" Target="http://www.sec.gov/Archives/edgar/data/814547/000095012310009970/c56194exv3w1.htm" TargetMode="External"/><Relationship Id="rId31" Type="http://schemas.openxmlformats.org/officeDocument/2006/relationships/hyperlink" Target="http://www.sec.gov/Archives/edgar/data/814547/000119312520065097/0001193125-20-065097-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2020-04-30T17:23:49Z</dcterms:created>
  <dcterms:modified xsi:type="dcterms:W3CDTF">2020-04-30T17:23:49Z</dcterms:modified>
</cp:coreProperties>
</file>