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566d8k.htm"/>
      <w:bookmarkStart w:id="1" w:name="ksd925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FAIR ISAAC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001-11689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94-1499887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 West Mendenhall, Suite 105</w:t>
            </w:r>
          </w:p>
          <w:p>
            <w:pPr>
              <w:pStyle w:val="TableContents"/>
              <w:bidi w:val="0"/>
              <w:spacing w:before="0" w:after="20"/>
              <w:jc w:val="center"/>
              <w:rPr>
                <w:rFonts w:ascii="Times New Roman" w:hAnsi="Times New Roman"/>
                <w:b/>
                <w:sz w:val="20"/>
              </w:rPr>
            </w:pPr>
            <w:r>
              <w:rPr>
                <w:rFonts w:ascii="Times New Roman" w:hAnsi="Times New Roman"/>
                <w:b/>
                <w:sz w:val="20"/>
              </w:rPr>
              <w:t>Bozeman, Montana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59715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406-982-7276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FICO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11, 2026, Fair Isaac Corporation (the “Company”) issued a press release announcing the pricing of its private offering to eligible purchasers of $1.0 billion aggregate principal amount of Senior Notes due 2034 (the “Notes Offering”). In accordance with Rule 135(c) of the Securities Act, a copy of this press release is being filed as Exhibit 99.1 to this Current Report on Form 8-K. Accordingly, this notice is not intended to and does not constitute an offer to sell nor a solicitation for an offer to purchase any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Notes Offering to repay certain indebtedness outstanding under its Third Amended and Restated Credit Agreement among the Company, the lenders party thereto, Wells Fargo Bank, National Association, Wells Fargo Securities, LLC and BofA Securities, Inc., dated May 13, 2025, to fund the redemption in full of $400 million aggregate principal amount of the 5.25% Senior Notes due 2026 that were issued on May 8, 2018 (the “2018 Senior Notes”), to pay related fees and expenses, and for general corporate purposes, which may include repurchases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 notice of redemption of the 2018 Senior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registered under the Securities Act or any state securities laws and may not be offered or sold in the United States absent registration or an applicable exemption from the registration requirements of the Securities Act and any applicable state securities laws.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92566dex991.htm">
              <w:r>
                <w:rPr>
                  <w:rStyle w:val="InternetLink"/>
                </w:rPr>
                <w:t xml:space="preserve">Notes Offering Pricing Press Release dated March 11,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320"/>
        <w:gridCol w:w="60"/>
        <w:gridCol w:w="5075"/>
      </w:tblGrid>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pPr>
            <w:r>
              <w:rPr/>
              <w:t>FAIR ISAAC CORPORATION</w:t>
            </w:r>
          </w:p>
        </w:tc>
      </w:tr>
      <w:tr>
        <w:trPr/>
        <w:tc>
          <w:tcPr>
            <w:tcW w:w="32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P. Weber</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Steven P. Weber</w:t>
            </w:r>
          </w:p>
        </w:tc>
      </w:tr>
      <w:tr>
        <w:trPr/>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11, 2026 </w:t>
      </w:r>
    </w:p>
    <w:p>
      <w:pPr>
        <w:pStyle w:val="TextBody"/>
        <w:bidi w:val="0"/>
        <w:spacing w:before="0" w:after="0"/>
        <w:jc w:val="right"/>
        <w:rPr>
          <w:rFonts w:ascii="Times New Roman" w:hAnsi="Times New Roman"/>
          <w:b/>
          <w:sz w:val="20"/>
        </w:rPr>
      </w:pPr>
      <w:bookmarkStart w:id="2" w:name="d92566dex991.htm"/>
      <w:bookmarkStart w:id="3" w:name="ksd9256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6192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8191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FICO Announces Pricing of $1.0 Billion in Senior Notes </w:t>
      </w:r>
    </w:p>
    <w:p>
      <w:pPr>
        <w:pStyle w:val="TextBody"/>
        <w:bidi w:val="0"/>
        <w:spacing w:before="240" w:after="0"/>
        <w:jc w:val="left"/>
        <w:rPr>
          <w:rFonts w:ascii="Times New Roman" w:hAnsi="Times New Roman"/>
          <w:sz w:val="20"/>
        </w:rPr>
      </w:pPr>
      <w:r>
        <w:rPr>
          <w:rFonts w:ascii="Times New Roman" w:hAnsi="Times New Roman"/>
          <w:b/>
          <w:sz w:val="20"/>
        </w:rPr>
        <w:t>Bozeman, MT – March</w:t>
      </w:r>
      <w:r>
        <w:rPr>
          <w:rFonts w:ascii="Times New Roman" w:hAnsi="Times New Roman"/>
          <w:sz w:val="20"/>
        </w:rPr>
        <w:t> </w:t>
      </w:r>
      <w:r>
        <w:rPr>
          <w:rFonts w:ascii="Times New Roman" w:hAnsi="Times New Roman"/>
          <w:b/>
          <w:sz w:val="20"/>
        </w:rPr>
        <w:t>11, 2026 –</w:t>
      </w:r>
      <w:r>
        <w:rPr>
          <w:rFonts w:ascii="Times New Roman" w:hAnsi="Times New Roman"/>
          <w:sz w:val="20"/>
        </w:rPr>
        <w:t xml:space="preserve"> Fair Isaac Corporation (NYSE: FICO) announced today that it priced $1.0 billion in aggregate principal amount of 6.250% Senior Notes due 2034 (the “Notes”) in a private offering that is exempt from registration under the Securities Act of 1933, as amended (the “Securities Act”). The Notes were priced to investors at 100% of their principal amount and are senior unsecured obligations of FICO. </w:t>
      </w:r>
    </w:p>
    <w:p>
      <w:pPr>
        <w:pStyle w:val="TextBody"/>
        <w:bidi w:val="0"/>
        <w:spacing w:before="240" w:after="0"/>
        <w:jc w:val="left"/>
        <w:rPr>
          <w:rFonts w:ascii="Times New Roman" w:hAnsi="Times New Roman"/>
          <w:sz w:val="20"/>
        </w:rPr>
      </w:pPr>
      <w:r>
        <w:rPr>
          <w:rFonts w:ascii="Times New Roman" w:hAnsi="Times New Roman"/>
          <w:sz w:val="20"/>
        </w:rPr>
        <w:t xml:space="preserve">FICO intends to use the net proceeds from the offering of the Notes to repay certain indebtedness outstanding under its existing unsecured revolving credit facility, to fund the redemption in full of $400 million aggregate principal amount of the 5.25% Senior Notes due 2026 that were issued on May 8, 2018 (the “2018 Senior Notes”), to pay related fees and expenses, and for general corporate purposes which may include repurchases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FICO expects to close on the sale of the Notes on March 20,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on March 11, 2026, FICO provided conditional notice of its intent to redeem the 2018 Senior Notes on March 26, 2026 subject to the successful issuance of the Notes on terms and in an aggregate principal amount satisfactory to FICO. This press release does not constitute a notice of redemption with respect to the 2018 Senior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sold to persons reasonably believed to be qualified institutional buyers in reliance on the exemption from registration set forth in Rule 144A under the Securities Act and outside the United States to non-U.S. persons in reliance on the exemption from registration set forth in Regulation S under the Securities Act. The Notes have not been registered under the Securities Act or the securities laws of any other jurisdiction and may not be offered or sold in the United States absent registration or an applicable exemption from such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securities, nor shall there be any sales of the Notes in any jurisdiction in which such offer, solicitation or sale would be unlawful prior to registration or qualification under the securities laws of any such jurisdiction. This press release is being issued pursuant to, and in accordance with, Rule 135(c)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Statement Concerning Forward-Looking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risks related to the offering of the Notes, impact of macroeconomic conditions on FICO’s business, operations and personnel, the success of FICO’s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 of consumer credit and other data, the failure to protect such data, the failure to realize the anticipated benefits of any acquisitions, or divestitures, and material adverse developments or uncertainty in global economic conditions or in the markets or industries that FICO serves. Additional information on these risks and uncertainties and other factors that could affect FICO’s future results are described from time to time in FICO’s reports filed with the Securities and Exchange Commission (the “SEC”), including its Annual Report on Form 10-K for the year ended September 30, 2025 and its subsequent filing with the SEC. If any of these risks or uncertainties materialize,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Contacts: </w:t>
      </w:r>
    </w:p>
    <w:tbl>
      <w:tblPr>
        <w:tblW w:w="5000" w:type="pct"/>
        <w:jc w:val="center"/>
        <w:tblInd w:w="0" w:type="dxa"/>
        <w:tblLayout w:type="fixed"/>
        <w:tblCellMar>
          <w:top w:w="0" w:type="dxa"/>
          <w:left w:w="0" w:type="dxa"/>
          <w:bottom w:w="0" w:type="dxa"/>
          <w:right w:w="0" w:type="dxa"/>
        </w:tblCellMar>
      </w:tblPr>
      <w:tblGrid>
        <w:gridCol w:w="5082"/>
        <w:gridCol w:w="121"/>
        <w:gridCol w:w="5002"/>
      </w:tblGrid>
      <w:tr>
        <w:trPr/>
        <w:tc>
          <w:tcPr>
            <w:tcW w:w="50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b/>
                <w:sz w:val="20"/>
              </w:rPr>
            </w:pPr>
            <w:r>
              <w:rPr>
                <w:rFonts w:ascii="Times New Roman" w:hAnsi="Times New Roman"/>
                <w:b/>
                <w:sz w:val="20"/>
              </w:rPr>
              <w:t>FICO Contact:</w:t>
            </w:r>
          </w:p>
        </w:tc>
        <w:tc>
          <w:tcPr>
            <w:tcW w:w="12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left"/>
              <w:rPr>
                <w:b/>
              </w:rPr>
            </w:pPr>
            <w:r>
              <w:rPr>
                <w:b/>
              </w:rPr>
              <w:t>FICO Investors &amp; Analysts:</w:t>
            </w:r>
          </w:p>
        </w:tc>
      </w:tr>
      <w:tr>
        <w:trPr/>
        <w:tc>
          <w:tcPr>
            <w:tcW w:w="50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press@fico.com</w:t>
            </w:r>
          </w:p>
        </w:tc>
        <w:tc>
          <w:tcPr>
            <w:tcW w:w="12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0"/>
              <w:jc w:val="left"/>
              <w:rPr>
                <w:rFonts w:ascii="Times New Roman" w:hAnsi="Times New Roman"/>
                <w:sz w:val="20"/>
              </w:rPr>
            </w:pPr>
            <w:r>
              <w:rPr>
                <w:rFonts w:ascii="Times New Roman" w:hAnsi="Times New Roman"/>
                <w:sz w:val="20"/>
              </w:rPr>
              <w:t>Dave Singleton</w:t>
            </w:r>
          </w:p>
          <w:p>
            <w:pPr>
              <w:pStyle w:val="TableContents"/>
              <w:bidi w:val="0"/>
              <w:spacing w:before="0" w:after="0"/>
              <w:jc w:val="left"/>
              <w:rPr>
                <w:rFonts w:ascii="Times New Roman" w:hAnsi="Times New Roman"/>
                <w:sz w:val="20"/>
              </w:rPr>
            </w:pPr>
            <w:r>
              <w:rPr>
                <w:rFonts w:ascii="Times New Roman" w:hAnsi="Times New Roman"/>
                <w:sz w:val="20"/>
              </w:rPr>
              <w:t>Fair Isaac Corporation</w:t>
            </w:r>
          </w:p>
          <w:p>
            <w:pPr>
              <w:pStyle w:val="TableContents"/>
              <w:bidi w:val="0"/>
              <w:spacing w:before="0" w:after="0"/>
              <w:jc w:val="left"/>
              <w:rPr>
                <w:rFonts w:ascii="Times New Roman" w:hAnsi="Times New Roman"/>
                <w:sz w:val="20"/>
              </w:rPr>
            </w:pPr>
            <w:r>
              <w:rPr>
                <w:rFonts w:ascii="Times New Roman" w:hAnsi="Times New Roman"/>
                <w:sz w:val="20"/>
              </w:rPr>
              <w:t>(800) 459-7125</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investor@fico.com</w:t>
            </w:r>
          </w:p>
        </w:tc>
      </w:tr>
      <w:tr>
        <w:trPr/>
        <w:tc>
          <w:tcPr>
            <w:tcW w:w="508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1354</Words>
  <Characters>7322</Characters>
  <CharactersWithSpaces>8671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