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2388.xml.htm"/>
      <w:bookmarkStart w:id="1" w:name="ksmarketforms723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KELLY BRADEN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 MENDENHALL, SUITE 105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BOZEMAN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59715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FAIR ISAAC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FICO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10,872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456"/>
        <w:gridCol w:w="45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1,464.01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right to receive one share of Fair Isaac common stock contingent upon continued service on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has elected to take his annual cash retainer in the form of stock options pursuant to the Corporation's Compensation Program for Non-Employee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grant will vest on the date of the Corporation's 2027 Annual Shareholder Meeting ("ASM").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Carrie H. Darling,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75873" TargetMode="External"/><Relationship Id="rId5" Type="http://schemas.openxmlformats.org/officeDocument/2006/relationships/hyperlink" Target="http://www.sec.gov/cgi-bin/browse-edgar?action=getcompany&amp;CIK=00008145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679</Words>
  <Characters>3649</Characters>
  <CharactersWithSpaces>4237</CharactersWithSpaces>
  <Paragraphs>134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