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113030</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109855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2"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400" w:right="40" w:hanging="374"/>
        <w:spacing w:after="0" w:line="235" w:lineRule="auto"/>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121" w:lineRule="exact"/>
        <w:rPr>
          <w:sz w:val="24"/>
          <w:szCs w:val="24"/>
          <w:color w:val="auto"/>
        </w:rPr>
      </w:pPr>
    </w:p>
    <w:p>
      <w:pPr>
        <w:ind w:left="400" w:right="60" w:hanging="374"/>
        <w:spacing w:after="0" w:line="235" w:lineRule="auto"/>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to</w:t>
            </w:r>
          </w:p>
        </w:tc>
      </w:tr>
      <w:tr>
        <w:trPr>
          <w:trHeight w:val="385"/>
        </w:trPr>
        <w:tc>
          <w:tcPr>
            <w:tcW w:w="346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Commission File Number 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4399915</wp:posOffset>
            </wp:positionH>
            <wp:positionV relativeFrom="paragraph">
              <wp:posOffset>-256540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77470</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71" w:lineRule="exact"/>
        <w:rPr>
          <w:sz w:val="24"/>
          <w:szCs w:val="24"/>
          <w:color w:val="auto"/>
        </w:rPr>
      </w:pPr>
    </w:p>
    <w:tbl>
      <w:tblPr>
        <w:tblLayout w:type="fixed"/>
        <w:tblInd w:w="2080" w:type="dxa"/>
        <w:tblCellMar>
          <w:top w:w="0" w:type="dxa"/>
          <w:left w:w="0" w:type="dxa"/>
          <w:bottom w:w="0" w:type="dxa"/>
          <w:right w:w="0" w:type="dxa"/>
        </w:tblCellMar>
      </w:tblPr>
      <w:tr>
        <w:trPr>
          <w:trHeight w:val="234"/>
        </w:trPr>
        <w:tc>
          <w:tcPr>
            <w:tcW w:w="6140" w:type="dxa"/>
            <w:vAlign w:val="bottom"/>
            <w:gridSpan w:val="3"/>
          </w:tcPr>
          <w:p>
            <w:pPr>
              <w:jc w:val="center"/>
              <w:ind w:left="81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20" w:type="dxa"/>
            <w:vAlign w:val="bottom"/>
          </w:tcPr>
          <w:p>
            <w:pPr>
              <w:spacing w:after="0"/>
              <w:rPr>
                <w:sz w:val="20"/>
                <w:szCs w:val="20"/>
                <w:color w:val="auto"/>
              </w:rPr>
            </w:pPr>
          </w:p>
        </w:tc>
      </w:tr>
      <w:tr>
        <w:trPr>
          <w:trHeight w:val="175"/>
        </w:trPr>
        <w:tc>
          <w:tcPr>
            <w:tcW w:w="246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5"/>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3"/>
              </w:rPr>
              <w:t>Delaware</w:t>
            </w: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94-1499887</w:t>
            </w:r>
          </w:p>
        </w:tc>
      </w:tr>
      <w:tr>
        <w:trPr>
          <w:trHeight w:val="186"/>
        </w:trPr>
        <w:tc>
          <w:tcPr>
            <w:tcW w:w="614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614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5 West Mendenhall, Suite 105</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59715</w:t>
            </w:r>
          </w:p>
        </w:tc>
      </w:tr>
      <w:tr>
        <w:trPr>
          <w:trHeight w:val="225"/>
        </w:trPr>
        <w:tc>
          <w:tcPr>
            <w:tcW w:w="6140" w:type="dxa"/>
            <w:vAlign w:val="bottom"/>
            <w:gridSpan w:val="3"/>
          </w:tcPr>
          <w:p>
            <w:pPr>
              <w:ind w:left="280"/>
              <w:spacing w:after="0"/>
              <w:rPr>
                <w:sz w:val="20"/>
                <w:szCs w:val="20"/>
                <w:color w:val="auto"/>
              </w:rPr>
            </w:pPr>
            <w:r>
              <w:rPr>
                <w:rFonts w:ascii="Arial" w:cs="Arial" w:eastAsia="Arial" w:hAnsi="Arial"/>
                <w:sz w:val="18"/>
                <w:szCs w:val="18"/>
                <w:b w:val="1"/>
                <w:bCs w:val="1"/>
                <w:color w:val="auto"/>
              </w:rPr>
              <w:t>Bozeman, Montana</w:t>
            </w:r>
          </w:p>
        </w:tc>
        <w:tc>
          <w:tcPr>
            <w:tcW w:w="1220" w:type="dxa"/>
            <w:vAlign w:val="bottom"/>
          </w:tcPr>
          <w:p>
            <w:pPr>
              <w:spacing w:after="0"/>
              <w:rPr>
                <w:sz w:val="19"/>
                <w:szCs w:val="19"/>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140" w:type="dxa"/>
            <w:vAlign w:val="bottom"/>
            <w:gridSpan w:val="3"/>
          </w:tcPr>
          <w:p>
            <w:pPr>
              <w:jc w:val="center"/>
              <w:ind w:left="757"/>
              <w:spacing w:after="0"/>
              <w:rPr>
                <w:sz w:val="20"/>
                <w:szCs w:val="20"/>
                <w:color w:val="auto"/>
              </w:rPr>
            </w:pPr>
            <w:r>
              <w:rPr>
                <w:rFonts w:ascii="Arial" w:cs="Arial" w:eastAsia="Arial" w:hAnsi="Arial"/>
                <w:sz w:val="18"/>
                <w:szCs w:val="18"/>
                <w:b w:val="1"/>
                <w:bCs w:val="1"/>
                <w:color w:val="auto"/>
                <w:w w:val="89"/>
              </w:rPr>
              <w:t>Registrant’s telephone number, including area code: 406-982-7276</w:t>
            </w:r>
          </w:p>
        </w:tc>
        <w:tc>
          <w:tcPr>
            <w:tcW w:w="12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111125</wp:posOffset>
            </wp:positionV>
            <wp:extent cx="1380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54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6"/>
              </w:rPr>
              <w:t>Title of each class</w:t>
            </w:r>
          </w:p>
        </w:tc>
        <w:tc>
          <w:tcPr>
            <w:tcW w:w="2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Trading Symbol(s)</w:t>
            </w:r>
          </w:p>
        </w:tc>
        <w:tc>
          <w:tcPr>
            <w:tcW w:w="40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38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Common Stock, $0.01 par value per share</w:t>
            </w:r>
          </w:p>
        </w:tc>
        <w:tc>
          <w:tcPr>
            <w:tcW w:w="360" w:type="dxa"/>
            <w:vAlign w:val="bottom"/>
          </w:tcPr>
          <w:p>
            <w:pPr>
              <w:spacing w:after="0"/>
              <w:rPr>
                <w:sz w:val="21"/>
                <w:szCs w:val="21"/>
                <w:color w:val="auto"/>
              </w:rPr>
            </w:pPr>
          </w:p>
        </w:tc>
        <w:tc>
          <w:tcPr>
            <w:tcW w:w="2080" w:type="dxa"/>
            <w:vAlign w:val="bottom"/>
            <w:gridSpan w:val="2"/>
          </w:tcPr>
          <w:p>
            <w:pPr>
              <w:jc w:val="center"/>
              <w:ind w:right="660"/>
              <w:spacing w:after="0"/>
              <w:rPr>
                <w:sz w:val="20"/>
                <w:szCs w:val="20"/>
                <w:color w:val="auto"/>
              </w:rPr>
            </w:pPr>
            <w:r>
              <w:rPr>
                <w:rFonts w:ascii="Arial" w:cs="Arial" w:eastAsia="Arial" w:hAnsi="Arial"/>
                <w:sz w:val="18"/>
                <w:szCs w:val="18"/>
                <w:color w:val="auto"/>
                <w:w w:val="97"/>
              </w:rPr>
              <w:t>FICO</w:t>
            </w:r>
          </w:p>
        </w:tc>
        <w:tc>
          <w:tcPr>
            <w:tcW w:w="6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99"/>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0"/>
        </w:trPr>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Arial" w:cs="Arial" w:eastAsia="Arial" w:hAnsi="Arial"/>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3" w:lineRule="exact"/>
        <w:rPr>
          <w:sz w:val="20"/>
          <w:szCs w:val="20"/>
          <w:color w:val="auto"/>
        </w:rPr>
      </w:pPr>
    </w:p>
    <w:p>
      <w:pPr>
        <w:ind w:left="860" w:hanging="326"/>
        <w:spacing w:after="0" w:line="207" w:lineRule="exact"/>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common stock outstanding on January 13, 2023 was 25,154,777 (excluding 63,702,006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80" w:type="dxa"/>
            <w:vAlign w:val="bottom"/>
            <w:gridSpan w:val="16"/>
          </w:tcPr>
          <w:p>
            <w:pPr>
              <w:spacing w:after="0"/>
              <w:rPr>
                <w:sz w:val="20"/>
                <w:szCs w:val="20"/>
                <w:color w:val="auto"/>
              </w:rPr>
            </w:pPr>
            <w:r>
              <w:rPr>
                <w:rFonts w:ascii="Arial" w:cs="Arial" w:eastAsia="Arial" w:hAnsi="Arial"/>
                <w:sz w:val="18"/>
                <w:szCs w:val="18"/>
                <w:color w:val="0000FF"/>
              </w:rPr>
              <w:t>Table of Contents</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OF CONTENTS</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3"/>
          </w:tcPr>
          <w:p>
            <w:pPr>
              <w:spacing w:after="0"/>
              <w:rPr>
                <w:sz w:val="20"/>
                <w:szCs w:val="20"/>
                <w:color w:val="auto"/>
              </w:rPr>
            </w:pPr>
            <w:r>
              <w:rPr>
                <w:rFonts w:ascii="Arial" w:cs="Arial" w:eastAsia="Arial" w:hAnsi="Arial"/>
                <w:sz w:val="18"/>
                <w:szCs w:val="18"/>
                <w:b w:val="1"/>
                <w:bCs w:val="1"/>
                <w:color w:val="0000FF"/>
              </w:rPr>
              <w:t>PART I – FINANCIAL INFORMATION</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1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Unaudited Financial Statements</w:t>
            </w:r>
          </w:p>
        </w:tc>
        <w:tc>
          <w:tcPr>
            <w:tcW w:w="3300" w:type="dxa"/>
            <w:vAlign w:val="bottom"/>
            <w:gridSpan w:val="2"/>
          </w:tcPr>
          <w:p>
            <w:pPr>
              <w:spacing w:after="0"/>
              <w:rPr>
                <w:sz w:val="22"/>
                <w:szCs w:val="22"/>
                <w:color w:val="auto"/>
              </w:rPr>
            </w:pPr>
          </w:p>
        </w:tc>
        <w:tc>
          <w:tcPr>
            <w:tcW w:w="374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17</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740" w:type="dxa"/>
            <w:vAlign w:val="bottom"/>
            <w:gridSpan w:val="3"/>
          </w:tcPr>
          <w:p>
            <w:pPr>
              <w:jc w:val="right"/>
              <w:spacing w:after="0"/>
              <w:rPr>
                <w:sz w:val="20"/>
                <w:szCs w:val="20"/>
                <w:color w:val="auto"/>
              </w:rPr>
            </w:pPr>
            <w:r>
              <w:rPr>
                <w:rFonts w:ascii="Arial" w:cs="Arial" w:eastAsia="Arial" w:hAnsi="Arial"/>
                <w:sz w:val="18"/>
                <w:szCs w:val="18"/>
                <w:color w:val="0000FF"/>
              </w:rPr>
              <w:t>30</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2560" w:type="dxa"/>
            <w:vAlign w:val="bottom"/>
            <w:tcBorders>
              <w:top w:val="single" w:sz="8" w:color="0000FF"/>
            </w:tcBorders>
            <w:gridSpan w:val="5"/>
          </w:tcPr>
          <w:p>
            <w:pPr>
              <w:spacing w:after="0"/>
              <w:rPr>
                <w:sz w:val="18"/>
                <w:szCs w:val="18"/>
                <w:color w:val="auto"/>
              </w:rPr>
            </w:pP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gridSpan w:val="13"/>
          </w:tcPr>
          <w:p>
            <w:pPr>
              <w:spacing w:after="0"/>
              <w:rPr>
                <w:sz w:val="20"/>
                <w:szCs w:val="20"/>
                <w:color w:val="auto"/>
              </w:rPr>
            </w:pPr>
            <w:r>
              <w:rPr>
                <w:rFonts w:ascii="Arial" w:cs="Arial" w:eastAsia="Arial" w:hAnsi="Arial"/>
                <w:sz w:val="18"/>
                <w:szCs w:val="18"/>
                <w:b w:val="1"/>
                <w:bCs w:val="1"/>
                <w:color w:val="0000FF"/>
              </w:rPr>
              <w:t>PART II – OTHER INFORMATION</w:t>
            </w:r>
          </w:p>
        </w:tc>
        <w:tc>
          <w:tcPr>
            <w:tcW w:w="3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8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Legal Proceedings</w:t>
            </w:r>
          </w:p>
        </w:tc>
        <w:tc>
          <w:tcPr>
            <w:tcW w:w="3600" w:type="dxa"/>
            <w:vAlign w:val="bottom"/>
            <w:gridSpan w:val="3"/>
          </w:tcPr>
          <w:p>
            <w:pPr>
              <w:spacing w:after="0"/>
              <w:rPr>
                <w:sz w:val="22"/>
                <w:szCs w:val="22"/>
                <w:color w:val="auto"/>
              </w:rPr>
            </w:pPr>
          </w:p>
        </w:tc>
        <w:tc>
          <w:tcPr>
            <w:tcW w:w="3740" w:type="dxa"/>
            <w:vAlign w:val="bottom"/>
            <w:gridSpan w:val="3"/>
          </w:tcPr>
          <w:p>
            <w:pPr>
              <w:jc w:val="right"/>
              <w:spacing w:after="0"/>
              <w:rPr>
                <w:sz w:val="20"/>
                <w:szCs w:val="20"/>
                <w:color w:val="auto"/>
              </w:rPr>
            </w:pPr>
            <w:r>
              <w:rPr>
                <w:rFonts w:ascii="Arial" w:cs="Arial" w:eastAsia="Arial" w:hAnsi="Arial"/>
                <w:sz w:val="18"/>
                <w:szCs w:val="18"/>
                <w:color w:val="0000FF"/>
              </w:rPr>
              <w:t>33</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18"/>
                <w:szCs w:val="18"/>
                <w:color w:val="auto"/>
              </w:rPr>
            </w:pPr>
          </w:p>
        </w:tc>
        <w:tc>
          <w:tcPr>
            <w:tcW w:w="5120" w:type="dxa"/>
            <w:vAlign w:val="bottom"/>
            <w:gridSpan w:val="8"/>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Defaults Upon Senior Securities</w:t>
            </w:r>
          </w:p>
        </w:tc>
        <w:tc>
          <w:tcPr>
            <w:tcW w:w="4120" w:type="dxa"/>
            <w:vAlign w:val="bottom"/>
            <w:gridSpan w:val="4"/>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Mine Safety Disclosures</w:t>
            </w:r>
          </w:p>
        </w:tc>
        <w:tc>
          <w:tcPr>
            <w:tcW w:w="4680" w:type="dxa"/>
            <w:vAlign w:val="bottom"/>
            <w:gridSpan w:val="7"/>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644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3740" w:type="dxa"/>
            <w:vAlign w:val="bottom"/>
            <w:gridSpan w:val="3"/>
          </w:tcPr>
          <w:p>
            <w:pPr>
              <w:jc w:val="right"/>
              <w:spacing w:after="0"/>
              <w:rPr>
                <w:sz w:val="20"/>
                <w:szCs w:val="20"/>
                <w:color w:val="auto"/>
              </w:rPr>
            </w:pPr>
            <w:r>
              <w:rPr>
                <w:rFonts w:ascii="Arial" w:cs="Arial" w:eastAsia="Arial" w:hAnsi="Arial"/>
                <w:sz w:val="18"/>
                <w:szCs w:val="18"/>
                <w:color w:val="0000FF"/>
              </w:rPr>
              <w:t>33</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tcBorders>
              <w:top w:val="single" w:sz="8" w:color="0000FF"/>
            </w:tcBorders>
            <w:gridSpan w:val="2"/>
          </w:tcPr>
          <w:p>
            <w:pPr>
              <w:spacing w:after="0"/>
              <w:rPr>
                <w:sz w:val="18"/>
                <w:szCs w:val="18"/>
                <w:color w:val="auto"/>
              </w:rPr>
            </w:pPr>
          </w:p>
        </w:tc>
        <w:tc>
          <w:tcPr>
            <w:tcW w:w="5140" w:type="dxa"/>
            <w:vAlign w:val="bottom"/>
            <w:gridSpan w:val="9"/>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40" w:type="dxa"/>
            <w:vAlign w:val="bottom"/>
            <w:gridSpan w:val="3"/>
          </w:tcPr>
          <w:p>
            <w:pPr>
              <w:jc w:val="right"/>
              <w:spacing w:after="0"/>
              <w:rPr>
                <w:sz w:val="20"/>
                <w:szCs w:val="20"/>
                <w:color w:val="auto"/>
              </w:rPr>
            </w:pPr>
            <w:r>
              <w:rPr>
                <w:rFonts w:ascii="Arial" w:cs="Arial" w:eastAsia="Arial" w:hAnsi="Arial"/>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Unaudited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3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0"/>
              </w:rPr>
              <w:t>September 30, 2022</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7"/>
              </w:rPr>
              <w:t>(In thousands, except par value data)</w:t>
            </w:r>
          </w:p>
        </w:tc>
        <w:tc>
          <w:tcPr>
            <w:tcW w:w="0" w:type="dxa"/>
            <w:vAlign w:val="bottom"/>
          </w:tcPr>
          <w:p>
            <w:pPr>
              <w:spacing w:after="0"/>
              <w:rPr>
                <w:sz w:val="1"/>
                <w:szCs w:val="1"/>
                <w:color w:val="auto"/>
              </w:rPr>
            </w:pPr>
          </w:p>
        </w:tc>
      </w:tr>
      <w:tr>
        <w:trPr>
          <w:trHeight w:val="238"/>
        </w:trPr>
        <w:tc>
          <w:tcPr>
            <w:tcW w:w="824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308,234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322,410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29,103</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484,715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36,688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761,067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74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employee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97,893</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maturities on debt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331,459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1,820,666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1,823,669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2,260,788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2,243,981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Common stock ($0.01 par value; 200,000 shares authorized, 88,857 shares issued and 25,155 and 25,154</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at December 31, 2022 and September 30, 2022,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1,244,271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1,299,588</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Treasury stock, at cost (63,702 and 63,703 shares at December 31, 2022 and September 30, 2022,</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(4,996,624)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(4,935,769)</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3,056,327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2,958,684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(124,702)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(801,947)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Quarter Ended December 31,</w:t>
            </w: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5"/>
              </w:rPr>
              <w:t>(In thousands, except per share data)</w:t>
            </w:r>
          </w:p>
        </w:tc>
        <w:tc>
          <w:tcPr>
            <w:tcW w:w="0" w:type="dxa"/>
            <w:vAlign w:val="bottom"/>
          </w:tcPr>
          <w:p>
            <w:pPr>
              <w:spacing w:after="0"/>
              <w:rPr>
                <w:sz w:val="1"/>
                <w:szCs w:val="1"/>
                <w:color w:val="auto"/>
              </w:rPr>
            </w:pPr>
          </w:p>
        </w:tc>
      </w:tr>
      <w:tr>
        <w:trPr>
          <w:trHeight w:val="238"/>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340"/>
              <w:spacing w:after="0"/>
              <w:rPr>
                <w:sz w:val="20"/>
                <w:szCs w:val="20"/>
                <w:color w:val="auto"/>
              </w:rPr>
            </w:pPr>
            <w:r>
              <w:rPr>
                <w:rFonts w:ascii="Arial" w:cs="Arial" w:eastAsia="Arial" w:hAnsi="Arial"/>
                <w:sz w:val="18"/>
                <w:szCs w:val="18"/>
                <w:color w:val="auto"/>
              </w:rPr>
              <w:t>On-premises and SaaS software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144,560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126,338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Scores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169,487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322,361</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69,203</w:t>
            </w:r>
          </w:p>
        </w:tc>
        <w:tc>
          <w:tcPr>
            <w:tcW w:w="0" w:type="dxa"/>
            <w:vAlign w:val="bottom"/>
          </w:tcPr>
          <w:p>
            <w:pPr>
              <w:spacing w:after="0"/>
              <w:rPr>
                <w:sz w:val="1"/>
                <w:szCs w:val="1"/>
                <w:color w:val="auto"/>
              </w:rPr>
            </w:pPr>
          </w:p>
        </w:tc>
      </w:tr>
      <w:tr>
        <w:trPr>
          <w:trHeight w:val="230"/>
        </w:trPr>
        <w:tc>
          <w:tcPr>
            <w:tcW w:w="80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38,980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98,048</w:t>
            </w:r>
          </w:p>
        </w:tc>
        <w:tc>
          <w:tcPr>
            <w:tcW w:w="0" w:type="dxa"/>
            <w:vAlign w:val="bottom"/>
          </w:tcPr>
          <w:p>
            <w:pPr>
              <w:spacing w:after="0"/>
              <w:rPr>
                <w:sz w:val="1"/>
                <w:szCs w:val="1"/>
                <w:color w:val="auto"/>
              </w:rPr>
            </w:pPr>
          </w:p>
        </w:tc>
      </w:tr>
      <w:tr>
        <w:trPr>
          <w:trHeight w:val="230"/>
        </w:trPr>
        <w:tc>
          <w:tcPr>
            <w:tcW w:w="80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product line asset sale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206,775</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115,586</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117,903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104,820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19,861</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22"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5"/>
                <w:szCs w:val="5"/>
                <w:color w:val="auto"/>
              </w:rPr>
            </w:pPr>
          </w:p>
        </w:tc>
        <w:tc>
          <w:tcPr>
            <w:tcW w:w="1140" w:type="dxa"/>
            <w:vAlign w:val="bottom"/>
            <w:vMerge w:val="restart"/>
          </w:tcPr>
          <w:p>
            <w:pPr>
              <w:jc w:val="center"/>
              <w:ind w:right="10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4"/>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Paid-in-Capital</w:t>
            </w: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83"/>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2022</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1,299,588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(4,935,769)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2,958,684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(801,947)</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29,702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(85,019)</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14,147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(70,870)</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(75,002)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(75,004)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97,643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97,643</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18,381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18,381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25,155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1,244,271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(4,996,624)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3,056,327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(106,321)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(802,095)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160" w:type="dxa"/>
            <w:vAlign w:val="bottom"/>
          </w:tcPr>
          <w:p>
            <w:pPr>
              <w:spacing w:after="0"/>
              <w:rPr>
                <w:sz w:val="24"/>
                <w:szCs w:val="24"/>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4"/>
                <w:szCs w:val="2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22"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5"/>
                <w:szCs w:val="5"/>
                <w:color w:val="auto"/>
              </w:rPr>
            </w:pPr>
          </w:p>
        </w:tc>
        <w:tc>
          <w:tcPr>
            <w:tcW w:w="1140" w:type="dxa"/>
            <w:vAlign w:val="bottom"/>
            <w:vMerge w:val="restart"/>
          </w:tcPr>
          <w:p>
            <w:pPr>
              <w:jc w:val="center"/>
              <w:ind w:right="10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4"/>
        </w:trPr>
        <w:tc>
          <w:tcPr>
            <w:tcW w:w="316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3160" w:type="dxa"/>
            <w:vAlign w:val="bottom"/>
            <w:vMerge w:val="continue"/>
          </w:tcPr>
          <w:p>
            <w:pPr>
              <w:spacing w:after="0"/>
              <w:rPr>
                <w:sz w:val="10"/>
                <w:szCs w:val="10"/>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7"/>
              </w:rPr>
              <w:t>Paid-in-Capital</w:t>
            </w: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0"/>
                <w:szCs w:val="10"/>
                <w:color w:val="auto"/>
              </w:rPr>
            </w:pPr>
          </w:p>
        </w:tc>
        <w:tc>
          <w:tcPr>
            <w:tcW w:w="11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73"/>
        </w:trPr>
        <w:tc>
          <w:tcPr>
            <w:tcW w:w="3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1,237,348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(3,857,855)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2,585,143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(110,942)</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29,878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29,878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treasury stock under employee stock</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(58,861)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12,386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(46,474)</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(1,244)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(493,570)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(493,582)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84,959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84,959</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26,509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1,208,365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(4,339,039)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2,670,102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(77,992)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(538,299)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Quarter Ended December 31,</w:t>
            </w:r>
          </w:p>
        </w:tc>
      </w:tr>
      <w:tr>
        <w:trPr>
          <w:trHeight w:val="26"/>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2021</w:t>
            </w:r>
          </w:p>
        </w:tc>
      </w:tr>
      <w:tr>
        <w:trPr>
          <w:trHeight w:val="194"/>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r>
      <w:tr>
        <w:trPr>
          <w:trHeight w:val="23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97,643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84,959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5,227</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3,905</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on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Non-cash operating lease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Gain on product line asset sale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on sales and abandonment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58,428</w:t>
            </w:r>
          </w:p>
        </w:tc>
      </w:tr>
      <w:tr>
        <w:trPr>
          <w:trHeight w:val="230"/>
        </w:trPr>
        <w:tc>
          <w:tcPr>
            <w:tcW w:w="824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8240" w:type="dxa"/>
            <w:vAlign w:val="bottom"/>
          </w:tcPr>
          <w:p>
            <w:pPr>
              <w:ind w:left="112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(37,883)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(40,335)</w:t>
            </w:r>
          </w:p>
        </w:tc>
      </w:tr>
      <w:tr>
        <w:trPr>
          <w:trHeight w:val="229"/>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w:t>
            </w:r>
          </w:p>
        </w:tc>
      </w:tr>
      <w:tr>
        <w:trPr>
          <w:trHeight w:val="229"/>
        </w:trPr>
        <w:tc>
          <w:tcPr>
            <w:tcW w:w="82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w:t>
            </w:r>
          </w:p>
        </w:tc>
      </w:tr>
      <w:tr>
        <w:trPr>
          <w:trHeight w:val="223"/>
        </w:trPr>
        <w:tc>
          <w:tcPr>
            <w:tcW w:w="82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124,881</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sales of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product line asset sales, net of cash transferred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r>
      <w:tr>
        <w:trPr>
          <w:trHeight w:val="223"/>
        </w:trPr>
        <w:tc>
          <w:tcPr>
            <w:tcW w:w="82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revolving line of credit and term loan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Payments on revolving line of credit and term loan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(788,000)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Payments on debt issuance costs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(8,200)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(72,865)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(47,024)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(482,755)</w:t>
            </w:r>
          </w:p>
        </w:tc>
      </w:tr>
      <w:tr>
        <w:trPr>
          <w:trHeight w:val="223"/>
        </w:trPr>
        <w:tc>
          <w:tcPr>
            <w:tcW w:w="82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(33,197)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133,202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139,856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162,157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89"/>
              </w:rPr>
              <w:t>Cash paid for income taxes, net of refunds of $8 and $72 during the quarters ended December 31, 2022 and 2021,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13,412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included in 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Unsettled repurchases of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18,870</w:t>
            </w:r>
          </w:p>
        </w:tc>
      </w:tr>
    </w:tbl>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Isaac Corporation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Fair Isaac Corporation (NYSE: FICO) (together with its consolidated subsidiaries, the “Company,” which may also be referred to in this report as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“us,” “our,” or “FICO”) is a leading applied analytics company. We were founded in 1956 on the premise that data, used intelligently, can improve business decisions. Today, FICO’s software and the widely used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Scores — the standard measure in the U.S. of consumer credit risk — empowering them to increase financial literacy and manage their financial health.</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2022. The interim financial information contained in this report is not necessarily indicative of the results to be expected for any other interim period or for the entire fiscal year.</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make estimates and assumptions that affect the amounts reported in the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October 2021, the Financial Accounting Standards Board (“FASB”) issued Accounting Standards Update (“ASU”) No. 2021-08,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 Accounting for Contract Assets and Contract Liabilities from Contracts with Customers</w:t>
      </w:r>
      <w:r>
        <w:rPr>
          <w:rFonts w:ascii="Arial" w:cs="Arial" w:eastAsia="Arial" w:hAnsi="Arial"/>
          <w:sz w:val="16"/>
          <w:szCs w:val="16"/>
          <w:color w:val="auto"/>
        </w:rPr>
        <w:t>” (“ASU 2021-08”). ASU 2021-08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requires an acquirer in a business combination to recognize and measure contract assets and contract liabilities from acquired contracts using the revenue recognition guidance under Accounting Standards Codification Topic 606, </w:t>
      </w:r>
      <w:r>
        <w:rPr>
          <w:rFonts w:ascii="Arial" w:cs="Arial" w:eastAsia="Arial" w:hAnsi="Arial"/>
          <w:sz w:val="16"/>
          <w:szCs w:val="16"/>
          <w:i w:val="1"/>
          <w:iCs w:val="1"/>
          <w:color w:val="auto"/>
        </w:rPr>
        <w:t>Revenue from Contacts with Customers</w:t>
      </w:r>
      <w:r>
        <w:rPr>
          <w:rFonts w:ascii="Arial" w:cs="Arial" w:eastAsia="Arial" w:hAnsi="Arial"/>
          <w:sz w:val="16"/>
          <w:szCs w:val="16"/>
          <w:color w:val="auto"/>
        </w:rPr>
        <w:t>,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condensed consolidated financial statements.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95"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were comprised of money market funds and certain marketable securities and our Level 1 liabilities included senior notes as of December 31, 2022 and September 30, 2022.</w:t>
      </w:r>
    </w:p>
    <w:p>
      <w:pPr>
        <w:spacing w:after="0" w:line="75"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December 31, 2022 and September 30, 2022.</w:t>
      </w:r>
    </w:p>
    <w:p>
      <w:pPr>
        <w:spacing w:after="0" w:line="53"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December 31, 2022 and September 30, 2022.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represent financial assets that we measured at fair value on a recurring basis at December 31, 2022 and September 30,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Active Markets for</w:t>
            </w:r>
          </w:p>
        </w:tc>
        <w:tc>
          <w:tcPr>
            <w:tcW w:w="340" w:type="dxa"/>
            <w:vAlign w:val="bottom"/>
          </w:tcPr>
          <w:p>
            <w:pPr>
              <w:spacing w:after="0"/>
              <w:rPr>
                <w:sz w:val="14"/>
                <w:szCs w:val="14"/>
                <w:color w:val="auto"/>
              </w:rPr>
            </w:pPr>
          </w:p>
        </w:tc>
        <w:tc>
          <w:tcPr>
            <w:tcW w:w="1360" w:type="dxa"/>
            <w:vAlign w:val="bottom"/>
            <w:vMerge w:val="restart"/>
          </w:tcPr>
          <w:p>
            <w:pPr>
              <w:jc w:val="center"/>
              <w:ind w:right="275"/>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48"/>
        </w:trPr>
        <w:tc>
          <w:tcPr>
            <w:tcW w:w="7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Identical Instruments</w:t>
            </w:r>
          </w:p>
        </w:tc>
        <w:tc>
          <w:tcPr>
            <w:tcW w:w="3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2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ind w:left="1200"/>
              <w:spacing w:after="0"/>
              <w:rPr>
                <w:sz w:val="20"/>
                <w:szCs w:val="20"/>
                <w:color w:val="auto"/>
              </w:rPr>
            </w:pPr>
            <w:r>
              <w:rPr>
                <w:rFonts w:ascii="Arial" w:cs="Arial" w:eastAsia="Arial" w:hAnsi="Arial"/>
                <w:sz w:val="14"/>
                <w:szCs w:val="14"/>
                <w:b w:val="1"/>
                <w:bCs w:val="1"/>
                <w:color w:val="auto"/>
                <w:w w:val="93"/>
              </w:rPr>
              <w:t>(In thousands)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18,166</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18,166</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0" w:type="dxa"/>
            <w:vAlign w:val="bottom"/>
          </w:tcPr>
          <w:p>
            <w:pPr>
              <w:spacing w:after="0"/>
              <w:rPr>
                <w:sz w:val="1"/>
                <w:szCs w:val="1"/>
                <w:color w:val="auto"/>
              </w:rPr>
            </w:pP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44,498</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Active Markets for</w:t>
            </w:r>
          </w:p>
        </w:tc>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Fair Value as of September</w:t>
            </w:r>
          </w:p>
        </w:tc>
        <w:tc>
          <w:tcPr>
            <w:tcW w:w="0" w:type="dxa"/>
            <w:vAlign w:val="bottom"/>
          </w:tcPr>
          <w:p>
            <w:pPr>
              <w:spacing w:after="0"/>
              <w:rPr>
                <w:sz w:val="1"/>
                <w:szCs w:val="1"/>
                <w:color w:val="auto"/>
              </w:rPr>
            </w:pPr>
          </w:p>
        </w:tc>
      </w:tr>
      <w:tr>
        <w:trPr>
          <w:trHeight w:val="149"/>
        </w:trPr>
        <w:tc>
          <w:tcPr>
            <w:tcW w:w="7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Identical Instruments</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2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1"/>
              </w:rPr>
              <w:t>30, 2022</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ind w:left="1200"/>
              <w:spacing w:after="0"/>
              <w:rPr>
                <w:sz w:val="20"/>
                <w:szCs w:val="20"/>
                <w:color w:val="auto"/>
              </w:rPr>
            </w:pPr>
            <w:r>
              <w:rPr>
                <w:rFonts w:ascii="Arial" w:cs="Arial" w:eastAsia="Arial" w:hAnsi="Arial"/>
                <w:sz w:val="14"/>
                <w:szCs w:val="14"/>
                <w:b w:val="1"/>
                <w:bCs w:val="1"/>
                <w:color w:val="auto"/>
                <w:w w:val="93"/>
              </w:rPr>
              <w:t>(In thousands)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19,314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19,314</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43,829</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43,829</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60" w:type="dxa"/>
            <w:vAlign w:val="bottom"/>
            <w:tcBorders>
              <w:bottom w:val="single" w:sz="8" w:color="auto"/>
            </w:tcBorders>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298" w:lineRule="auto"/>
        <w:tabs>
          <w:tab w:leader="none" w:pos="33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Included in cash and cash equivalents on our condensed consolidated balance sheets at December 31, 2022 and September 30, 2022. Not included in these tables are cash deposits of $121.7 million and $113.9 million at December 31, 2022 and September 30, 2022, respectively.</w:t>
      </w:r>
    </w:p>
    <w:p>
      <w:pPr>
        <w:jc w:val="both"/>
        <w:ind w:left="340" w:hanging="332"/>
        <w:spacing w:after="0" w:line="263"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December 31, 2022 and September 30, 2022.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7 for the fair value of our senior notes.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transfers between Level 1, Level 2, and Level 3 of the fair value hierarchy during the quarters ended December 31, 2022 and 2021.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Financial Instruments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Foreign 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our outstanding foreign currency forward contracts, by currency, at December 31, 2022 and September 30,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2022</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4"/>
          </w:tcPr>
          <w:p>
            <w:pPr>
              <w:ind w:left="580"/>
              <w:spacing w:after="0"/>
              <w:rPr>
                <w:sz w:val="20"/>
                <w:szCs w:val="20"/>
                <w:color w:val="auto"/>
              </w:rPr>
            </w:pPr>
            <w:r>
              <w:rPr>
                <w:rFonts w:ascii="Arial" w:cs="Arial" w:eastAsia="Arial" w:hAnsi="Arial"/>
                <w:sz w:val="14"/>
                <w:szCs w:val="14"/>
                <w:b w:val="1"/>
                <w:bCs w:val="1"/>
                <w:color w:val="auto"/>
              </w:rPr>
              <w:t>Contract Amount</w:t>
            </w: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3" w:lineRule="exact"/>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10,100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7,072</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4,688</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6"/>
        </w:trPr>
        <w:tc>
          <w:tcPr>
            <w:tcW w:w="6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4"/>
          </w:tcPr>
          <w:p>
            <w:pPr>
              <w:ind w:left="580"/>
              <w:spacing w:after="0"/>
              <w:rPr>
                <w:sz w:val="20"/>
                <w:szCs w:val="20"/>
                <w:color w:val="auto"/>
              </w:rPr>
            </w:pPr>
            <w:r>
              <w:rPr>
                <w:rFonts w:ascii="Arial" w:cs="Arial" w:eastAsia="Arial" w:hAnsi="Arial"/>
                <w:sz w:val="14"/>
                <w:szCs w:val="14"/>
                <w:b w:val="1"/>
                <w:bCs w:val="1"/>
                <w:color w:val="auto"/>
              </w:rPr>
              <w:t>Contract Amount</w:t>
            </w: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29" w:lineRule="exact"/>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13,500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11,848</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6,169</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foreign currency forward contracts were entered into on December 31, 2022 and September 30, 2022; therefore, their fair value was $0 on each of these dates.</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Gains on derivative financial instruments were recorded in our condensed consolidated statements of income and comprehensive income as a component of other income, net, and consisted of the following:</w:t>
      </w:r>
    </w:p>
    <w:p>
      <w:pPr>
        <w:spacing w:after="0" w:line="81"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Quarter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32385</wp:posOffset>
            </wp:positionV>
            <wp:extent cx="18859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32385</wp:posOffset>
            </wp:positionV>
            <wp:extent cx="1885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20"/>
        <w:spacing w:after="0"/>
        <w:tabs>
          <w:tab w:leader="none" w:pos="8260" w:val="left"/>
          <w:tab w:leader="none" w:pos="9200" w:val="left"/>
          <w:tab w:leader="none" w:pos="9800" w:val="left"/>
          <w:tab w:leader="none" w:pos="10880" w:val="left"/>
        </w:tabs>
        <w:rPr>
          <w:sz w:val="20"/>
          <w:szCs w:val="20"/>
          <w:color w:val="auto"/>
        </w:rPr>
      </w:pPr>
      <w:r>
        <w:rPr>
          <w:rFonts w:ascii="Arial" w:cs="Arial" w:eastAsia="Arial" w:hAnsi="Arial"/>
          <w:sz w:val="18"/>
          <w:szCs w:val="18"/>
          <w:color w:val="auto"/>
        </w:rPr>
        <w:t>Gains on foreign currency forward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1,304</w:t>
        <w:tab/>
        <w:t>$</w:t>
      </w:r>
      <w:r>
        <w:rPr>
          <w:sz w:val="20"/>
          <w:szCs w:val="20"/>
          <w:color w:val="auto"/>
        </w:rPr>
        <w:tab/>
      </w:r>
      <w:r>
        <w:rPr>
          <w:rFonts w:ascii="Arial" w:cs="Arial" w:eastAsia="Arial" w:hAnsi="Arial"/>
          <w:sz w:val="15"/>
          <w:szCs w:val="15"/>
          <w:color w:val="auto"/>
        </w:rPr>
        <w:t>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ind w:firstLine="405"/>
        <w:spacing w:after="0" w:line="308" w:lineRule="auto"/>
        <w:rPr>
          <w:sz w:val="20"/>
          <w:szCs w:val="20"/>
          <w:color w:val="auto"/>
        </w:rPr>
      </w:pPr>
      <w:r>
        <w:rPr>
          <w:rFonts w:ascii="Arial" w:cs="Arial" w:eastAsia="Arial" w:hAnsi="Arial"/>
          <w:sz w:val="16"/>
          <w:szCs w:val="16"/>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w:t>
      </w:r>
    </w:p>
    <w:p>
      <w:pPr>
        <w:spacing w:after="0"/>
        <w:rPr>
          <w:sz w:val="20"/>
          <w:szCs w:val="20"/>
          <w:color w:val="auto"/>
        </w:rPr>
      </w:pPr>
      <w:r>
        <w:rPr>
          <w:rFonts w:ascii="Arial" w:cs="Arial" w:eastAsia="Arial" w:hAnsi="Arial"/>
          <w:sz w:val="18"/>
          <w:szCs w:val="18"/>
          <w:color w:val="auto"/>
        </w:rPr>
        <w:t>income and comprehensive income. Amortization expense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52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Quarter Ended December 31,</w:t>
            </w:r>
          </w:p>
        </w:tc>
        <w:tc>
          <w:tcPr>
            <w:tcW w:w="46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99"/>
              </w:rPr>
              <w:t>(In thousands)</w:t>
            </w:r>
          </w:p>
        </w:tc>
        <w:tc>
          <w:tcPr>
            <w:tcW w:w="46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contracts and relationships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48"/>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Estimated future intangible asset amortization expense associated with intangible assets existing at December 31, 2022 was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ind w:left="20"/>
              <w:spacing w:after="0"/>
              <w:rPr>
                <w:sz w:val="20"/>
                <w:szCs w:val="20"/>
                <w:color w:val="auto"/>
              </w:rPr>
            </w:pPr>
            <w:r>
              <w:rPr>
                <w:rFonts w:ascii="Arial" w:cs="Arial" w:eastAsia="Arial" w:hAnsi="Arial"/>
                <w:sz w:val="14"/>
                <w:szCs w:val="14"/>
                <w:b w:val="1"/>
                <w:bCs w:val="1"/>
                <w:color w:val="auto"/>
              </w:rPr>
              <w:t>Year Ending September 30,</w:t>
            </w:r>
          </w:p>
        </w:tc>
        <w:tc>
          <w:tcPr>
            <w:tcW w:w="300" w:type="dxa"/>
            <w:vAlign w:val="bottom"/>
          </w:tcPr>
          <w:p>
            <w:pPr>
              <w:spacing w:after="0"/>
              <w:rPr>
                <w:sz w:val="16"/>
                <w:szCs w:val="16"/>
                <w:color w:val="auto"/>
              </w:rPr>
            </w:pPr>
          </w:p>
        </w:tc>
        <w:tc>
          <w:tcPr>
            <w:tcW w:w="1560" w:type="dxa"/>
            <w:vAlign w:val="bottom"/>
          </w:tcPr>
          <w:p>
            <w:pPr>
              <w:jc w:val="right"/>
              <w:ind w:right="395"/>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quarter ended December 31, 2022)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29"/>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r>
      <w:tr>
        <w:trPr>
          <w:trHeight w:val="248"/>
        </w:trPr>
        <w:tc>
          <w:tcPr>
            <w:tcW w:w="9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following table summarizes changes to goodwill during the quarter ended December 31, 2022, both in total and as allocated to our segments. We have not recognized any goodwill impairment losses to date.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Scores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Software</w:t>
            </w:r>
          </w:p>
        </w:tc>
        <w:tc>
          <w:tcPr>
            <w:tcW w:w="440" w:type="dxa"/>
            <w:vAlign w:val="bottom"/>
          </w:tcPr>
          <w:p>
            <w:pPr>
              <w:spacing w:after="0"/>
              <w:rPr>
                <w:sz w:val="16"/>
                <w:szCs w:val="16"/>
                <w:color w:val="auto"/>
              </w:rPr>
            </w:pPr>
          </w:p>
        </w:tc>
        <w:tc>
          <w:tcPr>
            <w:tcW w:w="1420" w:type="dxa"/>
            <w:vAlign w:val="bottom"/>
          </w:tcPr>
          <w:p>
            <w:pPr>
              <w:jc w:val="right"/>
              <w:ind w:right="695"/>
              <w:spacing w:after="0"/>
              <w:rPr>
                <w:sz w:val="20"/>
                <w:szCs w:val="20"/>
                <w:color w:val="auto"/>
              </w:rPr>
            </w:pPr>
            <w:r>
              <w:rPr>
                <w:rFonts w:ascii="Arial" w:cs="Arial" w:eastAsia="Arial" w:hAnsi="Arial"/>
                <w:sz w:val="14"/>
                <w:szCs w:val="14"/>
                <w:b w:val="1"/>
                <w:bCs w:val="1"/>
                <w:color w:val="auto"/>
              </w:rPr>
              <w:t>Total</w:t>
            </w:r>
          </w:p>
        </w:tc>
      </w:tr>
      <w:tr>
        <w:trPr>
          <w:trHeight w:val="26"/>
        </w:trPr>
        <w:tc>
          <w:tcPr>
            <w:tcW w:w="5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5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146,648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614,419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761,067</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10,388</w:t>
            </w: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771,455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Composition of Certain Financial Statement Captions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composition of property and equipment, net and other accrued liabilities at December 31, 2022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420" w:type="dxa"/>
            <w:vAlign w:val="bottom"/>
          </w:tcPr>
          <w:p>
            <w:pPr>
              <w:jc w:val="right"/>
              <w:ind w:right="414"/>
              <w:spacing w:after="0"/>
              <w:rPr>
                <w:sz w:val="20"/>
                <w:szCs w:val="20"/>
                <w:color w:val="auto"/>
              </w:rPr>
            </w:pPr>
            <w:r>
              <w:rPr>
                <w:rFonts w:ascii="Arial" w:cs="Arial" w:eastAsia="Arial" w:hAnsi="Arial"/>
                <w:sz w:val="14"/>
                <w:szCs w:val="14"/>
                <w:b w:val="1"/>
                <w:bCs w:val="1"/>
                <w:color w:val="auto"/>
                <w:w w:val="93"/>
              </w:rPr>
              <w:t>September 30,</w:t>
            </w:r>
          </w:p>
        </w:tc>
      </w:tr>
      <w:tr>
        <w:trPr>
          <w:trHeight w:val="196"/>
        </w:trPr>
        <w:tc>
          <w:tcPr>
            <w:tcW w:w="7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194"/>
        </w:trPr>
        <w:tc>
          <w:tcPr>
            <w:tcW w:w="7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6"/>
                <w:szCs w:val="16"/>
                <w:color w:val="auto"/>
              </w:rPr>
            </w:pPr>
          </w:p>
        </w:tc>
      </w:tr>
      <w:tr>
        <w:trPr>
          <w:trHeight w:val="23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740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112,926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112,411</w:t>
            </w:r>
          </w:p>
        </w:tc>
      </w:tr>
      <w:tr>
        <w:trPr>
          <w:trHeight w:val="229"/>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(94,831)</w:t>
            </w:r>
          </w:p>
        </w:tc>
      </w:tr>
      <w:tr>
        <w:trPr>
          <w:trHeight w:val="223"/>
        </w:trPr>
        <w:tc>
          <w:tcPr>
            <w:tcW w:w="7400" w:type="dxa"/>
            <w:vAlign w:val="bottom"/>
          </w:tcPr>
          <w:p>
            <w:pPr>
              <w:ind w:left="5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17,580</w:t>
            </w:r>
          </w:p>
        </w:tc>
      </w:tr>
      <w:tr>
        <w:trPr>
          <w:trHeight w:val="21"/>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6"/>
        </w:trPr>
        <w:tc>
          <w:tcPr>
            <w:tcW w:w="7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accrued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Interest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21,314</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operating leases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19,369</w:t>
            </w: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25,565</w:t>
            </w:r>
          </w:p>
        </w:tc>
      </w:tr>
      <w:tr>
        <w:trPr>
          <w:trHeight w:val="248"/>
        </w:trPr>
        <w:tc>
          <w:tcPr>
            <w:tcW w:w="74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Line of Credit and Term Loan</w:t>
      </w:r>
    </w:p>
    <w:p>
      <w:pPr>
        <w:spacing w:after="0" w:line="12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 November 2022, we amended our credit agreement to replace the LIBOR reference rate with the Secured Overnight Financing Rate (“SOFR”) reference rate.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2022, we had $350.0 million in borrowings outstanding under the revolving line of credit at a weighted-average interest rate of 5.817%, and $285.0 million in outstanding balance of the term loan at an interest rate of 6.051%, of which $535.0 million was classified as a long-term liability and recorded in long-term debt within the accompanying condensed consolidated balance sheets. We were in compliance with all financial covenants under this credit agreement as of December 31,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Notes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December 6, 2019, we issued $350 million of senior notes in a private offering to qualified institutional investors (the “2019 Senior Notes”). The 2019 Senior Notes require interest payments semi-annually at a rate of 4.00% per annum and will mature on June 15, 2028.</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indentures for the Senior Notes contain certain covenants typical of unsecured obligations and we were in compliance as of December 31, 2022.</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face values and fair values for the Senior Notes at December 31, 2022 and September 30,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278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September 30, 2022</w:t>
            </w:r>
          </w:p>
        </w:tc>
      </w:tr>
      <w:tr>
        <w:trPr>
          <w:trHeight w:val="25"/>
        </w:trPr>
        <w:tc>
          <w:tcPr>
            <w:tcW w:w="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194"/>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The 2018</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381,500</w:t>
            </w:r>
          </w:p>
        </w:tc>
      </w:tr>
      <w:tr>
        <w:trPr>
          <w:trHeight w:val="230"/>
        </w:trPr>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The 2019</w:t>
            </w:r>
          </w:p>
        </w:tc>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Notes and the 2021 Senior Notes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812,250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767,250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1,148,750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798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57" w:lineRule="exact"/>
        <w:rPr>
          <w:sz w:val="20"/>
          <w:szCs w:val="20"/>
          <w:color w:val="auto"/>
        </w:rPr>
      </w:pPr>
    </w:p>
    <w:p>
      <w:pPr>
        <w:ind w:right="20" w:firstLine="8"/>
        <w:spacing w:after="0" w:line="277"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$13.6 million and $14.3 million at December 31, 2022 and September 30, 2022,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right="7900" w:hanging="232"/>
        <w:spacing w:after="0" w:line="425" w:lineRule="auto"/>
        <w:tabs>
          <w:tab w:leader="none" w:pos="19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from Contracts with Customers </w:t>
      </w:r>
      <w:r>
        <w:rPr>
          <w:rFonts w:ascii="Arial" w:cs="Arial" w:eastAsia="Arial" w:hAnsi="Arial"/>
          <w:sz w:val="16"/>
          <w:szCs w:val="16"/>
          <w:b w:val="1"/>
          <w:bCs w:val="1"/>
          <w:i w:val="1"/>
          <w:iCs w:val="1"/>
          <w:color w:val="auto"/>
        </w:rPr>
        <w:t>Disaggregation of Revenue</w:t>
      </w:r>
    </w:p>
    <w:p>
      <w:pPr>
        <w:ind w:left="42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tables provide information about disaggregated revenue by primary geographical market: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Quarter Ended December 31, 2022</w:t>
            </w:r>
          </w:p>
        </w:tc>
        <w:tc>
          <w:tcPr>
            <w:tcW w:w="1680" w:type="dxa"/>
            <w:vAlign w:val="bottom"/>
          </w:tcPr>
          <w:p>
            <w:pPr>
              <w:spacing w:after="0"/>
              <w:rPr>
                <w:sz w:val="16"/>
                <w:szCs w:val="16"/>
                <w:color w:val="auto"/>
              </w:rPr>
            </w:pPr>
          </w:p>
        </w:tc>
      </w:tr>
      <w:tr>
        <w:trPr>
          <w:trHeight w:val="26"/>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Percentage</w:t>
            </w:r>
          </w:p>
        </w:tc>
      </w:tr>
      <w:tr>
        <w:trPr>
          <w:trHeight w:val="194"/>
        </w:trPr>
        <w:tc>
          <w:tcPr>
            <w:tcW w:w="4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8"/>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173,297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117,830</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291,127</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30,992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32,340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21,403</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4060" w:type="dxa"/>
            <w:vAlign w:val="bottom"/>
          </w:tcPr>
          <w:p>
            <w:pPr>
              <w:ind w:left="3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177,988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166,882</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344,870</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535"/>
        </w:trPr>
        <w:tc>
          <w:tcPr>
            <w:tcW w:w="4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Quarter Ended December 31, 2021</w:t>
            </w:r>
          </w:p>
        </w:tc>
        <w:tc>
          <w:tcPr>
            <w:tcW w:w="1680" w:type="dxa"/>
            <w:vAlign w:val="bottom"/>
          </w:tcPr>
          <w:p>
            <w:pPr>
              <w:spacing w:after="0"/>
              <w:rPr>
                <w:sz w:val="24"/>
                <w:szCs w:val="24"/>
                <w:color w:val="auto"/>
              </w:rPr>
            </w:pPr>
          </w:p>
        </w:tc>
      </w:tr>
      <w:tr>
        <w:trPr>
          <w:trHeight w:val="26"/>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9"/>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Percentage</w:t>
            </w:r>
          </w:p>
        </w:tc>
      </w:tr>
      <w:tr>
        <w:trPr>
          <w:trHeight w:val="194"/>
        </w:trPr>
        <w:tc>
          <w:tcPr>
            <w:tcW w:w="4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8"/>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165,712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264,897</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37,398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38,891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18,573</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4060" w:type="dxa"/>
            <w:vAlign w:val="bottom"/>
          </w:tcPr>
          <w:p>
            <w:pPr>
              <w:ind w:left="3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169,487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322,361</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deployment method: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December 31,</w:t>
            </w:r>
          </w:p>
        </w:tc>
        <w:tc>
          <w:tcPr>
            <w:tcW w:w="276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Percentage of revenues</w:t>
            </w:r>
          </w:p>
        </w:tc>
      </w:tr>
      <w:tr>
        <w:trPr>
          <w:trHeight w:val="25"/>
        </w:trPr>
        <w:tc>
          <w:tcPr>
            <w:tcW w:w="5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194"/>
        </w:trPr>
        <w:tc>
          <w:tcPr>
            <w:tcW w:w="5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ind w:left="38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6"/>
                <w:szCs w:val="16"/>
                <w:color w:val="auto"/>
              </w:rPr>
            </w:pPr>
          </w:p>
        </w:tc>
      </w:tr>
      <w:tr>
        <w:trPr>
          <w:trHeight w:val="23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On-premises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57,295</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SaaS software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r>
      <w:tr>
        <w:trPr>
          <w:trHeight w:val="248"/>
        </w:trPr>
        <w:tc>
          <w:tcPr>
            <w:tcW w:w="5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on-premises and SaaS software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product features: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December 31,</w:t>
            </w:r>
          </w:p>
        </w:tc>
        <w:tc>
          <w:tcPr>
            <w:tcW w:w="276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Percentage of revenues</w:t>
            </w:r>
          </w:p>
        </w:tc>
      </w:tr>
      <w:tr>
        <w:trPr>
          <w:trHeight w:val="25"/>
        </w:trPr>
        <w:tc>
          <w:tcPr>
            <w:tcW w:w="5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194"/>
        </w:trPr>
        <w:tc>
          <w:tcPr>
            <w:tcW w:w="5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ind w:left="38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6"/>
                <w:szCs w:val="16"/>
                <w:color w:val="auto"/>
              </w:rPr>
            </w:pPr>
          </w:p>
        </w:tc>
      </w:tr>
      <w:tr>
        <w:trPr>
          <w:trHeight w:val="23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software (*)</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22,072</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Non-platform software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r>
      <w:tr>
        <w:trPr>
          <w:trHeight w:val="248"/>
        </w:trPr>
        <w:tc>
          <w:tcPr>
            <w:tcW w:w="5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on-premises and SaaS software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141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0" w:lineRule="exact"/>
        <w:rPr>
          <w:sz w:val="20"/>
          <w:szCs w:val="20"/>
          <w:color w:val="auto"/>
        </w:rPr>
      </w:pPr>
    </w:p>
    <w:p>
      <w:pPr>
        <w:jc w:val="both"/>
        <w:ind w:firstLine="8"/>
        <w:spacing w:after="0" w:line="263"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timing of revenue recognition: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December 31,</w:t>
            </w:r>
          </w:p>
        </w:tc>
        <w:tc>
          <w:tcPr>
            <w:tcW w:w="276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Percentage of revenues</w:t>
            </w:r>
          </w:p>
        </w:tc>
      </w:tr>
      <w:tr>
        <w:trPr>
          <w:trHeight w:val="26"/>
        </w:trPr>
        <w:tc>
          <w:tcPr>
            <w:tcW w:w="5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194"/>
        </w:trPr>
        <w:tc>
          <w:tcPr>
            <w:tcW w:w="5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ind w:left="38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6"/>
                <w:szCs w:val="16"/>
                <w:color w:val="auto"/>
              </w:rPr>
            </w:pPr>
          </w:p>
        </w:tc>
      </w:tr>
      <w:tr>
        <w:trPr>
          <w:trHeight w:val="238"/>
        </w:trPr>
        <w:tc>
          <w:tcPr>
            <w:tcW w:w="546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Software recognized at a point in time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4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Software recognized over contract term </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119,179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94 %</w:t>
            </w:r>
          </w:p>
        </w:tc>
      </w:tr>
      <w:tr>
        <w:trPr>
          <w:trHeight w:val="248"/>
        </w:trPr>
        <w:tc>
          <w:tcPr>
            <w:tcW w:w="5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on-premises and SaaS software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14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40" w:hanging="332"/>
        <w:spacing w:after="0" w:line="244"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license portion of our on-premises subscription software and perpetual license, both of which are recognized when the software is made available to the customer, or at the start of the subscription.</w:t>
      </w:r>
    </w:p>
    <w:p>
      <w:pPr>
        <w:ind w:left="340" w:hanging="332"/>
        <w:spacing w:after="0" w:line="258"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maintenance portion and usage-based fees of our on-premises subscription software, maintenance revenue on perpetual licenses, as well as SaaS revenue.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Scores segment by distribution method: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December 31,</w:t>
            </w:r>
          </w:p>
        </w:tc>
        <w:tc>
          <w:tcPr>
            <w:tcW w:w="274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Percentage of revenues</w:t>
            </w: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194"/>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ind w:left="36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6"/>
                <w:szCs w:val="16"/>
                <w:color w:val="auto"/>
              </w:rPr>
            </w:pPr>
          </w:p>
        </w:tc>
      </w:tr>
      <w:tr>
        <w:trPr>
          <w:trHeight w:val="23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Business-to-business Scores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Business-to-consumer Scores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derive a substantial portion of revenues from our contracts with the three major consumer reporting agencies, TransUnion, Equifax and Experian. Revenues collectively generated by agreements with these customers accounted for 36% and 38% of our total revenues in the quarters ended December 31, 2022 and 2021, respectively, with two consumer reporting agencies each contributing more than 10% of our total revenues in each of the quarters ended December 31, 2022 and 2021.</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at December 31, 2022 and September 30, 2022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1640" w:type="dxa"/>
            <w:vAlign w:val="bottom"/>
          </w:tcPr>
          <w:p>
            <w:pPr>
              <w:jc w:val="right"/>
              <w:ind w:right="252"/>
              <w:spacing w:after="0"/>
              <w:rPr>
                <w:sz w:val="20"/>
                <w:szCs w:val="20"/>
                <w:color w:val="auto"/>
              </w:rPr>
            </w:pPr>
            <w:r>
              <w:rPr>
                <w:rFonts w:ascii="Arial" w:cs="Arial" w:eastAsia="Arial" w:hAnsi="Arial"/>
                <w:sz w:val="14"/>
                <w:szCs w:val="14"/>
                <w:b w:val="1"/>
                <w:bCs w:val="1"/>
                <w:color w:val="auto"/>
                <w:w w:val="97"/>
              </w:rPr>
              <w:t>September 30, 2022</w:t>
            </w:r>
          </w:p>
        </w:tc>
      </w:tr>
      <w:tr>
        <w:trPr>
          <w:trHeight w:val="25"/>
        </w:trPr>
        <w:tc>
          <w:tcPr>
            <w:tcW w:w="16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r>
      <w:tr>
        <w:trPr>
          <w:trHeight w:val="188"/>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4"/>
          </w:tcPr>
          <w:p>
            <w:pPr>
              <w:jc w:val="right"/>
              <w:ind w:right="1392"/>
              <w:spacing w:after="0"/>
              <w:rPr>
                <w:sz w:val="20"/>
                <w:szCs w:val="20"/>
                <w:color w:val="auto"/>
              </w:rPr>
            </w:pPr>
            <w:r>
              <w:rPr>
                <w:rFonts w:ascii="Arial" w:cs="Arial" w:eastAsia="Arial" w:hAnsi="Arial"/>
                <w:sz w:val="14"/>
                <w:szCs w:val="14"/>
                <w:b w:val="1"/>
                <w:bCs w:val="1"/>
                <w:color w:val="auto"/>
              </w:rPr>
              <w:t>(In thousands)</w:t>
            </w:r>
          </w:p>
        </w:tc>
      </w:tr>
      <w:tr>
        <w:trPr>
          <w:trHeight w:val="238"/>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203,351</w:t>
            </w: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165,386</w:t>
            </w:r>
          </w:p>
        </w:tc>
      </w:tr>
      <w:tr>
        <w:trPr>
          <w:trHeight w:val="223"/>
        </w:trPr>
        <w:tc>
          <w:tcPr>
            <w:tcW w:w="164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368,737</w:t>
            </w: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receivables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364,519</w:t>
            </w:r>
          </w:p>
        </w:tc>
      </w:tr>
      <w:tr>
        <w:trPr>
          <w:trHeight w:val="223"/>
        </w:trPr>
        <w:tc>
          <w:tcPr>
            <w:tcW w:w="73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long-term receivables (*)</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(42,109)</w:t>
            </w:r>
          </w:p>
        </w:tc>
      </w:tr>
      <w:tr>
        <w:trPr>
          <w:trHeight w:val="248"/>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Short-term receivables (*)</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322,410</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1640" w:type="dxa"/>
            <w:vAlign w:val="bottom"/>
            <w:tcBorders>
              <w:bottom w:val="single" w:sz="8" w:color="auto"/>
            </w:tcBorders>
          </w:tcPr>
          <w:p>
            <w:pPr>
              <w:spacing w:after="0"/>
              <w:rPr>
                <w:sz w:val="11"/>
                <w:szCs w:val="11"/>
                <w:color w:val="auto"/>
              </w:rPr>
            </w:pPr>
          </w:p>
        </w:tc>
        <w:tc>
          <w:tcPr>
            <w:tcW w:w="5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spacing w:after="0"/>
              <w:rPr>
                <w:sz w:val="11"/>
                <w:szCs w:val="11"/>
                <w:color w:val="auto"/>
              </w:rPr>
            </w:pPr>
          </w:p>
        </w:tc>
      </w:tr>
    </w:tbl>
    <w:p>
      <w:pPr>
        <w:spacing w:after="0" w:line="188" w:lineRule="exact"/>
        <w:rPr>
          <w:sz w:val="20"/>
          <w:szCs w:val="20"/>
          <w:color w:val="auto"/>
        </w:rPr>
      </w:pPr>
    </w:p>
    <w:p>
      <w:pPr>
        <w:ind w:firstLine="8"/>
        <w:spacing w:after="0" w:line="277" w:lineRule="auto"/>
        <w:tabs>
          <w:tab w:leader="none" w:pos="2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Short-term receivables and long-term receivables were recorded in accounts receivable, net and other assets, respectively, within the accompanying condensed consolidated balance sheets.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Deferred revenue primarily relates to our maintenance and SaaS contracts billed annually in advance and generally recognized ratably over the term of the service period. Significant changes in the deferred revenues balances are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revenues, beginning balance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right="1173"/>
        <w:spacing w:after="0" w:line="306" w:lineRule="auto"/>
        <w:rPr>
          <w:sz w:val="20"/>
          <w:szCs w:val="20"/>
          <w:color w:val="auto"/>
        </w:rPr>
      </w:pPr>
      <w:r>
        <w:rPr>
          <w:rFonts w:ascii="Arial" w:cs="Arial" w:eastAsia="Arial" w:hAnsi="Arial"/>
          <w:sz w:val="17"/>
          <w:szCs w:val="17"/>
          <w:color w:val="auto"/>
        </w:rPr>
        <w:t>Revenue recognized that was included in the deferred revenues balance at the beginning of the period Increases due to billings, excluding amounts recognized as revenue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Deferred revenues, ending balance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36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7"/>
        <w:spacing w:after="0"/>
        <w:rPr>
          <w:sz w:val="20"/>
          <w:szCs w:val="20"/>
          <w:color w:val="auto"/>
        </w:rPr>
      </w:pPr>
      <w:r>
        <w:rPr>
          <w:rFonts w:ascii="Arial" w:cs="Arial" w:eastAsia="Arial" w:hAnsi="Arial"/>
          <w:sz w:val="14"/>
          <w:szCs w:val="14"/>
          <w:b w:val="1"/>
          <w:bCs w:val="1"/>
          <w:color w:val="auto"/>
        </w:rPr>
        <w:t>Quarter Ended</w:t>
      </w:r>
    </w:p>
    <w:p>
      <w:pPr>
        <w:ind w:left="407"/>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2858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9" w:lineRule="exact"/>
        <w:rPr>
          <w:sz w:val="20"/>
          <w:szCs w:val="20"/>
          <w:color w:val="auto"/>
        </w:rPr>
      </w:pPr>
    </w:p>
    <w:p>
      <w:pPr>
        <w:ind w:left="547"/>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1347" w:hanging="1347"/>
        <w:spacing w:after="0"/>
        <w:tabs>
          <w:tab w:leader="none" w:pos="1347" w:val="left"/>
        </w:tabs>
        <w:numPr>
          <w:ilvl w:val="0"/>
          <w:numId w:val="11"/>
        </w:numPr>
        <w:rPr>
          <w:rFonts w:ascii="Arial" w:cs="Arial" w:eastAsia="Arial" w:hAnsi="Arial"/>
          <w:sz w:val="17"/>
          <w:szCs w:val="17"/>
          <w:color w:val="auto"/>
        </w:rPr>
      </w:pPr>
      <w:r>
        <w:rPr>
          <w:rFonts w:ascii="Arial" w:cs="Arial" w:eastAsia="Arial" w:hAnsi="Arial"/>
          <w:sz w:val="17"/>
          <w:szCs w:val="17"/>
          <w:color w:val="auto"/>
        </w:rPr>
        <w:t>126,560</w:t>
      </w:r>
    </w:p>
    <w:p>
      <w:pPr>
        <w:spacing w:after="0" w:line="34" w:lineRule="exact"/>
        <w:rPr>
          <w:rFonts w:ascii="Arial" w:cs="Arial" w:eastAsia="Arial" w:hAnsi="Arial"/>
          <w:sz w:val="17"/>
          <w:szCs w:val="17"/>
          <w:color w:val="auto"/>
        </w:rPr>
      </w:pPr>
    </w:p>
    <w:p>
      <w:pPr>
        <w:ind w:left="1367"/>
        <w:spacing w:after="0"/>
        <w:rPr>
          <w:rFonts w:ascii="Arial" w:cs="Arial" w:eastAsia="Arial" w:hAnsi="Arial"/>
          <w:sz w:val="17"/>
          <w:szCs w:val="17"/>
          <w:color w:val="auto"/>
        </w:rPr>
      </w:pPr>
      <w:r>
        <w:rPr>
          <w:rFonts w:ascii="Arial" w:cs="Arial" w:eastAsia="Arial" w:hAnsi="Arial"/>
          <w:sz w:val="16"/>
          <w:szCs w:val="16"/>
          <w:color w:val="auto"/>
        </w:rPr>
        <w:t>(55,674)</w:t>
      </w:r>
    </w:p>
    <w:p>
      <w:pPr>
        <w:spacing w:after="0" w:line="45" w:lineRule="exact"/>
        <w:rPr>
          <w:rFonts w:ascii="Arial" w:cs="Arial" w:eastAsia="Arial" w:hAnsi="Arial"/>
          <w:sz w:val="17"/>
          <w:szCs w:val="17"/>
          <w:color w:val="auto"/>
        </w:rPr>
      </w:pPr>
    </w:p>
    <w:p>
      <w:pPr>
        <w:ind w:left="1447"/>
        <w:spacing w:after="0"/>
        <w:rPr>
          <w:rFonts w:ascii="Arial" w:cs="Arial" w:eastAsia="Arial" w:hAnsi="Arial"/>
          <w:sz w:val="17"/>
          <w:szCs w:val="17"/>
          <w:color w:val="auto"/>
        </w:rPr>
      </w:pPr>
      <w:r>
        <w:rPr>
          <w:rFonts w:ascii="Arial" w:cs="Arial" w:eastAsia="Arial" w:hAnsi="Arial"/>
          <w:sz w:val="17"/>
          <w:szCs w:val="17"/>
          <w:color w:val="auto"/>
        </w:rPr>
        <w:t>62,702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2858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7" w:lineRule="exact"/>
        <w:rPr>
          <w:sz w:val="20"/>
          <w:szCs w:val="20"/>
          <w:color w:val="auto"/>
        </w:rPr>
      </w:pPr>
    </w:p>
    <w:p>
      <w:pPr>
        <w:ind w:left="1347" w:hanging="1347"/>
        <w:spacing w:after="0"/>
        <w:tabs>
          <w:tab w:leader="none" w:pos="13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133,588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285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12858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513" w:space="720"/>
            <w:col w:w="2007"/>
          </w:cols>
          <w:pgMar w:left="320" w:top="125" w:right="339" w:bottom="1440" w:gutter="0" w:footer="0" w:header="0"/>
          <w:type w:val="continuous"/>
        </w:sectPr>
      </w:pPr>
    </w:p>
    <w:p>
      <w:pPr>
        <w:spacing w:after="0" w:line="268" w:lineRule="exact"/>
        <w:rPr>
          <w:sz w:val="20"/>
          <w:szCs w:val="20"/>
          <w:color w:val="auto"/>
        </w:rPr>
      </w:pPr>
    </w:p>
    <w:p>
      <w:pPr>
        <w:ind w:firstLine="8"/>
        <w:spacing w:after="0" w:line="277" w:lineRule="auto"/>
        <w:tabs>
          <w:tab w:leader="none" w:pos="2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revenues at December 31, 2022 included current portion of $126.9 million and long-term portion of $6.7 million that were recorded in deferred revenue and other liabilities, respectively, within the condensed consolidated balance sheets.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Usage-based revenue that will be recognized in future periods from on-premises software subscriptions;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Consumption-based variable fees from SaaS software that will be recognized in the distinct service period during which it is earned; and</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 allocated to remaining performance obligations was $406.8 million as of December 31, 2022, approximately 51% of which we expect to recognize over the next 17 months and the remainder thereafter. Revenue allocated to remaining performance obligations was $357.4 million as of September 30, 2022.</w:t>
      </w:r>
    </w:p>
    <w:p>
      <w:pPr>
        <w:spacing w:after="0" w:line="234" w:lineRule="exact"/>
        <w:rPr>
          <w:sz w:val="20"/>
          <w:szCs w:val="20"/>
          <w:color w:val="auto"/>
        </w:rPr>
      </w:pPr>
    </w:p>
    <w:p>
      <w:pPr>
        <w:ind w:left="220" w:right="9720" w:hanging="212"/>
        <w:spacing w:after="0" w:line="453" w:lineRule="auto"/>
        <w:tabs>
          <w:tab w:leader="none" w:pos="198"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i w:val="1"/>
          <w:iCs w:val="1"/>
          <w:color w:val="auto"/>
        </w:rPr>
        <w:t>Effective Tax Rate</w:t>
      </w:r>
    </w:p>
    <w:p>
      <w:pPr>
        <w:spacing w:after="0" w:line="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effective income tax rate was 17.2% and 18.9% during the quarters ended December 31, 2022 and 2021,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1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effective tax rates for the quarters ended December 31, 2022 and 2021 were both favorably impacted by the recording of excess tax benefits relating to stock awards. The impact is dependent upon grants of share-based compensation and the future stock price in relation to the fair value of awards on the grant date. The increase in stock price for awards that vested in December 2022 resulted in an increased net excess tax benefit for the quarter ended December 31, 2022, as compared to the quarter ended December 31, 2021.</w:t>
      </w:r>
    </w:p>
    <w:p>
      <w:pPr>
        <w:spacing w:after="0" w:line="133"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 provision enacted as part of the 2017 Tax Cuts and Jobs Act requires companies to capitalize research and experimental expenditures for tax purposes. The provision is effective for fiscal years beginning after December 31, 2021, which means that it was effective for our fiscal year beginning October 1, 2022. While this provision is not expected to have a material impact on our fiscal 2023 effective tax rate, we expect our fiscal 2023 cash tax payments and related deferred tax asset positions to increase significantly compared to fiscal 2022.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total unrecognized tax benefit for uncertain tax positions was estimated to be $13.8 million and $13.0 million at December 31, 2022 and September 30, 2022, respectively. We recognize interest expense related to unrecognized tax benefits and penalties as part of the provision for income taxes in our condensed consolidated statements of income and comprehensive income. We accrued interest of $0.7 million and $0.5 million related to unrecognized tax benefits as of December 31, 2022 and September 30, 2022,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Employee Benefit Plans</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maintain the 2021 Long-Term Incentive Plan (the “2021 Plan”) under which we grant equity awards, including stock options, stock appreciation rights, restricted stock awards, stock unit awards and other share-based awards. All employees, consultants and advisors of FICO or any subsidiary, as well as all non-employee directors, are eligible to receive awards under the 2021 Plan. Stock option awards have a maximum term of ten years. In general, stock option awards and stock unit awards not subject to market or performance conditions vest annually over four years. Stock unit awards subject to market or performance conditions generally vest annually over three years based on the achievement of specified criteria.</w:t>
      </w:r>
    </w:p>
    <w:p>
      <w:pPr>
        <w:spacing w:after="0" w:line="10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also maintain the 2019 Employee Stock Purchase Plan (the “2019 Purchase Plan”) under which we are authorized to issue up to 1,000,000 shares of our common stock to eligible employees. Eligible employees may elect to have up to 15% of their eligible pay withheld through payroll deductions to purchase FICO common stock during semi-annual offering periods. The purchase price of the stock is 85% of the closing sales price of FICO common stock on the last trading day of each offering period. Offering period means the approximately six-month periods commencing (a) on the first trading day on or after September 1 and terminating on the last trading day in the following February, and (b) on the first trading day on or after March 1 and terminating on the last trading day in the following August. No shares were purchased under the 2019 Purchase Plan during the quarter ended December 31, 2022.</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restricted stock unit activity during the quarter ended December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96"/>
        </w:trPr>
        <w:tc>
          <w:tcPr>
            <w:tcW w:w="738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94"/>
        </w:trPr>
        <w:tc>
          <w:tcPr>
            <w:tcW w:w="7380" w:type="dxa"/>
            <w:vAlign w:val="bottom"/>
          </w:tcPr>
          <w:p>
            <w:pPr>
              <w:spacing w:after="0"/>
              <w:rPr>
                <w:sz w:val="16"/>
                <w:szCs w:val="16"/>
                <w:color w:val="auto"/>
              </w:rPr>
            </w:pPr>
          </w:p>
        </w:tc>
        <w:tc>
          <w:tcPr>
            <w:tcW w:w="142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398.07</w:t>
            </w:r>
          </w:p>
        </w:tc>
        <w:tc>
          <w:tcPr>
            <w:tcW w:w="0" w:type="dxa"/>
            <w:vAlign w:val="bottom"/>
          </w:tcPr>
          <w:p>
            <w:pPr>
              <w:spacing w:after="0"/>
              <w:rPr>
                <w:sz w:val="1"/>
                <w:szCs w:val="1"/>
                <w:color w:val="auto"/>
              </w:rPr>
            </w:pPr>
          </w:p>
        </w:tc>
      </w:tr>
      <w:tr>
        <w:trPr>
          <w:trHeight w:val="230"/>
        </w:trPr>
        <w:tc>
          <w:tcPr>
            <w:tcW w:w="88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610.04</w:t>
            </w:r>
          </w:p>
        </w:tc>
        <w:tc>
          <w:tcPr>
            <w:tcW w:w="0" w:type="dxa"/>
            <w:vAlign w:val="bottom"/>
          </w:tcPr>
          <w:p>
            <w:pPr>
              <w:spacing w:after="0"/>
              <w:rPr>
                <w:sz w:val="1"/>
                <w:szCs w:val="1"/>
                <w:color w:val="auto"/>
              </w:rPr>
            </w:pPr>
          </w:p>
        </w:tc>
      </w:tr>
      <w:tr>
        <w:trPr>
          <w:trHeight w:val="230"/>
        </w:trPr>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Released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349.76</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420.56</w:t>
            </w: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80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Performance Share Units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0" w:type="dxa"/>
            <w:vAlign w:val="bottom"/>
            <w:gridSpan w:val="2"/>
          </w:tcPr>
          <w:p>
            <w:pPr>
              <w:ind w:left="420"/>
              <w:spacing w:after="0"/>
              <w:rPr>
                <w:sz w:val="20"/>
                <w:szCs w:val="20"/>
                <w:color w:val="auto"/>
              </w:rPr>
            </w:pPr>
            <w:r>
              <w:rPr>
                <w:rFonts w:ascii="Arial" w:cs="Arial" w:eastAsia="Arial" w:hAnsi="Arial"/>
                <w:sz w:val="18"/>
                <w:szCs w:val="18"/>
                <w:color w:val="auto"/>
                <w:w w:val="95"/>
              </w:rPr>
              <w:t>The following table summarizes performance share unit activity during the quarter ended December 31, 2022: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380" w:type="dxa"/>
            <w:vAlign w:val="bottom"/>
          </w:tcPr>
          <w:p>
            <w:pPr>
              <w:spacing w:after="0"/>
              <w:rPr>
                <w:sz w:val="22"/>
                <w:szCs w:val="22"/>
                <w:color w:val="auto"/>
              </w:rPr>
            </w:pPr>
          </w:p>
        </w:tc>
        <w:tc>
          <w:tcPr>
            <w:tcW w:w="14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92"/>
        </w:trPr>
        <w:tc>
          <w:tcPr>
            <w:tcW w:w="738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94"/>
        </w:trPr>
        <w:tc>
          <w:tcPr>
            <w:tcW w:w="7380" w:type="dxa"/>
            <w:vAlign w:val="bottom"/>
          </w:tcPr>
          <w:p>
            <w:pPr>
              <w:spacing w:after="0"/>
              <w:rPr>
                <w:sz w:val="16"/>
                <w:szCs w:val="16"/>
                <w:color w:val="auto"/>
              </w:rPr>
            </w:pPr>
          </w:p>
        </w:tc>
        <w:tc>
          <w:tcPr>
            <w:tcW w:w="142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432.73</w:t>
            </w:r>
          </w:p>
        </w:tc>
        <w:tc>
          <w:tcPr>
            <w:tcW w:w="0" w:type="dxa"/>
            <w:vAlign w:val="bottom"/>
          </w:tcPr>
          <w:p>
            <w:pPr>
              <w:spacing w:after="0"/>
              <w:rPr>
                <w:sz w:val="1"/>
                <w:szCs w:val="1"/>
                <w:color w:val="auto"/>
              </w:rPr>
            </w:pPr>
          </w:p>
        </w:tc>
      </w:tr>
      <w:tr>
        <w:trPr>
          <w:trHeight w:val="229"/>
        </w:trPr>
        <w:tc>
          <w:tcPr>
            <w:tcW w:w="88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615.45</w:t>
            </w:r>
          </w:p>
        </w:tc>
        <w:tc>
          <w:tcPr>
            <w:tcW w:w="0" w:type="dxa"/>
            <w:vAlign w:val="bottom"/>
          </w:tcPr>
          <w:p>
            <w:pPr>
              <w:spacing w:after="0"/>
              <w:rPr>
                <w:sz w:val="1"/>
                <w:szCs w:val="1"/>
                <w:color w:val="auto"/>
              </w:rPr>
            </w:pPr>
          </w:p>
        </w:tc>
      </w:tr>
      <w:tr>
        <w:trPr>
          <w:trHeight w:val="230"/>
        </w:trPr>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Released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428.90</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436.82</w:t>
            </w:r>
          </w:p>
        </w:tc>
        <w:tc>
          <w:tcPr>
            <w:tcW w:w="0" w:type="dxa"/>
            <w:vAlign w:val="bottom"/>
          </w:tcPr>
          <w:p>
            <w:pPr>
              <w:spacing w:after="0"/>
              <w:rPr>
                <w:sz w:val="1"/>
                <w:szCs w:val="1"/>
                <w:color w:val="auto"/>
              </w:rPr>
            </w:pPr>
          </w:p>
        </w:tc>
      </w:tr>
      <w:tr>
        <w:trPr>
          <w:trHeight w:val="243"/>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490.75</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13</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73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 Share Units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market share unit activity during the quarter ended December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74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194"/>
        </w:trPr>
        <w:tc>
          <w:tcPr>
            <w:tcW w:w="4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363"/>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2022</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586.91</w:t>
            </w: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733.42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Released</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502.41</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642.47</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773.82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color w:val="auto"/>
              </w:rPr>
              <w:t>Stock Options</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gridSpan w:val="6"/>
          </w:tcPr>
          <w:p>
            <w:pPr>
              <w:ind w:left="420"/>
              <w:spacing w:after="0"/>
              <w:rPr>
                <w:sz w:val="20"/>
                <w:szCs w:val="20"/>
                <w:color w:val="auto"/>
              </w:rPr>
            </w:pPr>
            <w:r>
              <w:rPr>
                <w:rFonts w:ascii="Arial" w:cs="Arial" w:eastAsia="Arial" w:hAnsi="Arial"/>
                <w:sz w:val="18"/>
                <w:szCs w:val="18"/>
                <w:color w:val="auto"/>
              </w:rPr>
              <w:t>The following table summarizes option activity during the quarter ended December 31, 2022: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Weighted-average</w:t>
            </w:r>
          </w:p>
        </w:tc>
        <w:tc>
          <w:tcPr>
            <w:tcW w:w="100" w:type="dxa"/>
            <w:vAlign w:val="bottom"/>
          </w:tcPr>
          <w:p>
            <w:pPr>
              <w:spacing w:after="0"/>
              <w:rPr>
                <w:sz w:val="22"/>
                <w:szCs w:val="22"/>
                <w:color w:val="auto"/>
              </w:rPr>
            </w:pPr>
          </w:p>
        </w:tc>
        <w:tc>
          <w:tcPr>
            <w:tcW w:w="1460" w:type="dxa"/>
            <w:vAlign w:val="bottom"/>
            <w:gridSpan w:val="2"/>
          </w:tcPr>
          <w:p>
            <w:pPr>
              <w:jc w:val="center"/>
              <w:ind w:left="43"/>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14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5"/>
              </w:rPr>
              <w:t>Remaining Contractual</w:t>
            </w:r>
          </w:p>
        </w:tc>
        <w:tc>
          <w:tcPr>
            <w:tcW w:w="100" w:type="dxa"/>
            <w:vAlign w:val="bottom"/>
          </w:tcPr>
          <w:p>
            <w:pPr>
              <w:spacing w:after="0"/>
              <w:rPr>
                <w:sz w:val="12"/>
                <w:szCs w:val="12"/>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Aggregate Intrinsic Value</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7"/>
                <w:szCs w:val="17"/>
                <w:color w:val="auto"/>
              </w:rPr>
            </w:pPr>
          </w:p>
        </w:tc>
        <w:tc>
          <w:tcPr>
            <w:tcW w:w="1460" w:type="dxa"/>
            <w:vAlign w:val="bottom"/>
            <w:tcBorders>
              <w:bottom w:val="single" w:sz="8" w:color="auto"/>
            </w:tcBorders>
            <w:gridSpan w:val="2"/>
          </w:tcPr>
          <w:p>
            <w:pPr>
              <w:jc w:val="center"/>
              <w:ind w:left="43"/>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00" w:type="dxa"/>
            <w:vAlign w:val="bottom"/>
          </w:tcPr>
          <w:p>
            <w:pPr>
              <w:spacing w:after="0"/>
              <w:rPr>
                <w:sz w:val="16"/>
                <w:szCs w:val="16"/>
                <w:color w:val="auto"/>
              </w:rPr>
            </w:pPr>
          </w:p>
        </w:tc>
        <w:tc>
          <w:tcPr>
            <w:tcW w:w="1480" w:type="dxa"/>
            <w:vAlign w:val="bottom"/>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left="43"/>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247.56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615.45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80" w:type="dxa"/>
            <w:vAlign w:val="bottom"/>
          </w:tcPr>
          <w:p>
            <w:pPr>
              <w:jc w:val="right"/>
              <w:spacing w:after="0"/>
              <w:rPr>
                <w:sz w:val="20"/>
                <w:szCs w:val="20"/>
                <w:color w:val="auto"/>
              </w:rPr>
            </w:pPr>
            <w:r>
              <w:rPr>
                <w:rFonts w:ascii="Arial" w:cs="Arial" w:eastAsia="Arial" w:hAnsi="Arial"/>
                <w:sz w:val="18"/>
                <w:szCs w:val="18"/>
                <w:color w:val="auto"/>
              </w:rPr>
              <w:t>191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266.44</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3.35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63,594</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236.68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80" w:type="dxa"/>
            <w:vAlign w:val="bottom"/>
            <w:tcBorders>
              <w:top w:val="single" w:sz="8" w:color="CCEEFF"/>
            </w:tcBorders>
            <w:gridSpan w:val="4"/>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Vested or expected to vest at December 31, 2022</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w:t>
            </w:r>
          </w:p>
        </w:tc>
        <w:tc>
          <w:tcPr>
            <w:tcW w:w="3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264.95</w:t>
            </w:r>
          </w:p>
        </w:tc>
        <w:tc>
          <w:tcPr>
            <w:tcW w:w="100" w:type="dxa"/>
            <w:vAlign w:val="bottom"/>
          </w:tcPr>
          <w:p>
            <w:pPr>
              <w:spacing w:after="0"/>
              <w:rPr>
                <w:sz w:val="17"/>
                <w:szCs w:val="17"/>
                <w:color w:val="auto"/>
              </w:rPr>
            </w:pPr>
          </w:p>
        </w:tc>
        <w:tc>
          <w:tcPr>
            <w:tcW w:w="158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3.33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63,366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for the quarters ended December 31, 2022 and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 December 31,</w:t>
            </w:r>
          </w:p>
        </w:tc>
        <w:tc>
          <w:tcPr>
            <w:tcW w:w="5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194"/>
        </w:trPr>
        <w:tc>
          <w:tcPr>
            <w:tcW w:w="8260" w:type="dxa"/>
            <w:vAlign w:val="bottom"/>
          </w:tcPr>
          <w:p>
            <w:pPr>
              <w:spacing w:after="0"/>
              <w:rPr>
                <w:sz w:val="16"/>
                <w:szCs w:val="16"/>
                <w:color w:val="auto"/>
              </w:rPr>
            </w:pPr>
          </w:p>
        </w:tc>
        <w:tc>
          <w:tcPr>
            <w:tcW w:w="2980" w:type="dxa"/>
            <w:vAlign w:val="bottom"/>
            <w:gridSpan w:val="5"/>
          </w:tcPr>
          <w:p>
            <w:pPr>
              <w:jc w:val="right"/>
              <w:ind w:right="25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diluted and basic earnings per share:</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97,643</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84,959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 — share: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Basic weighted-average shares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25,045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27,167</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Diluted weighted-average shares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25,443</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27,524</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6"/>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Anti-dilutive share-based awards excluded from the calculations of diluted EPS were immaterial during the periods presented.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30" w:lineRule="exact"/>
        <w:rPr>
          <w:sz w:val="20"/>
          <w:szCs w:val="20"/>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Scores. </w:t>
      </w:r>
      <w:r>
        <w:rPr>
          <w:rFonts w:ascii="Arial" w:cs="Arial" w:eastAsia="Arial" w:hAnsi="Arial"/>
          <w:sz w:val="18"/>
          <w:szCs w:val="18"/>
          <w:color w:val="auto"/>
        </w:rPr>
        <w:t>This segment includes our business-to-business (“B2B”) scoring solutions and services which give our clients access to predictive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scores that can be easily integrated into their transaction streams and decision-making processes. This segment also includes our business-to-consumer (“B2C”) scoring solutions, including our myFICO.com subscription offerings.</w:t>
      </w:r>
    </w:p>
    <w:p>
      <w:pPr>
        <w:spacing w:after="0" w:line="75"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Software</w:t>
      </w:r>
      <w:r>
        <w:rPr>
          <w:rFonts w:ascii="Arial" w:cs="Arial" w:eastAsia="Arial" w:hAnsi="Arial"/>
          <w:sz w:val="17"/>
          <w:szCs w:val="17"/>
          <w:color w:val="auto"/>
        </w:rPr>
        <w:t>. This segment includes pre-configured analytic and decision management solutions designed for a specific type of business need or</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 such as account origination, customer management, customer engagement, fraud detection, and marketing — as well as associated professional services. This segment also includes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spacing w:after="0" w:line="13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spacing w:after="0" w:line="11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have recast certain prior period amounts within this note to conform to the way we internally managed and monitored segment performance during the current fiscal year, reflecting immaterial movements of business activities between segments and changes in cost allocations.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segment information for the quarters ended December 31, 2022 and 2021:</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December 31, 2022</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3"/>
              </w:rPr>
              <w:t>Unallocated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Software</w:t>
            </w:r>
          </w:p>
        </w:tc>
        <w:tc>
          <w:tcPr>
            <w:tcW w:w="22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40"/>
              <w:spacing w:after="0"/>
              <w:rPr>
                <w:sz w:val="20"/>
                <w:szCs w:val="20"/>
                <w:color w:val="auto"/>
              </w:rPr>
            </w:pPr>
            <w:r>
              <w:rPr>
                <w:rFonts w:ascii="Arial" w:cs="Arial" w:eastAsia="Arial" w:hAnsi="Arial"/>
                <w:sz w:val="18"/>
                <w:szCs w:val="18"/>
                <w:color w:val="auto"/>
              </w:rPr>
              <w:t>On-premises and SaaS software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144,560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144,560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22,322</w:t>
            </w:r>
          </w:p>
        </w:tc>
        <w:tc>
          <w:tcPr>
            <w:tcW w:w="0" w:type="dxa"/>
            <w:vAlign w:val="bottom"/>
          </w:tcPr>
          <w:p>
            <w:pPr>
              <w:spacing w:after="0"/>
              <w:rPr>
                <w:sz w:val="1"/>
                <w:szCs w:val="1"/>
                <w:color w:val="auto"/>
              </w:rPr>
            </w:pPr>
          </w:p>
        </w:tc>
      </w:tr>
      <w:tr>
        <w:trPr>
          <w:trHeight w:val="230"/>
        </w:trPr>
        <w:tc>
          <w:tcPr>
            <w:tcW w:w="4920" w:type="dxa"/>
            <w:vAlign w:val="bottom"/>
          </w:tcPr>
          <w:p>
            <w:pPr>
              <w:ind w:left="340"/>
              <w:spacing w:after="0"/>
              <w:rPr>
                <w:sz w:val="20"/>
                <w:szCs w:val="20"/>
                <w:color w:val="auto"/>
              </w:rPr>
            </w:pPr>
            <w:r>
              <w:rPr>
                <w:rFonts w:ascii="Arial" w:cs="Arial" w:eastAsia="Arial" w:hAnsi="Arial"/>
                <w:sz w:val="18"/>
                <w:szCs w:val="18"/>
                <w:color w:val="auto"/>
              </w:rPr>
              <w:t>Scores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177,988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177,988</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segment revenues</w:t>
            </w: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344,870</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operating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2"/>
              </w:rPr>
              <w:t>(34,082)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(176,495)</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Segment 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2"/>
              </w:rPr>
              <w:t>(34,082)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168,375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Unallocated share-based compensation expense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(29,702)</w:t>
            </w:r>
          </w:p>
        </w:tc>
        <w:tc>
          <w:tcPr>
            <w:tcW w:w="0" w:type="dxa"/>
            <w:vAlign w:val="bottom"/>
          </w:tcPr>
          <w:p>
            <w:pPr>
              <w:spacing w:after="0" w:line="20" w:lineRule="exact"/>
              <w:rPr>
                <w:sz w:val="1"/>
                <w:szCs w:val="1"/>
                <w:color w:val="auto"/>
              </w:rPr>
            </w:pPr>
          </w:p>
        </w:tc>
      </w:tr>
      <w:tr>
        <w:trPr>
          <w:trHeight w:val="177"/>
        </w:trPr>
        <w:tc>
          <w:tcPr>
            <w:tcW w:w="4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gain on product line asset sale</w:t>
            </w: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140,339</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Unallocated interest expense, net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Unallocated other income, net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117,903</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December 31, 2021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Unallocated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26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Software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On-premises and SaaS software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126,338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126,338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Scores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169,487</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segment revenues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322,361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2"/>
              </w:rPr>
              <w:t>(37,152)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(176,353)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Segment 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2"/>
              </w:rPr>
              <w:t>(37,152)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146,008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share-based compensation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(29,878)</w:t>
            </w: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115,586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other income, net</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bottom w:val="single" w:sz="8" w:color="CCEEFF"/>
            </w:tcBorders>
            <w:vMerge w:val="restart"/>
          </w:tcPr>
          <w:p>
            <w:pPr>
              <w:ind w:left="940"/>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w:t>
      </w:r>
    </w:p>
    <w:p>
      <w:pPr>
        <w:spacing w:after="0" w:line="1" w:lineRule="exact"/>
        <w:rPr>
          <w:sz w:val="20"/>
          <w:szCs w:val="20"/>
          <w:color w:val="auto"/>
        </w:rPr>
      </w:pPr>
    </w:p>
    <w:p>
      <w:pPr>
        <w:jc w:val="both"/>
        <w:ind w:firstLine="8"/>
        <w:spacing w:after="0" w:line="266" w:lineRule="auto"/>
        <w:tabs>
          <w:tab w:leader="none" w:pos="242"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of our Annual Report on Form 10-K for the fiscal year ended September 30, 2022 and in subsequent filings with the SEC.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5"/>
        <w:spacing w:after="0" w:line="231" w:lineRule="auto"/>
        <w:rPr>
          <w:sz w:val="20"/>
          <w:szCs w:val="20"/>
          <w:color w:val="auto"/>
        </w:rPr>
      </w:pPr>
      <w:r>
        <w:rPr>
          <w:rFonts w:ascii="Arial" w:cs="Arial" w:eastAsia="Arial" w:hAnsi="Arial"/>
          <w:sz w:val="18"/>
          <w:szCs w:val="18"/>
          <w:color w:val="auto"/>
        </w:rPr>
        <w:t>We were founded in 1956 on the premise that data, used intelligently, can improve business decisions. Today, FICO’s software and the widely used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Scores — the standard measure in the U.S. of consumer credit risk — empowering them to increase financial literacy and manage their financial health.</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business consists of two operating segments: Scores and Software.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Software segment includes pre-configured analytic and decision management solutions designed for a specific type of business need or process</w:t>
      </w:r>
    </w:p>
    <w:p>
      <w:pPr>
        <w:spacing w:after="0" w:line="4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such as account origination, customer management, customer engagement, fraud detection, and marketing — as well as associated professional services. This segment also includes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the quarter ended December 31, 2022</w:t>
      </w:r>
    </w:p>
    <w:p>
      <w:pPr>
        <w:spacing w:after="0" w:line="4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1"/>
          <w:szCs w:val="21"/>
          <w:color w:val="auto"/>
        </w:rPr>
      </w:pPr>
      <w:r>
        <w:rPr>
          <w:rFonts w:ascii="Arial" w:cs="Arial" w:eastAsia="Arial" w:hAnsi="Arial"/>
          <w:sz w:val="17"/>
          <w:szCs w:val="17"/>
          <w:color w:val="auto"/>
        </w:rPr>
        <w:t>Total revenue was $344.9 million during the quarter ended December 31, 2022, a 7% increase from the quarter ended December 31, 2021.</w:t>
      </w:r>
    </w:p>
    <w:p>
      <w:pPr>
        <w:spacing w:after="0" w:line="39" w:lineRule="exact"/>
        <w:rPr>
          <w:rFonts w:ascii="Arial" w:cs="Arial" w:eastAsia="Arial" w:hAnsi="Arial"/>
          <w:sz w:val="21"/>
          <w:szCs w:val="21"/>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revenue for our Scores segment was $178.0 million during the quarter ended December 31, 2022, a 5% increase from the quarter ended December 31, 2021.</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 Recurring Revenue for our Software segment as of December 31, 2022 was $582.9 million, an 11% increase from December 31, 2021.</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Dollar-Based Net Retention Rate for our Software segment was 110% during the quarter ended December 31,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Operating income was $140.3 million during the quarter ended December 31, 2022, a 21% increase from the quarter ended December 31, 2021.</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income was $97.6 million during the quarter ended December 31, 2022, a 15% increase from the quarter ended December 31, 2021.</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Diluted EPS was $3.84 during the quarter ended December 31, 2022, a 24% increase from the quarter ended December 31, 2021.</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flows from operations were $92.4 million during the quarter ended December 31, 2022, compared with $124.9 million during the quarter ended December 31, 2021.</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cash equivalents were $139.9 million as of December 31, 2022, compared with $133.2 million as of September 30,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debt balance was $1.9 billion as of December 31, 2022 and September 30, 2022.</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share repurchases during the quarter ended December 31, 2022 were $75.0 million, compared with $493.6 million during the quarter ended December 31,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 for Software segment</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Contract Value Bookings (“ACV Bookings”)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Management regards ACV Bookings as an important indicator of future revenues, but they are not comparable to, nor are they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spacing w:after="0" w:line="13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w:t>
      </w:r>
    </w:p>
    <w:p>
      <w:pPr>
        <w:spacing w:after="0" w:line="13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disclose estimated revenue expected to be recognized in the future related to remaining performance obligations in Note 8 to the accompanying condensed consolidated financial statements. However, we believe ACV Bookings is a more meaningful measure of our business as it includes estimated revenues and future billings excluded from Note 8, such as usage-based fees and guaranteed minimums derived from our on-premises software licenses, among others.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ACV Bookings during the periods indicated:</w:t>
      </w:r>
    </w:p>
    <w:p>
      <w:pPr>
        <w:spacing w:after="0" w:line="149"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Quarter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32385</wp:posOffset>
            </wp:positionV>
            <wp:extent cx="22459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5" w:lineRule="exact"/>
        <w:rPr>
          <w:sz w:val="20"/>
          <w:szCs w:val="20"/>
          <w:color w:val="auto"/>
        </w:rPr>
      </w:pPr>
    </w:p>
    <w:p>
      <w:pPr>
        <w:ind w:left="8380"/>
        <w:spacing w:after="0"/>
        <w:tabs>
          <w:tab w:leader="none" w:pos="102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32385</wp:posOffset>
            </wp:positionV>
            <wp:extent cx="22459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5"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ind w:left="20"/>
        <w:spacing w:after="0"/>
        <w:tabs>
          <w:tab w:leader="none" w:pos="7700" w:val="left"/>
          <w:tab w:leader="none" w:pos="8940" w:val="left"/>
          <w:tab w:leader="none" w:pos="9600" w:val="left"/>
          <w:tab w:leader="none" w:pos="10840" w:val="left"/>
        </w:tabs>
        <w:rPr>
          <w:sz w:val="20"/>
          <w:szCs w:val="20"/>
          <w:color w:val="auto"/>
        </w:rPr>
      </w:pPr>
      <w:r>
        <w:rPr>
          <w:rFonts w:ascii="Arial" w:cs="Arial" w:eastAsia="Arial" w:hAnsi="Arial"/>
          <w:sz w:val="18"/>
          <w:szCs w:val="18"/>
          <w:color w:val="auto"/>
        </w:rPr>
        <w:t xml:space="preserve">Total on-premises and SaaS software </w:t>
      </w:r>
      <w:r>
        <w:rPr>
          <w:rFonts w:ascii="Arial" w:cs="Arial" w:eastAsia="Arial" w:hAnsi="Arial"/>
          <w:sz w:val="23"/>
          <w:szCs w:val="23"/>
          <w:color w:val="auto"/>
          <w:vertAlign w:val="superscript"/>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7" w:lineRule="exact"/>
        <w:rPr>
          <w:sz w:val="20"/>
          <w:szCs w:val="20"/>
          <w:color w:val="auto"/>
        </w:rPr>
      </w:pPr>
    </w:p>
    <w:p>
      <w:pPr>
        <w:ind w:firstLine="8"/>
        <w:spacing w:after="0" w:line="277"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quarter ended December 31, 2022, we sold certain assets related to our Siron compliance business. The amounts above exclude this product line for all periods presented.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6"/>
          <w:szCs w:val="16"/>
          <w:color w:val="auto"/>
        </w:rPr>
        <w:t xml:space="preserve">Accounting Standards Codification Topic 606, </w:t>
      </w:r>
      <w:r>
        <w:rPr>
          <w:rFonts w:ascii="Arial" w:cs="Arial" w:eastAsia="Arial" w:hAnsi="Arial"/>
          <w:sz w:val="16"/>
          <w:szCs w:val="16"/>
          <w:i w:val="1"/>
          <w:iCs w:val="1"/>
          <w:color w:val="auto"/>
        </w:rPr>
        <w:t>Revenue from Contacts with Customers</w:t>
      </w:r>
      <w:r>
        <w:rPr>
          <w:rFonts w:ascii="Arial" w:cs="Arial" w:eastAsia="Arial" w:hAnsi="Arial"/>
          <w:sz w:val="16"/>
          <w:szCs w:val="16"/>
          <w:color w:val="auto"/>
        </w:rPr>
        <w:t>, requires us to recognize a significant portion of revenue from our on-premises software subscriptions at the point in time when the software is first made available to the customer, or at the beginning of the subscription</w:t>
      </w:r>
    </w:p>
    <w:p>
      <w:pPr>
        <w:jc w:val="both"/>
        <w:spacing w:after="0" w:line="289" w:lineRule="auto"/>
        <w:rPr>
          <w:sz w:val="20"/>
          <w:szCs w:val="20"/>
          <w:color w:val="auto"/>
        </w:rPr>
      </w:pPr>
      <w:r>
        <w:rPr>
          <w:rFonts w:ascii="Arial" w:cs="Arial" w:eastAsia="Arial" w:hAnsi="Arial"/>
          <w:sz w:val="16"/>
          <w:szCs w:val="16"/>
          <w:color w:val="auto"/>
        </w:rPr>
        <w:t>term, despite 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licensing and subscription arrangements that are not expected to recur (primarily perpetual licenses) are excluded. We calculate ARR as the quarterly recurring revenue run-rate multiplied by four.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ARR for on-premises and SaaS software at each of the dates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r>
      <w:tr>
        <w:trPr>
          <w:trHeight w:val="216"/>
        </w:trPr>
        <w:tc>
          <w:tcPr>
            <w:tcW w:w="1240" w:type="dxa"/>
            <w:vAlign w:val="bottom"/>
          </w:tcPr>
          <w:p>
            <w:pPr>
              <w:ind w:left="20"/>
              <w:spacing w:after="0" w:line="216" w:lineRule="exact"/>
              <w:rPr>
                <w:sz w:val="20"/>
                <w:szCs w:val="20"/>
                <w:color w:val="auto"/>
              </w:rPr>
            </w:pPr>
            <w:r>
              <w:rPr>
                <w:rFonts w:ascii="Arial" w:cs="Arial" w:eastAsia="Arial" w:hAnsi="Arial"/>
                <w:sz w:val="25"/>
                <w:szCs w:val="25"/>
                <w:b w:val="1"/>
                <w:bCs w:val="1"/>
                <w:color w:val="auto"/>
                <w:vertAlign w:val="subscript"/>
              </w:rPr>
              <w:t>ARR</w:t>
            </w:r>
            <w:r>
              <w:rPr>
                <w:rFonts w:ascii="Arial" w:cs="Arial" w:eastAsia="Arial" w:hAnsi="Arial"/>
                <w:sz w:val="10"/>
                <w:szCs w:val="10"/>
                <w:b w:val="1"/>
                <w:bCs w:val="1"/>
                <w:color w:val="auto"/>
              </w:rPr>
              <w:t xml:space="preserve"> (*)</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1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Platform </w:t>
            </w:r>
            <w:r>
              <w:rPr>
                <w:rFonts w:ascii="Arial" w:cs="Arial" w:eastAsia="Arial" w:hAnsi="Arial"/>
                <w:sz w:val="23"/>
                <w:szCs w:val="23"/>
                <w:b w:val="1"/>
                <w:bCs w:val="1"/>
                <w:color w:val="auto"/>
                <w:vertAlign w:val="superscript"/>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132.8</w:t>
            </w:r>
          </w:p>
        </w:tc>
      </w:tr>
      <w:tr>
        <w:trPr>
          <w:trHeight w:val="230"/>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Non-platform</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418.5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425.6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427.7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433.4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430.6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432.3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437.0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450.1</w:t>
            </w:r>
          </w:p>
        </w:tc>
      </w:tr>
      <w:tr>
        <w:trPr>
          <w:trHeight w:val="248"/>
        </w:trPr>
        <w:tc>
          <w:tcPr>
            <w:tcW w:w="1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476.7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491.6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501.3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524.3</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539.5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550.1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582.9</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Platform</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Non-platform</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23"/>
        </w:trPr>
        <w:tc>
          <w:tcPr>
            <w:tcW w:w="124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YoY Change</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Platform</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Non-platform</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49" w:lineRule="exact"/>
        <w:rPr>
          <w:sz w:val="20"/>
          <w:szCs w:val="20"/>
          <w:color w:val="auto"/>
        </w:rPr>
      </w:pPr>
    </w:p>
    <w:p>
      <w:pPr>
        <w:ind w:firstLine="8"/>
        <w:spacing w:after="0" w:line="316" w:lineRule="auto"/>
        <w:tabs>
          <w:tab w:leader="none" w:pos="262"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quarter ended December 31, 2022, we sold certain assets related to our Siron compliance business, and during fiscal 2021, we divested our Collections and Recovery (“C&amp;R”) business. The amounts and percentages above exclude this product line and business at all dates presented.</w:t>
      </w:r>
    </w:p>
    <w:p>
      <w:pPr>
        <w:spacing w:after="0" w:line="2" w:lineRule="exact"/>
        <w:rPr>
          <w:sz w:val="20"/>
          <w:szCs w:val="20"/>
          <w:color w:val="auto"/>
        </w:rPr>
      </w:pPr>
    </w:p>
    <w:p>
      <w:pPr>
        <w:jc w:val="both"/>
        <w:ind w:firstLine="8"/>
        <w:spacing w:after="0" w:line="263" w:lineRule="auto"/>
        <w:tabs>
          <w:tab w:leader="none" w:pos="3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Retention Rate (“DBNRR”)</w:t>
      </w:r>
    </w:p>
    <w:p>
      <w:pPr>
        <w:spacing w:after="0" w:line="11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DBNRR for on-premises and SaaS software for each of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80" w:type="dxa"/>
            <w:vAlign w:val="bottom"/>
            <w:gridSpan w:val="2"/>
          </w:tcPr>
          <w:p>
            <w:pPr>
              <w:jc w:val="right"/>
              <w:ind w:right="795"/>
              <w:spacing w:after="0"/>
              <w:rPr>
                <w:sz w:val="20"/>
                <w:szCs w:val="20"/>
                <w:color w:val="auto"/>
              </w:rPr>
            </w:pPr>
            <w:r>
              <w:rPr>
                <w:rFonts w:ascii="Arial" w:cs="Arial" w:eastAsia="Arial" w:hAnsi="Arial"/>
                <w:sz w:val="14"/>
                <w:szCs w:val="14"/>
                <w:b w:val="1"/>
                <w:bCs w:val="1"/>
                <w:color w:val="auto"/>
              </w:rPr>
              <w:t>Quarter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1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1240" w:type="dxa"/>
            <w:vAlign w:val="bottom"/>
          </w:tcPr>
          <w:p>
            <w:pPr>
              <w:spacing w:after="0"/>
              <w:rPr>
                <w:sz w:val="11"/>
                <w:szCs w:val="11"/>
                <w:color w:val="auto"/>
              </w:rPr>
            </w:pPr>
          </w:p>
        </w:tc>
        <w:tc>
          <w:tcPr>
            <w:tcW w:w="1280" w:type="dxa"/>
            <w:vAlign w:val="bottom"/>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rPr>
              <w:t>March 31, 2021</w:t>
            </w:r>
          </w:p>
        </w:tc>
        <w:tc>
          <w:tcPr>
            <w:tcW w:w="1140" w:type="dxa"/>
            <w:vAlign w:val="bottom"/>
          </w:tcPr>
          <w:p>
            <w:pPr>
              <w:jc w:val="right"/>
              <w:ind w:right="357"/>
              <w:spacing w:after="0" w:line="133" w:lineRule="exact"/>
              <w:rPr>
                <w:sz w:val="20"/>
                <w:szCs w:val="20"/>
                <w:color w:val="auto"/>
              </w:rPr>
            </w:pPr>
            <w:r>
              <w:rPr>
                <w:rFonts w:ascii="Arial" w:cs="Arial" w:eastAsia="Arial" w:hAnsi="Arial"/>
                <w:sz w:val="14"/>
                <w:szCs w:val="14"/>
                <w:b w:val="1"/>
                <w:bCs w:val="1"/>
                <w:color w:val="auto"/>
              </w:rPr>
              <w:t>June 30,</w:t>
            </w:r>
          </w:p>
        </w:tc>
        <w:tc>
          <w:tcPr>
            <w:tcW w:w="124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rPr>
              <w:t>September 30,</w:t>
            </w:r>
          </w:p>
        </w:tc>
        <w:tc>
          <w:tcPr>
            <w:tcW w:w="1340" w:type="dxa"/>
            <w:vAlign w:val="bottom"/>
          </w:tcPr>
          <w:p>
            <w:pPr>
              <w:jc w:val="right"/>
              <w:ind w:right="17"/>
              <w:spacing w:after="0" w:line="133" w:lineRule="exact"/>
              <w:rPr>
                <w:sz w:val="20"/>
                <w:szCs w:val="20"/>
                <w:color w:val="auto"/>
              </w:rPr>
            </w:pPr>
            <w:r>
              <w:rPr>
                <w:rFonts w:ascii="Arial" w:cs="Arial" w:eastAsia="Arial" w:hAnsi="Arial"/>
                <w:sz w:val="14"/>
                <w:szCs w:val="14"/>
                <w:b w:val="1"/>
                <w:bCs w:val="1"/>
                <w:color w:val="auto"/>
                <w:w w:val="96"/>
              </w:rPr>
              <w:t>December 31, 2021</w:t>
            </w:r>
          </w:p>
        </w:tc>
        <w:tc>
          <w:tcPr>
            <w:tcW w:w="134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March 31, 2022</w:t>
            </w:r>
          </w:p>
        </w:tc>
        <w:tc>
          <w:tcPr>
            <w:tcW w:w="112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June 30,</w:t>
            </w:r>
          </w:p>
        </w:tc>
        <w:tc>
          <w:tcPr>
            <w:tcW w:w="132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3"/>
              </w:rPr>
              <w:t>December 31, 2022</w:t>
            </w:r>
          </w:p>
        </w:tc>
      </w:tr>
      <w:tr>
        <w:trPr>
          <w:trHeight w:val="192"/>
        </w:trPr>
        <w:tc>
          <w:tcPr>
            <w:tcW w:w="12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16"/>
        </w:trPr>
        <w:tc>
          <w:tcPr>
            <w:tcW w:w="1240" w:type="dxa"/>
            <w:vAlign w:val="bottom"/>
          </w:tcPr>
          <w:p>
            <w:pPr>
              <w:ind w:left="20"/>
              <w:spacing w:after="0" w:line="216" w:lineRule="exact"/>
              <w:rPr>
                <w:sz w:val="20"/>
                <w:szCs w:val="20"/>
                <w:color w:val="auto"/>
              </w:rPr>
            </w:pPr>
            <w:r>
              <w:rPr>
                <w:rFonts w:ascii="Arial" w:cs="Arial" w:eastAsia="Arial" w:hAnsi="Arial"/>
                <w:sz w:val="18"/>
                <w:szCs w:val="18"/>
                <w:b w:val="1"/>
                <w:bCs w:val="1"/>
                <w:i w:val="1"/>
                <w:iCs w:val="1"/>
                <w:color w:val="auto"/>
              </w:rPr>
              <w:t xml:space="preserve">DBNRR </w:t>
            </w:r>
            <w:r>
              <w:rPr>
                <w:rFonts w:ascii="Arial" w:cs="Arial" w:eastAsia="Arial" w:hAnsi="Arial"/>
                <w:sz w:val="23"/>
                <w:szCs w:val="23"/>
                <w:b w:val="1"/>
                <w:bCs w:val="1"/>
                <w:color w:val="auto"/>
                <w:vertAlign w:val="superscript"/>
              </w:rPr>
              <w: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Platform</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134 %</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142 %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146 %</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144 %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Non-platform</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95 %</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100 %</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102 %</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102 %</w:t>
            </w:r>
          </w:p>
        </w:tc>
        <w:tc>
          <w:tcPr>
            <w:tcW w:w="102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103 %</w:t>
            </w:r>
          </w:p>
        </w:tc>
      </w:tr>
      <w:tr>
        <w:trPr>
          <w:trHeight w:val="229"/>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99 %</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109 %</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109 %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176"/>
        </w:trPr>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121" w:lineRule="exact"/>
        <w:rPr>
          <w:sz w:val="20"/>
          <w:szCs w:val="20"/>
          <w:color w:val="auto"/>
        </w:rPr>
      </w:pPr>
    </w:p>
    <w:p>
      <w:pPr>
        <w:ind w:firstLine="8"/>
        <w:spacing w:after="0" w:line="277" w:lineRule="auto"/>
        <w:tabs>
          <w:tab w:leader="none" w:pos="2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quarter ended December 31, 2022, we sold certain assets related to our Siron compliance business, and during fiscal 2021, we divested our C&amp;R business. The percentages above exclude this product line and business for all periods presented.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Segment revenues, operating income, and related financial information, including disaggregation of revenue, are set forth in Note 8 and Note 12 to the accompanying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certain summary information on a segment basis related to our revenues for the quarters ended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December 31,</w:t>
            </w:r>
          </w:p>
        </w:tc>
        <w:tc>
          <w:tcPr>
            <w:tcW w:w="28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Percentage of Revenues</w:t>
            </w: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Period-to-Period</w:t>
            </w:r>
          </w:p>
        </w:tc>
        <w:tc>
          <w:tcPr>
            <w:tcW w:w="14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9"/>
              <w:spacing w:after="0" w:line="12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455"/>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220" w:type="dxa"/>
            <w:vAlign w:val="bottom"/>
          </w:tcPr>
          <w:p>
            <w:pPr>
              <w:jc w:val="right"/>
              <w:ind w:right="377"/>
              <w:spacing w:after="0" w:line="12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240" w:type="dxa"/>
            <w:vAlign w:val="bottom"/>
          </w:tcPr>
          <w:p>
            <w:pPr>
              <w:jc w:val="right"/>
              <w:ind w:right="395"/>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Change</w:t>
            </w:r>
          </w:p>
        </w:tc>
        <w:tc>
          <w:tcPr>
            <w:tcW w:w="146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99"/>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53 %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152,874</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14,008</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15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Scores segment revenues increased $8.5 million due to an increase of $11.9 million in our business-to-business scores revenue, partially offset by a decrease of $3.4 million in our business-to-consumer revenue. The increase in business-to-business scores revenue was primarily attributable to a multi-year license renewal, higher unit prices across several business-to-business offerings and an increase in unsecured credit originations volume, partially offset by a decrease in mortgage originations volume during the quarter ended December 31, 2022. The decrease in business-to-consumer revenue was primarily attributable to a decrease in direct sales generated from the myFICO.com website.</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4"/>
          </w:tcPr>
          <w:p>
            <w:pPr>
              <w:ind w:left="280"/>
              <w:spacing w:after="0"/>
              <w:rPr>
                <w:sz w:val="20"/>
                <w:szCs w:val="20"/>
                <w:color w:val="auto"/>
              </w:rPr>
            </w:pPr>
            <w:r>
              <w:rPr>
                <w:rFonts w:ascii="Arial" w:cs="Arial" w:eastAsia="Arial" w:hAnsi="Arial"/>
                <w:sz w:val="14"/>
                <w:szCs w:val="14"/>
                <w:b w:val="1"/>
                <w:bCs w:val="1"/>
                <w:color w:val="auto"/>
              </w:rPr>
              <w:t>Quarter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5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9"/>
              </w:rPr>
              <w:t>(In thousands)</w:t>
            </w: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On-premises and SaaS software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18,222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w w:val="94"/>
              </w:rPr>
              <w:t>(4,214)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8"/>
              </w:rPr>
              <w:t>14,008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67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Software segment revenues increased $14.0 million due to an $18.2 million increase in our on-premises and SaaS software revenue, partially offset by a $4.2 million decrease in services revenue. The increase in our on-premises and SaaS software revenue was attributable to a $9.4 million increase in our non-platform software revenue and an $8.8 million increase in our platform software revenue. The decrease in services revenue was primarily attributable to our strategic shift to emphasize software over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Net</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ended December 31,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Quarter Ended December 31,</w:t>
            </w:r>
          </w:p>
        </w:tc>
        <w:tc>
          <w:tcPr>
            <w:tcW w:w="30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Percentage of Revenues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Period-to-Period</w:t>
            </w:r>
          </w:p>
        </w:tc>
        <w:tc>
          <w:tcPr>
            <w:tcW w:w="1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3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3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139"/>
        </w:trPr>
        <w:tc>
          <w:tcPr>
            <w:tcW w:w="25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4"/>
          </w:tcPr>
          <w:p>
            <w:pPr>
              <w:jc w:val="center"/>
              <w:ind w:right="211"/>
              <w:spacing w:after="0" w:line="139" w:lineRule="exact"/>
              <w:rPr>
                <w:sz w:val="20"/>
                <w:szCs w:val="20"/>
                <w:color w:val="auto"/>
              </w:rPr>
            </w:pPr>
            <w:r>
              <w:rPr>
                <w:rFonts w:ascii="Arial" w:cs="Arial" w:eastAsia="Arial" w:hAnsi="Arial"/>
                <w:sz w:val="14"/>
                <w:szCs w:val="14"/>
                <w:b w:val="1"/>
                <w:bCs w:val="1"/>
                <w:color w:val="auto"/>
                <w:w w:val="90"/>
              </w:rPr>
              <w:t>(In thousands, except</w:t>
            </w:r>
          </w:p>
        </w:tc>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54"/>
              <w:spacing w:after="0" w:line="139"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8"/>
              </w:rPr>
              <w:t>employees)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except employees)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344,870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322,361</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100 %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22,509</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Arial" w:cs="Arial" w:eastAsia="Arial" w:hAnsi="Arial"/>
                <w:sz w:val="18"/>
                <w:szCs w:val="18"/>
                <w:color w:val="auto"/>
                <w:w w:val="96"/>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38,980</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Selling, general and</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98,048</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2500" w:type="dxa"/>
            <w:vAlign w:val="bottom"/>
          </w:tcPr>
          <w:p>
            <w:pPr>
              <w:ind w:left="360"/>
              <w:spacing w:after="0" w:line="176" w:lineRule="exact"/>
              <w:rPr>
                <w:sz w:val="20"/>
                <w:szCs w:val="20"/>
                <w:color w:val="auto"/>
              </w:rPr>
            </w:pPr>
            <w:r>
              <w:rPr>
                <w:rFonts w:ascii="Arial" w:cs="Arial" w:eastAsia="Arial" w:hAnsi="Arial"/>
                <w:sz w:val="18"/>
                <w:szCs w:val="18"/>
                <w:color w:val="auto"/>
              </w:rPr>
              <w:t>Amortization of intangible</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Gain on product line asset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204,531</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206,775</w:t>
            </w:r>
          </w:p>
        </w:tc>
        <w:tc>
          <w:tcPr>
            <w:tcW w:w="1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115,586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(12,195)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117,903</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104,820</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13,083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19,861</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84,959</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12,684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Number of employees at quarter</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spacing w:after="0" w:line="95"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6"/>
          <w:szCs w:val="16"/>
          <w:color w:val="auto"/>
        </w:rPr>
        <w:t>The quarter-over-prior year quarter increase in cost of revenues of $7.4 million was primarily attributable to a $9.2 million increase in personnel and labor costs and a $0.5 million increase in travel costs, partially offset by a $2.2 million decrease in direct materials costs. The increase in personnel and labor costs was primarily attributable to increases in employee time allocated to cost of revenues and headcount. The increase in travel costs was primarily attributable to relaxed COVID-19 related restrictions. The decrease in direct materials costs was primarily attributable to a decrease in telecommunications costs to support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Customer Communications Services revenue and a decrease in credit bureau data costs associated with decreased business-to-consumer scoring solutions revenue through the myFICO.com website. Cost of revenues as a percentage of revenues increased to 22% during the quarter ended December 31, 2022 from 21% during the quarter ended December 31, 2021, primarily due to an increase in personnel and labor costs.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Research and development expenses include personnel and related overhead costs incurred in the development of new products and services, including research of mathematical and statistical models and development of new versions of Software products.</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quarter-over-prior year quarter decrease in research and development expenses of $2.3 million was primarily attributable to a $2.8 million decrease in personnel and labor costs as a result of decreased headcount, partially offset by a $0.5 million increase in software royalty fees. Research and development expenses as a percentage of revenues decreased to 11% during the quarter ended December 31, 2022 from 12% during the quarter ended December 31, 2021.</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spacing w:after="0" w:line="9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quarter-over-prior year quarter decrease in selling, general and administrative expenses of $5.1 million was primarily attributable to a $5.5 million decrease in personnel and labor costs and a $2.6 million decrease in facilities and infrastructure costs, partially offset by a $1.5 million increase in travel costs and a $1.1 million increase in marketing costs. The decrease in personnel and labor costs was primarily a result of decreases in employee time allocated to these expenses and headcount. The decrease in facilities and infrastructure costs was primarily attributable to a favorable adjustment from the termination of an office lease related to our consolidation of office space. The increases in travel and marketing costs were primarily driven by increased advertising costs and increased travel for marketing and communication events as certain COVID-19 related restrictions have been relaxed. Selling, general and administrative expenses as a percentage of revenues decreased to 27% during the quarter ended December 31, 2022 from 31% during the quarter ended December 31, 2021.</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Amortization of intangible assets consists of expense related to intangible assets recorded in connection with our acquisitions. Our finite-lived intangible assets, consisting primarily of completed technology and customer contracts and relationships, are amortized using the straight-line method over periods ranging from five to ten years.</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Amortization expense was $0.3 million during the quarter ended December 31, 2022 compared to $0.5 million during the quarter ended December 31, 2021.</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on Product Line Asset Sale</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$1.9 million gain on product line asset sale during the quarter ended December 31, 2022 was attributable to the sale of certain assets related to our Siron compliance business in the quarter ended December 31, 2022.</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Interest expense includes interest on the senior notes issued in December 2021, December 2019 and May 2018, as well as interest and credit agreement fees on the revolving line of credit and term loan. On our condensed consolidated statements of income and comprehensive income, interest expense is netted with interest income, which is derived primarily from the investment of funds in excess of our immediate operating requirements.</w:t>
      </w:r>
    </w:p>
    <w:p>
      <w:pPr>
        <w:spacing w:after="0" w:line="95"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The quarter-over-prior year quarter increase in interest expense of $10.6 million was primarily attributable to a higher average outstanding debt balance, as well as a higher average interest rate on our revolving line of credit and term loan during the quarter ended December 31, 2022.</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Other income, net consists primarily of unrealized investment gains/losses and realized gains/losses on certain investments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spacing w:after="0" w:line="133"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The quarter-over-prior year quarter decrease in other income, net of $1.1 million was primarily attributable to an increase in foreign currency exchange losses and a decrease in dividend income on investments classified as trading securities in our supplemental retirement and savings plan.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effective income tax rate was 17.2% and 18.9% during the quarters ended December 31, 2022 and 2021,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1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effective tax rates for the quarters ended December 31, 2022 and 2021 were both favorably impacted by the recording of excess tax benefits relating to stock awards. The impact is dependent upon grants of share-based compensation and the future stock price in relation to the fair value of awards on the grant date. The increase in stock price for awards that vested in December 2022 resulted in an increased net excess tax benefit for the quarter ended December 31, 2022, as compared to the quarter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set forth certain summary information on a segment basis related to our operating income for the quarters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and 2021.</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spacing w:after="0"/>
              <w:rPr>
                <w:sz w:val="20"/>
                <w:szCs w:val="20"/>
                <w:color w:val="auto"/>
              </w:rPr>
            </w:pPr>
            <w:r>
              <w:rPr>
                <w:rFonts w:ascii="Arial" w:cs="Arial" w:eastAsia="Arial" w:hAnsi="Arial"/>
                <w:sz w:val="14"/>
                <w:szCs w:val="14"/>
                <w:b w:val="1"/>
                <w:bCs w:val="1"/>
                <w:color w:val="auto"/>
              </w:rPr>
              <w:t>Quarter Ended December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Period-to-Period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220"/>
              <w:spacing w:after="0" w:line="142"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156,692</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148,323</w:t>
            </w:r>
          </w:p>
        </w:tc>
        <w:tc>
          <w:tcPr>
            <w:tcW w:w="42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8,369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34,837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10,928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Unallocated corporate expenses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5"/>
          </w:tcPr>
          <w:p>
            <w:pPr>
              <w:ind w:left="340"/>
              <w:spacing w:after="0"/>
              <w:rPr>
                <w:sz w:val="20"/>
                <w:szCs w:val="20"/>
                <w:color w:val="auto"/>
              </w:rPr>
            </w:pPr>
            <w:r>
              <w:rPr>
                <w:rFonts w:ascii="Arial" w:cs="Arial" w:eastAsia="Arial" w:hAnsi="Arial"/>
                <w:sz w:val="18"/>
                <w:szCs w:val="18"/>
                <w:color w:val="auto"/>
              </w:rPr>
              <w:t>Total segment operating income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168,375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146,008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22,367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Unallocated share-based compensation</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w w:val="90"/>
              </w:rPr>
              <w:t>Unallocated amortization expense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Unallocated gain on product line asset sale</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140,339</w:t>
            </w:r>
          </w:p>
        </w:tc>
        <w:tc>
          <w:tcPr>
            <w:tcW w:w="12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115,586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24,753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Scores</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Software</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3"/>
          </w:tcPr>
          <w:p>
            <w:pPr>
              <w:ind w:left="260"/>
              <w:spacing w:after="0" w:line="133" w:lineRule="exact"/>
              <w:rPr>
                <w:sz w:val="20"/>
                <w:szCs w:val="20"/>
                <w:color w:val="auto"/>
              </w:rPr>
            </w:pPr>
            <w:r>
              <w:rPr>
                <w:rFonts w:ascii="Arial" w:cs="Arial" w:eastAsia="Arial" w:hAnsi="Arial"/>
                <w:sz w:val="14"/>
                <w:szCs w:val="14"/>
                <w:b w:val="1"/>
                <w:bCs w:val="1"/>
                <w:color w:val="auto"/>
                <w:w w:val="98"/>
              </w:rPr>
              <w:t>Quarter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4"/>
          </w:tcPr>
          <w:p>
            <w:pPr>
              <w:jc w:val="right"/>
              <w:ind w:right="600"/>
              <w:spacing w:after="0" w:line="133" w:lineRule="exact"/>
              <w:rPr>
                <w:sz w:val="20"/>
                <w:szCs w:val="20"/>
                <w:color w:val="auto"/>
              </w:rPr>
            </w:pPr>
            <w:r>
              <w:rPr>
                <w:rFonts w:ascii="Arial" w:cs="Arial" w:eastAsia="Arial" w:hAnsi="Arial"/>
                <w:sz w:val="14"/>
                <w:szCs w:val="14"/>
                <w:b w:val="1"/>
                <w:bCs w:val="1"/>
                <w:color w:val="auto"/>
                <w:w w:val="97"/>
              </w:rPr>
              <w:t>Percentage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jc w:val="right"/>
              <w:spacing w:after="0" w:line="133" w:lineRule="exact"/>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5"/>
          </w:tcPr>
          <w:p>
            <w:pPr>
              <w:jc w:val="right"/>
              <w:ind w:right="600"/>
              <w:spacing w:after="0" w:line="13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left="296"/>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Revenues</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5"/>
          </w:tcPr>
          <w:p>
            <w:pPr>
              <w:jc w:val="center"/>
              <w:ind w:left="29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177,988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169,487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166,882</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152,874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0"/>
              </w:rPr>
              <w:t>Segment operating expense</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(21,296)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(21,164)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(121,117)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(118,037)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Segment operating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156,692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148,323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quarter-over-prior year quarter increase in operating income of $24.8 million was primarily attributable to a $22.5 million increase in segment revenues, a $3.1 million decrease in corporate expenses, and a $1.9 million gain on product line asset sale during the quarter ended December 31, 2022, partially offset by a $3.2 million increase in segment operating expenses.</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the segment level, the quarter-over-prior year quarter increase in segment operating income of $22.4 million was the result of a $10.9 million increase in our Software segment operating income, an $8.4 million increase in our Scores segment operating income, and a $3.1 million decrease in corporate expenses.</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quarter-over-prior year quarter increase in Scores segment operating income of $8.4 million was due to an $8.5 million increase in segment revenue, partially offset by a $0.1 million increase in segment operating expenses. Segment operating income as a percentage of segment revenue for Scores was 88%, consistent with the quarter ended December 31,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quarter-over-prior year quarter increase in Software segment operating income of $10.9 million was due to a $14.0 million increase in segment revenue, partially offset by a $3.1 million increase in segment operating expenses. Segment operating income as a percentage of segment revenue for Software increased to 27% from 23%, primarily attributable to an increase in higher-margin license revenue recognized at a point in time and a decrease in sales of our lower-margin professional services.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As of December 31, 2022, we had $139.9 million in cash and cash equivalents, which included $117.0 million held by our foreign subsidiaries. We believe our cash and cash equivalents balances, including those held by our foreign subsidiaries, as well as available borrowings from our $600 million revolving line of credit and anticipated cash flows from operating activities, will be sufficient to fund our working and other capital requirements for at least the next 12 months and thereafter for the foreseeable future, including the $15.0 million principal payments on our term loan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spacing w:after="0" w:line="14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Quarter Ended December 31,</w:t>
            </w:r>
          </w:p>
        </w:tc>
        <w:tc>
          <w:tcPr>
            <w:tcW w:w="260" w:type="dxa"/>
            <w:vAlign w:val="bottom"/>
          </w:tcPr>
          <w:p>
            <w:pPr>
              <w:spacing w:after="0"/>
              <w:rPr>
                <w:sz w:val="16"/>
                <w:szCs w:val="16"/>
                <w:color w:val="auto"/>
              </w:rPr>
            </w:pPr>
          </w:p>
        </w:tc>
        <w:tc>
          <w:tcPr>
            <w:tcW w:w="12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6"/>
              </w:rPr>
              <w:t>Period-to-Period</w:t>
            </w: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92,440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124,881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(32,441)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(155,429)</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75,805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(33,197)</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39,851</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Our primary method for funding operations and growth has been through cash flows generated from operating activities. Net cash provided by operating activities decreased to $92.4 million during the quarter ended December 31, 2022 from $124.9 million during the quarter ended December 31, 2021. The $32.4 million decrease was attributable to the timing of receipts and payments in our ordinary course of business that contributed $29.1 million of the decrease and a $16.0 million decrease in non-cash items. The decrease was partially offset by a $12.7 million increase in net income.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cash used in investing activities increased to $10.6 million for the quarter ended December 31, 2022 from $1.3 million for the quarter ended December 31, 2021. The $9.3 million increase was primarily attributable to a $9.8 million decrease in cash proceeds from the product line asset sales, net of cash transferred.</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Net cash used in financing activities decreased to $79.6 million for the quarter ended December 31, 2022 from $155.4 million for the quarter ended December 31, 2021. The $75.8 million decrease was primarily attributable to a $407.8 million decrease in repurchases of common stock and a $234.3 million decrease in payments, net of proceeds, on our revolving line of credit, partially offset by a $550.0 million decrease in proceeds from the issuance of senior notes and a $25.8 million increase in taxes paid related to net share settlement of equity awards.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October 2022, our Board of Directors approved a new stock repurchase program replacing our previously authorized program. This program is open-ended and authorizes repurchases of shares of our common stock up to an aggregate cost of $500.0 million in the open market or in negotiated transactions.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quarters ended December 31, 2022 and 2021, we expended $75.0 million and $493.6 million, respectively, under our previously</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authorized stock repurchase programs and the October 2022 program. As of December 31, 2022, we had $451.1 million remaining under the October 2022 program.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 and Term Loan</w:t>
      </w:r>
    </w:p>
    <w:p>
      <w:pPr>
        <w:spacing w:after="0" w:line="12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 November 2022, we amended our credit agreement to replace the LIBOR reference rate with the Secured Overnight Financing Rate (“SOFR”) reference rate.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2022, we had $350.0 million in borrowings outstanding under the revolving line of credit at a weighted-average interest rate of 5.817%, and $285.0 million in outstanding balance of the term loan at an interest rate of 6.051%, of which $535.0 million was classified as a long-term liability and recorded in long-term debt within the accompanying condensed consolidated balance sheets. We were in compliance with all financial covenants under this credit agreement as of December 31,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December 31, 2022, the carrying value of the Senior Notes was $1.3 billion and we were in compliance with all financial covenants under these obligations.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We prepare our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believe the following discussion addresses our most critical accounting estimates, which involve significant subjectivity and judgment, and changes to such estimates or assumptions could have a material impact on our financial condition or operating results. Therefore, we consider an understanding of the variability and judgment required in making these estimates and assumptions to be critical in fully understanding and evaluating our reported financial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revenue is primarily derived from on-premises software and SaaS subscriptions, professional services, and scoring services. For contracts with customers that contain various combinations of products and services, we evaluate whether the products or services are distinct — 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0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on-premises software is primarily sold on a subscription basis, which includes a term-based license and post-contract support or maintenance, both of which generally represent distinct performance obligations and are accounted for separately. The transaction price is either a fixed fee, or a usage-based fee — sometimes subject to a guaranteed minimum. When the amount is fixed, including the guaranteed minimum in a usage-based fee, license revenue is recognized at the point in time when the software is made available to the customer. Maintenance revenue is recognized ratably over the contract period as customers simultaneously consume and receive benefits. Any usage-based fees not subject to a guaranteed minimum or earned in excess of the minimum amount are recognized when the subsequent usage occurs. We occasionally sell software arrangements consisting of on-premises perpetual licenses and maintenance. License revenue is recognized at a point in time when the software is made available to the customer and maintenance revenue is recognized ratably over the contract term.</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SaaS products provide customers with access to and standard support for our software on a subscription basis, delivered through our own infrastructure or third-party cloud services. The SaaS transaction contracts typically include a guaranteed minimum fee per period that allows up to a certain level of usage and a consumption-based variable fee in excess of the minimum threshold; or a consumption-based variable fee not subject to a minimum threshold. The nature of our SaaS arrangements is to provide continuous access to our hosted solutions in the cloud, i.e., a stand-ready obligation that comprises a series of distinct service periods (e.g., a series of distinct daily, monthly or annual periods of service).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professional services include software implementation, consulting, model development and training. Professional services are sold either standalone, or together with other products or services and generally represent distinct performance obligations. The transaction price can be a fixed amount or a variable amount based upon the time and materials expended. Revenue on fixed-price services is recognized using an input method based on labor hours expended, which we believe provides a faithful depiction of the transfer of services. Revenue on services provided on a time and materials basis is recognized by applying the “right-to-invoice” practical expedient as the amount to which we have a right to invoice the customer corresponds directly with the value of our performance to the customer.</w:t>
      </w:r>
    </w:p>
    <w:p>
      <w:pPr>
        <w:spacing w:after="0" w:line="138"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Our scoring services include both business-to-business and business-to-consumer offerings. Our business-to-business scoring services typically include a license that grants consumer reporting agencies the right to use our scoring solutions in exchange for a usage-based royalty. Revenue is generally recognized when the usage occurs. Business-to-consumer offerings provide consumers with access to their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Scores and credit reports, as well as other value-add services. These are provided as either a one-time or ongoing subscription service renewed monthly or annually, all with a fixed consideration.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of SaaS service and will result in the combination of software or SaaS service and implementation service as one performance obligation.</w:t>
      </w:r>
    </w:p>
    <w:p>
      <w:pPr>
        <w:spacing w:after="0" w:line="1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10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Capitalized Commission Costs</w:t>
      </w:r>
    </w:p>
    <w:p>
      <w:pPr>
        <w:spacing w:after="0" w:line="171"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capitalize incremental commission fees paid as a result of obtaining customer contracts. 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consolidated statements of income and comprehensive income.</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Long-Lived Assets - Impairment Assessment</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spacing w:after="0" w:line="13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step one of the goodwill impairment test.</w:t>
      </w:r>
    </w:p>
    <w:p>
      <w:pPr>
        <w:spacing w:after="0" w:line="1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For fiscal 2021, we consolidated our operating segment structure from three to two by merging our Applications and Decision Management Software segments into the new Software segment. We proceeded directly to a step one quantitative impairment test on the Software and Scores reporting units before and immediately following the change in reporting units. There was a substantial excess of fair value over carrying value for the reporting units and we determined goodwill was not impaired for any of our reporting units before or after the change for fiscal 2021. For fiscal 2022, we performed a step zero qualitative analysis for our annual assessment of goodwill impairment. After evaluating and weighing all relevant events and circumstances, we concluded that it is not more likely than not that the fair value of either of our reporting units was less their carrying amounts. Consequently, we did not perform a step one quantitative analysis and determined goodwill was not impaired for either of our reporting units for fiscal 2022.</w:t>
      </w:r>
    </w:p>
    <w:p>
      <w:pPr>
        <w:spacing w:after="0" w:line="1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projected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other long-lived assets could occur.</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and other long-lived assets. Historically, there have been no significant changes in our estimates or assumptions that would have had a material impact for our goodwill or other long-lived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measure share-based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38"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10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October 2021, the Financial Accounting Standards Board (“FASB”) issued Accounting Standards Update (“ASU”) No. 2021-08,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(Topic 805): Accounting for Contract Assets and Contract Liabilities from Contracts with Customers</w:t>
      </w:r>
      <w:r>
        <w:rPr>
          <w:rFonts w:ascii="Arial" w:cs="Arial" w:eastAsia="Arial" w:hAnsi="Arial"/>
          <w:sz w:val="17"/>
          <w:szCs w:val="17"/>
          <w:color w:val="auto"/>
        </w:rPr>
        <w:t>” (“ASU 2021-08”). ASU 2021-08</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requires an acquirer in a business combination to recognize and measure contract assets and contract liabilities from acquired contracts using the revenue recognition guidance under Accounting Standards Codification Topic 606, </w:t>
      </w:r>
      <w:r>
        <w:rPr>
          <w:rFonts w:ascii="Arial" w:cs="Arial" w:eastAsia="Arial" w:hAnsi="Arial"/>
          <w:sz w:val="17"/>
          <w:szCs w:val="17"/>
          <w:i w:val="1"/>
          <w:iCs w:val="1"/>
          <w:color w:val="auto"/>
        </w:rPr>
        <w:t>Revenue from Contacts with Customers</w:t>
      </w:r>
      <w:r>
        <w:rPr>
          <w:rFonts w:ascii="Arial" w:cs="Arial" w:eastAsia="Arial" w:hAnsi="Arial"/>
          <w:sz w:val="17"/>
          <w:szCs w:val="17"/>
          <w:color w:val="auto"/>
        </w:rPr>
        <w:t>,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consolidated financial statements.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December 31, 2022 and September 30,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244"/>
              <w:spacing w:after="0"/>
              <w:rPr>
                <w:sz w:val="20"/>
                <w:szCs w:val="20"/>
                <w:color w:val="auto"/>
              </w:rPr>
            </w:pPr>
            <w:r>
              <w:rPr>
                <w:rFonts w:ascii="Arial" w:cs="Arial" w:eastAsia="Arial" w:hAnsi="Arial"/>
                <w:sz w:val="14"/>
                <w:szCs w:val="14"/>
                <w:b w:val="1"/>
                <w:bCs w:val="1"/>
                <w:color w:val="auto"/>
                <w:w w:val="93"/>
              </w:rPr>
              <w:t>December 31, 2022</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244"/>
              <w:spacing w:after="0"/>
              <w:rPr>
                <w:sz w:val="20"/>
                <w:szCs w:val="20"/>
                <w:color w:val="auto"/>
              </w:rPr>
            </w:pPr>
            <w:r>
              <w:rPr>
                <w:rFonts w:ascii="Arial" w:cs="Arial" w:eastAsia="Arial" w:hAnsi="Arial"/>
                <w:sz w:val="14"/>
                <w:szCs w:val="14"/>
                <w:b w:val="1"/>
                <w:bCs w:val="1"/>
                <w:color w:val="auto"/>
                <w:w w:val="91"/>
              </w:rPr>
              <w:t>September 30, 2022</w:t>
            </w: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
        </w:trPr>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133"/>
        </w:trPr>
        <w:tc>
          <w:tcPr>
            <w:tcW w:w="20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344"/>
              <w:spacing w:after="0" w:line="133" w:lineRule="exact"/>
              <w:rPr>
                <w:sz w:val="20"/>
                <w:szCs w:val="20"/>
                <w:color w:val="auto"/>
              </w:rPr>
            </w:pPr>
            <w:r>
              <w:rPr>
                <w:rFonts w:ascii="Arial" w:cs="Arial" w:eastAsia="Arial" w:hAnsi="Arial"/>
                <w:sz w:val="14"/>
                <w:szCs w:val="14"/>
                <w:b w:val="1"/>
                <w:bCs w:val="1"/>
                <w:color w:val="auto"/>
              </w:rPr>
              <w:t>Carrying</w:t>
            </w:r>
          </w:p>
        </w:tc>
        <w:tc>
          <w:tcPr>
            <w:tcW w:w="1340" w:type="dxa"/>
            <w:vAlign w:val="bottom"/>
            <w:tcBorders>
              <w:top w:val="single" w:sz="8" w:color="auto"/>
            </w:tcBorders>
          </w:tcPr>
          <w:p>
            <w:pPr>
              <w:ind w:left="320"/>
              <w:spacing w:after="0" w:line="133"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344"/>
              <w:spacing w:after="0" w:line="133" w:lineRule="exact"/>
              <w:rPr>
                <w:sz w:val="20"/>
                <w:szCs w:val="20"/>
                <w:color w:val="auto"/>
              </w:rPr>
            </w:pPr>
            <w:r>
              <w:rPr>
                <w:rFonts w:ascii="Arial" w:cs="Arial" w:eastAsia="Arial" w:hAnsi="Arial"/>
                <w:sz w:val="14"/>
                <w:szCs w:val="14"/>
                <w:b w:val="1"/>
                <w:bCs w:val="1"/>
                <w:color w:val="auto"/>
                <w:w w:val="97"/>
              </w:rPr>
              <w:t>Carrying</w:t>
            </w:r>
          </w:p>
        </w:tc>
        <w:tc>
          <w:tcPr>
            <w:tcW w:w="1340" w:type="dxa"/>
            <w:vAlign w:val="bottom"/>
            <w:tcBorders>
              <w:top w:val="single" w:sz="8" w:color="auto"/>
            </w:tcBorders>
          </w:tcPr>
          <w:p>
            <w:pPr>
              <w:jc w:val="center"/>
              <w:ind w:right="122"/>
              <w:spacing w:after="0" w:line="133"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1"/>
                <w:szCs w:val="11"/>
                <w:color w:val="auto"/>
              </w:rPr>
            </w:pPr>
          </w:p>
        </w:tc>
      </w:tr>
      <w:tr>
        <w:trPr>
          <w:trHeight w:val="192"/>
        </w:trPr>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Basis</w:t>
            </w:r>
          </w:p>
        </w:tc>
        <w:tc>
          <w:tcPr>
            <w:tcW w:w="220" w:type="dxa"/>
            <w:vAlign w:val="bottom"/>
          </w:tcPr>
          <w:p>
            <w:pPr>
              <w:spacing w:after="0"/>
              <w:rPr>
                <w:sz w:val="16"/>
                <w:szCs w:val="16"/>
                <w:color w:val="auto"/>
              </w:rPr>
            </w:pPr>
          </w:p>
        </w:tc>
        <w:tc>
          <w:tcPr>
            <w:tcW w:w="1520" w:type="dxa"/>
            <w:vAlign w:val="bottom"/>
          </w:tcPr>
          <w:p>
            <w:pPr>
              <w:jc w:val="center"/>
              <w:ind w:right="344"/>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gridSpan w:val="3"/>
          </w:tcPr>
          <w:p>
            <w:pPr>
              <w:ind w:left="420"/>
              <w:spacing w:after="0"/>
              <w:rPr>
                <w:sz w:val="20"/>
                <w:szCs w:val="20"/>
                <w:color w:val="auto"/>
              </w:rPr>
            </w:pPr>
            <w:r>
              <w:rPr>
                <w:rFonts w:ascii="Arial" w:cs="Arial" w:eastAsia="Arial" w:hAnsi="Arial"/>
                <w:sz w:val="14"/>
                <w:szCs w:val="14"/>
                <w:b w:val="1"/>
                <w:bCs w:val="1"/>
                <w:color w:val="auto"/>
              </w:rPr>
              <w:t>Yield</w:t>
            </w: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Basis</w:t>
            </w:r>
          </w:p>
        </w:tc>
        <w:tc>
          <w:tcPr>
            <w:tcW w:w="220" w:type="dxa"/>
            <w:vAlign w:val="bottom"/>
          </w:tcPr>
          <w:p>
            <w:pPr>
              <w:spacing w:after="0"/>
              <w:rPr>
                <w:sz w:val="16"/>
                <w:szCs w:val="16"/>
                <w:color w:val="auto"/>
              </w:rPr>
            </w:pPr>
          </w:p>
        </w:tc>
        <w:tc>
          <w:tcPr>
            <w:tcW w:w="1540" w:type="dxa"/>
            <w:vAlign w:val="bottom"/>
          </w:tcPr>
          <w:p>
            <w:pPr>
              <w:jc w:val="center"/>
              <w:ind w:right="364"/>
              <w:spacing w:after="0"/>
              <w:rPr>
                <w:sz w:val="20"/>
                <w:szCs w:val="20"/>
                <w:color w:val="auto"/>
              </w:rPr>
            </w:pPr>
            <w:r>
              <w:rPr>
                <w:rFonts w:ascii="Arial" w:cs="Arial" w:eastAsia="Arial" w:hAnsi="Arial"/>
                <w:sz w:val="14"/>
                <w:szCs w:val="14"/>
                <w:b w:val="1"/>
                <w:bCs w:val="1"/>
                <w:color w:val="auto"/>
                <w:w w:val="94"/>
              </w:rPr>
              <w:t>Amount</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r>
      <w:tr>
        <w:trPr>
          <w:trHeight w:val="194"/>
        </w:trPr>
        <w:tc>
          <w:tcPr>
            <w:tcW w:w="20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Cash and cash equivalents  $</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139,856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139,856</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2.41 %  $</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133,202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133,202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60" w:type="dxa"/>
            <w:vAlign w:val="bottom"/>
          </w:tcPr>
          <w:p>
            <w:pPr>
              <w:spacing w:after="0"/>
              <w:rPr>
                <w:sz w:val="20"/>
                <w:szCs w:val="20"/>
                <w:color w:val="auto"/>
              </w:rPr>
            </w:pPr>
          </w:p>
        </w:tc>
      </w:tr>
      <w:tr>
        <w:trPr>
          <w:trHeight w:val="864"/>
        </w:trPr>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ind w:left="3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December 31, 2022 and September 30,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278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September 30, 2022</w:t>
            </w:r>
          </w:p>
        </w:tc>
      </w:tr>
      <w:tr>
        <w:trPr>
          <w:trHeight w:val="26"/>
        </w:trPr>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9"/>
        </w:trPr>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Face Value (*)</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194"/>
        </w:trPr>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The 2018</w:t>
            </w: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381,500</w:t>
            </w:r>
          </w:p>
        </w:tc>
      </w:tr>
      <w:tr>
        <w:trPr>
          <w:trHeight w:val="230"/>
        </w:trPr>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The 2019</w:t>
            </w:r>
          </w:p>
        </w:tc>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Notes and the 2021 Senior Notes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812,250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767,250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1,148,750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7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r>
    </w:tbl>
    <w:p>
      <w:pPr>
        <w:spacing w:after="0" w:line="188" w:lineRule="exact"/>
        <w:rPr>
          <w:sz w:val="20"/>
          <w:szCs w:val="20"/>
          <w:color w:val="auto"/>
        </w:rPr>
      </w:pPr>
    </w:p>
    <w:p>
      <w:pPr>
        <w:ind w:firstLine="413"/>
        <w:spacing w:after="0" w:line="277" w:lineRule="auto"/>
        <w:tabs>
          <w:tab w:leader="none" w:pos="676" w:val="left"/>
        </w:tabs>
        <w:numPr>
          <w:ilvl w:val="0"/>
          <w:numId w:val="24"/>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$13.6 million and $14.3 million at December 31, 2022 and September 30, 2022, respectively.</w:t>
      </w:r>
    </w:p>
    <w:p>
      <w:pPr>
        <w:spacing w:after="0" w:line="11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have interest rate risk with respect to our unsecured revolving line of credit and term loan.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December 31, 2022, we had $350.0 million in borrowings outstanding under the revolving line of credit at a weighted-average interest rate of 5.817% and $285.0 million in outstanding balance of the term loan at an interest rate of 6.051%.</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our outstanding foreign currency forward contracts, by currency, at December 31, 2022 and September 30, 2022:</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2022</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480" w:type="dxa"/>
            <w:vAlign w:val="bottom"/>
          </w:tcPr>
          <w:p>
            <w:pPr>
              <w:jc w:val="center"/>
              <w:ind w:left="599"/>
              <w:spacing w:after="0" w:line="135"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Borders>
              <w:bottom w:val="single" w:sz="8" w:color="auto"/>
            </w:tcBorders>
          </w:tcPr>
          <w:p>
            <w:pPr>
              <w:jc w:val="center"/>
              <w:ind w:left="579"/>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10,100</w:t>
            </w:r>
          </w:p>
        </w:tc>
        <w:tc>
          <w:tcPr>
            <w:tcW w:w="100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10,766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7,072</w:t>
            </w:r>
          </w:p>
        </w:tc>
        <w:tc>
          <w:tcPr>
            <w:tcW w:w="100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00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3"/>
        </w:trPr>
        <w:tc>
          <w:tcPr>
            <w:tcW w:w="5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480" w:type="dxa"/>
            <w:vAlign w:val="bottom"/>
          </w:tcPr>
          <w:p>
            <w:pPr>
              <w:jc w:val="center"/>
              <w:ind w:left="599"/>
              <w:spacing w:after="0" w:line="135"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Borders>
              <w:bottom w:val="single" w:sz="8" w:color="auto"/>
            </w:tcBorders>
          </w:tcPr>
          <w:p>
            <w:pPr>
              <w:jc w:val="center"/>
              <w:ind w:left="579"/>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13,500</w:t>
            </w:r>
          </w:p>
        </w:tc>
        <w:tc>
          <w:tcPr>
            <w:tcW w:w="100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13,158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11,848</w:t>
            </w:r>
          </w:p>
        </w:tc>
        <w:tc>
          <w:tcPr>
            <w:tcW w:w="100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13,100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00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foreign currency forward contracts were entered into on December 31, 2022 and September 30, 2022, respectively; therefore, their fair value was $0 on each of these 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December 31, 2022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factors discussed in Part I, Item 1A “Risk Factors” in our Annual Report on Form 10-K for our fiscal year ended September 30, 2022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3"/>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 xml:space="preserve">Purchased </w:t>
            </w:r>
            <w:r>
              <w:rPr>
                <w:rFonts w:ascii="Arial" w:cs="Arial" w:eastAsia="Arial" w:hAnsi="Arial"/>
                <w:sz w:val="17"/>
                <w:szCs w:val="17"/>
                <w:b w:val="1"/>
                <w:bCs w:val="1"/>
                <w:color w:val="auto"/>
                <w:w w:val="87"/>
                <w:vertAlign w:val="superscript"/>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per Share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 xml:space="preserve">or Programs </w:t>
            </w:r>
            <w:r>
              <w:rPr>
                <w:rFonts w:ascii="Arial" w:cs="Arial" w:eastAsia="Arial" w:hAnsi="Arial"/>
                <w:sz w:val="9"/>
                <w:szCs w:val="9"/>
                <w:b w:val="1"/>
                <w:bCs w:val="1"/>
                <w:color w:val="auto"/>
                <w:w w:val="91"/>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7"/>
                <w:szCs w:val="17"/>
                <w:b w:val="1"/>
                <w:bCs w:val="1"/>
                <w:color w:val="auto"/>
                <w:w w:val="88"/>
                <w:vertAlign w:val="superscript"/>
              </w:rPr>
              <w:t>(2)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2022 through October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451,060,533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November 1, 2022 through November 30, 2022</w:t>
            </w: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485.11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451,060,533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2022 through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117,862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615.42</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451,060,533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298,233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495.82</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451,060,533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line="258"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118,596 shares delivered in satisfaction of the tax withholding obligations resulting from the vesting of restricted stock units held by employees during the quarter ended December 31, 2022.</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October 2022, our Board of Directors approved a new stock repurchase program replacing our previously authorized January 2022 program. This program is open-ended and authorizes repurchases of shares of our common stock up to an aggregate cost of $500.0 million in the open market or in negotiated transactions.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32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Number</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3.1</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3.2</w:t>
      </w:r>
    </w:p>
    <w:p>
      <w:pPr>
        <w:spacing w:after="0" w:line="3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50" w:lineRule="exact"/>
        <w:rPr>
          <w:sz w:val="20"/>
          <w:szCs w:val="20"/>
          <w:color w:val="auto"/>
        </w:rPr>
      </w:pPr>
    </w:p>
    <w:p>
      <w:pPr>
        <w:ind w:right="880"/>
        <w:spacing w:after="0" w:line="246" w:lineRule="auto"/>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Composite Restated Certificate of Incorporation of Fair Isaac Corporation. (Incorporated by reference to Exhibit 3.2 to the</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Company’s Form 10-Q for the quarter ended December 31, 2009).</w:t>
        </w:r>
      </w:hyperlink>
    </w:p>
    <w:p>
      <w:pPr>
        <w:spacing w:after="0" w:line="48" w:lineRule="exact"/>
        <w:rPr>
          <w:sz w:val="20"/>
          <w:szCs w:val="20"/>
          <w:color w:val="auto"/>
        </w:rPr>
      </w:pPr>
    </w:p>
    <w:p>
      <w:pPr>
        <w:ind w:right="480"/>
        <w:spacing w:after="0" w:line="246" w:lineRule="auto"/>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By-laws of Fair Isaac Corporation. (Incorporated by reference to Exhibit 3.1 to the Company’s Form 10-Q for the quarter ended</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December 31, 2009).</w:t>
        </w:r>
      </w:hyperlink>
    </w:p>
    <w:p>
      <w:pPr>
        <w:spacing w:after="0" w:line="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Second Amendment to Second Amended and Restated Credit Agreement among the Company, the several banks and other financial</w:t>
      </w:r>
    </w:p>
    <w:p>
      <w:pPr>
        <w:spacing w:after="0" w:line="21" w:lineRule="exact"/>
        <w:rPr>
          <w:sz w:val="20"/>
          <w:szCs w:val="20"/>
          <w:color w:val="auto"/>
        </w:rPr>
      </w:pPr>
    </w:p>
    <w:p>
      <w:pPr>
        <w:ind w:right="600"/>
        <w:spacing w:after="0" w:line="226" w:lineRule="auto"/>
        <w:rPr>
          <w:sz w:val="20"/>
          <w:szCs w:val="20"/>
          <w:color w:val="auto"/>
        </w:rPr>
      </w:pPr>
      <w:r>
        <w:rPr>
          <w:rFonts w:ascii="Arial" w:cs="Arial" w:eastAsia="Arial" w:hAnsi="Arial"/>
          <w:sz w:val="18"/>
          <w:szCs w:val="18"/>
          <w:u w:val="single" w:color="auto"/>
          <w:color w:val="0000FF"/>
        </w:rPr>
        <w:t>institutions from time to time parties thereto, and Wells Fargo Bank, National Association, as administrative agent, dated as of November 3, 2022.</w:t>
      </w:r>
    </w:p>
    <w:p>
      <w:pPr>
        <w:spacing w:after="0" w:line="36" w:lineRule="exact"/>
        <w:rPr>
          <w:sz w:val="20"/>
          <w:szCs w:val="20"/>
          <w:color w:val="auto"/>
        </w:rPr>
      </w:pPr>
    </w:p>
    <w:p>
      <w:pPr>
        <w:sectPr>
          <w:pgSz w:w="11900" w:h="16838" w:orient="portrait"/>
          <w:cols w:equalWidth="0" w:num="2">
            <w:col w:w="1280" w:space="280"/>
            <w:col w:w="968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3"/>
              </w:rPr>
              <w:t>31.1 *</w:t>
            </w:r>
          </w:p>
        </w:tc>
        <w:tc>
          <w:tcPr>
            <w:tcW w:w="3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Rule 13a-14(a)/15d-14(a) Certifications of CEO.</w:t>
            </w:r>
          </w:p>
        </w:tc>
        <w:tc>
          <w:tcPr>
            <w:tcW w:w="6160" w:type="dxa"/>
            <w:vAlign w:val="bottom"/>
          </w:tcPr>
          <w:p>
            <w:pPr>
              <w:spacing w:after="0"/>
              <w:rPr>
                <w:sz w:val="17"/>
                <w:szCs w:val="17"/>
                <w:color w:val="auto"/>
              </w:rPr>
            </w:pPr>
          </w:p>
        </w:tc>
      </w:tr>
      <w:tr>
        <w:trPr>
          <w:trHeight w:val="26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3"/>
              </w:rPr>
              <w:t>31.2 *</w:t>
            </w:r>
          </w:p>
        </w:tc>
        <w:tc>
          <w:tcPr>
            <w:tcW w:w="35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Rule 13a-14(a)/15d-14(a) Certifications of CFO.</w:t>
            </w:r>
          </w:p>
        </w:tc>
        <w:tc>
          <w:tcPr>
            <w:tcW w:w="6180" w:type="dxa"/>
            <w:vAlign w:val="bottom"/>
            <w:gridSpan w:val="2"/>
          </w:tcPr>
          <w:p>
            <w:pPr>
              <w:spacing w:after="0"/>
              <w:rPr>
                <w:sz w:val="22"/>
                <w:szCs w:val="22"/>
                <w:color w:val="auto"/>
              </w:rPr>
            </w:pPr>
          </w:p>
        </w:tc>
      </w:tr>
      <w:tr>
        <w:trPr>
          <w:trHeight w:val="264"/>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3"/>
              </w:rPr>
              <w:t>32.1 *</w:t>
            </w:r>
          </w:p>
        </w:tc>
        <w:tc>
          <w:tcPr>
            <w:tcW w:w="25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Section 1350 Certification of CEO.</w:t>
            </w:r>
          </w:p>
        </w:tc>
        <w:tc>
          <w:tcPr>
            <w:tcW w:w="7140" w:type="dxa"/>
            <w:vAlign w:val="bottom"/>
            <w:gridSpan w:val="3"/>
          </w:tcPr>
          <w:p>
            <w:pPr>
              <w:spacing w:after="0"/>
              <w:rPr>
                <w:sz w:val="22"/>
                <w:szCs w:val="22"/>
                <w:color w:val="auto"/>
              </w:rPr>
            </w:pPr>
          </w:p>
        </w:tc>
      </w:tr>
      <w:tr>
        <w:trPr>
          <w:trHeight w:val="26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3"/>
              </w:rPr>
              <w:t>32.2 *</w:t>
            </w:r>
          </w:p>
        </w:tc>
        <w:tc>
          <w:tcPr>
            <w:tcW w:w="9680" w:type="dxa"/>
            <w:vAlign w:val="bottom"/>
            <w:gridSpan w:val="6"/>
          </w:tcPr>
          <w:p>
            <w:pPr>
              <w:spacing w:after="0"/>
              <w:rPr>
                <w:sz w:val="20"/>
                <w:szCs w:val="20"/>
                <w:color w:val="auto"/>
              </w:rPr>
            </w:pPr>
            <w:r>
              <w:rPr>
                <w:rFonts w:ascii="Arial" w:cs="Arial" w:eastAsia="Arial" w:hAnsi="Arial"/>
                <w:sz w:val="18"/>
                <w:szCs w:val="18"/>
                <w:color w:val="0000FF"/>
              </w:rPr>
              <w:t>Section 1350 Certification of CFO.</w:t>
            </w:r>
          </w:p>
        </w:tc>
      </w:tr>
      <w:tr>
        <w:trPr>
          <w:trHeight w:val="304"/>
        </w:trPr>
        <w:tc>
          <w:tcPr>
            <w:tcW w:w="1560" w:type="dxa"/>
            <w:vAlign w:val="bottom"/>
          </w:tcPr>
          <w:p>
            <w:pPr>
              <w:jc w:val="center"/>
              <w:ind w:right="50"/>
              <w:spacing w:after="0"/>
              <w:rPr>
                <w:sz w:val="20"/>
                <w:szCs w:val="20"/>
                <w:color w:val="auto"/>
              </w:rPr>
            </w:pPr>
            <w:r>
              <w:rPr>
                <w:rFonts w:ascii="Arial" w:cs="Arial" w:eastAsia="Arial" w:hAnsi="Arial"/>
                <w:sz w:val="18"/>
                <w:szCs w:val="18"/>
                <w:color w:val="auto"/>
                <w:w w:val="95"/>
              </w:rPr>
              <w:t>101.INS *</w:t>
            </w:r>
          </w:p>
        </w:tc>
        <w:tc>
          <w:tcPr>
            <w:tcW w:w="2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6"/>
              </w:rPr>
              <w:t>Inline XBRL Instance Document.</w:t>
            </w:r>
          </w:p>
        </w:tc>
        <w:tc>
          <w:tcPr>
            <w:tcW w:w="7160" w:type="dxa"/>
            <w:vAlign w:val="bottom"/>
            <w:gridSpan w:val="4"/>
          </w:tcPr>
          <w:p>
            <w:pPr>
              <w:spacing w:after="0"/>
              <w:rPr>
                <w:sz w:val="24"/>
                <w:szCs w:val="24"/>
                <w:color w:val="auto"/>
              </w:rPr>
            </w:pPr>
          </w:p>
        </w:tc>
      </w:tr>
      <w:tr>
        <w:trPr>
          <w:trHeight w:val="28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4"/>
              </w:rPr>
              <w:t>101.SCH *</w:t>
            </w:r>
          </w:p>
        </w:tc>
        <w:tc>
          <w:tcPr>
            <w:tcW w:w="96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7"/>
              </w:rPr>
              <w:t>101.CAL *</w:t>
            </w:r>
          </w:p>
        </w:tc>
        <w:tc>
          <w:tcPr>
            <w:tcW w:w="96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6"/>
              </w:rPr>
              <w:t>101.DEF *</w:t>
            </w:r>
          </w:p>
        </w:tc>
        <w:tc>
          <w:tcPr>
            <w:tcW w:w="96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8"/>
              </w:rPr>
              <w:t>101.LAB *</w:t>
            </w:r>
          </w:p>
        </w:tc>
        <w:tc>
          <w:tcPr>
            <w:tcW w:w="96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560" w:type="dxa"/>
            <w:vAlign w:val="bottom"/>
          </w:tcPr>
          <w:p>
            <w:pPr>
              <w:jc w:val="center"/>
              <w:ind w:right="50"/>
              <w:spacing w:after="0"/>
              <w:rPr>
                <w:sz w:val="20"/>
                <w:szCs w:val="20"/>
                <w:color w:val="auto"/>
              </w:rPr>
            </w:pPr>
            <w:r>
              <w:rPr>
                <w:rFonts w:ascii="Arial" w:cs="Arial" w:eastAsia="Arial" w:hAnsi="Arial"/>
                <w:sz w:val="18"/>
                <w:szCs w:val="18"/>
                <w:color w:val="auto"/>
                <w:w w:val="92"/>
              </w:rPr>
              <w:t>101.PRE *</w:t>
            </w:r>
          </w:p>
        </w:tc>
        <w:tc>
          <w:tcPr>
            <w:tcW w:w="96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5"/>
              </w:rPr>
              <w:t>104 *</w:t>
            </w:r>
          </w:p>
        </w:tc>
        <w:tc>
          <w:tcPr>
            <w:tcW w:w="968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30"/>
        </w:trPr>
        <w:tc>
          <w:tcPr>
            <w:tcW w:w="1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r>
      <w:tr>
        <w:trPr>
          <w:trHeight w:val="453"/>
        </w:trPr>
        <w:tc>
          <w:tcPr>
            <w:tcW w:w="1560" w:type="dxa"/>
            <w:vAlign w:val="bottom"/>
          </w:tcPr>
          <w:p>
            <w:pPr>
              <w:jc w:val="center"/>
              <w:ind w:right="70"/>
              <w:spacing w:after="0"/>
              <w:rPr>
                <w:sz w:val="20"/>
                <w:szCs w:val="20"/>
                <w:color w:val="auto"/>
              </w:rPr>
            </w:pPr>
            <w:r>
              <w:rPr>
                <w:rFonts w:ascii="Arial" w:cs="Arial" w:eastAsia="Arial" w:hAnsi="Arial"/>
                <w:sz w:val="18"/>
                <w:szCs w:val="18"/>
                <w:color w:val="auto"/>
              </w:rPr>
              <w:t>*  Filed herewith.</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850"/>
        </w:trPr>
        <w:tc>
          <w:tcPr>
            <w:tcW w:w="1560" w:type="dxa"/>
            <w:vAlign w:val="bottom"/>
          </w:tcPr>
          <w:p>
            <w:pPr>
              <w:spacing w:after="0"/>
              <w:rPr>
                <w:sz w:val="24"/>
                <w:szCs w:val="24"/>
                <w:color w:val="auto"/>
              </w:rPr>
            </w:pPr>
          </w:p>
        </w:tc>
        <w:tc>
          <w:tcPr>
            <w:tcW w:w="9680" w:type="dxa"/>
            <w:vAlign w:val="bottom"/>
            <w:gridSpan w:val="6"/>
          </w:tcPr>
          <w:p>
            <w:pPr>
              <w:ind w:left="3980"/>
              <w:spacing w:after="0"/>
              <w:rPr>
                <w:sz w:val="20"/>
                <w:szCs w:val="20"/>
                <w:color w:val="auto"/>
              </w:rPr>
            </w:pPr>
            <w:r>
              <w:rPr>
                <w:rFonts w:ascii="Arial" w:cs="Arial" w:eastAsia="Arial" w:hAnsi="Arial"/>
                <w:sz w:val="18"/>
                <w:szCs w:val="18"/>
                <w:color w:val="auto"/>
              </w:rPr>
              <w:t>34</w:t>
            </w:r>
          </w:p>
        </w:tc>
      </w:tr>
      <w:tr>
        <w:trPr>
          <w:trHeight w:val="115"/>
        </w:trPr>
        <w:tc>
          <w:tcPr>
            <w:tcW w:w="1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FAIR ISAAC CORPORATION</w:t>
      </w:r>
    </w:p>
    <w:p>
      <w:pPr>
        <w:spacing w:after="0" w:line="29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26, 2023</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STEVEN P. WEBER</w:t>
            </w:r>
          </w:p>
        </w:tc>
      </w:tr>
      <w:tr>
        <w:trPr>
          <w:trHeight w:val="222"/>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86"/>
              </w:rPr>
              <w:t>Steven P. Weber</w:t>
            </w:r>
          </w:p>
        </w:tc>
      </w:tr>
      <w:tr>
        <w:trPr>
          <w:trHeight w:val="229"/>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3"/>
              </w:rPr>
              <w:t>Vice President and Interim Chief Financial Officer</w:t>
            </w:r>
          </w:p>
        </w:tc>
      </w:tr>
      <w:tr>
        <w:trPr>
          <w:trHeight w:val="230"/>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2"/>
              </w:rPr>
              <w:t>(for Registrant as duly authorized officer and</w:t>
            </w:r>
          </w:p>
        </w:tc>
      </w:tr>
      <w:tr>
        <w:trPr>
          <w:trHeight w:val="230"/>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as Principal Financial Officer)</w:t>
            </w:r>
          </w:p>
        </w:tc>
      </w:tr>
    </w:tbl>
    <w:p>
      <w:pPr>
        <w:spacing w:after="0" w:line="269"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26, 2023</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MICHAEL S. LEONARD</w:t>
            </w:r>
          </w:p>
        </w:tc>
      </w:tr>
      <w:tr>
        <w:trPr>
          <w:trHeight w:val="222"/>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Michael S. Leonard</w:t>
            </w:r>
          </w:p>
        </w:tc>
      </w:tr>
      <w:tr>
        <w:trPr>
          <w:trHeight w:val="176"/>
        </w:trPr>
        <w:tc>
          <w:tcPr>
            <w:tcW w:w="520" w:type="dxa"/>
            <w:vAlign w:val="bottom"/>
          </w:tcPr>
          <w:p>
            <w:pPr>
              <w:spacing w:after="0"/>
              <w:rPr>
                <w:sz w:val="15"/>
                <w:szCs w:val="15"/>
                <w:color w:val="auto"/>
              </w:rPr>
            </w:pPr>
          </w:p>
        </w:tc>
        <w:tc>
          <w:tcPr>
            <w:tcW w:w="538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Vice President and Chief Accounting Officer</w:t>
            </w:r>
          </w:p>
        </w:tc>
      </w:tr>
      <w:tr>
        <w:trPr>
          <w:trHeight w:val="230"/>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SECOND AMENDMENT TO SECOND AMENDED AND RESTATED CREDIT AGREEMENT</w:t>
      </w:r>
    </w:p>
    <w:p>
      <w:pPr>
        <w:spacing w:after="0" w:line="222"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This SECOND AMENDMENT TO SECOND AMENDED AND RESTATED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November 3, 2022, is entered into by and among FAIR ISAAC CORPORATION,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Lenders and WELLS FARGO BANK, NATIONAL ASSOCIATION, as Administrative Agent, with respect to the following:</w:t>
      </w:r>
    </w:p>
    <w:p>
      <w:pPr>
        <w:spacing w:after="0" w:line="200" w:lineRule="exact"/>
        <w:rPr>
          <w:sz w:val="20"/>
          <w:szCs w:val="20"/>
          <w:color w:val="auto"/>
        </w:rPr>
      </w:pPr>
    </w:p>
    <w:p>
      <w:pPr>
        <w:jc w:val="both"/>
        <w:ind w:firstLine="656"/>
        <w:spacing w:after="0" w:line="231" w:lineRule="auto"/>
        <w:tabs>
          <w:tab w:leader="none" w:pos="116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Borrower, the Administrative Agent and the Lenders have previously entered into that certain Second Amended and Restated Credit Agreement, dated as of August 19, 2021 (as amended, restated, supplemented or otherwise modified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the Credit Agreement as amended by this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Capitalized terms used but not defined herein have the meanings assigned to them in the Credit Agreement.</w:t>
      </w:r>
    </w:p>
    <w:p>
      <w:pPr>
        <w:spacing w:after="0" w:line="184" w:lineRule="exact"/>
        <w:rPr>
          <w:rFonts w:ascii="Arial" w:cs="Arial" w:eastAsia="Arial" w:hAnsi="Arial"/>
          <w:sz w:val="19"/>
          <w:szCs w:val="19"/>
          <w:color w:val="auto"/>
        </w:rPr>
      </w:pPr>
    </w:p>
    <w:p>
      <w:pPr>
        <w:ind w:left="1040" w:hanging="384"/>
        <w:spacing w:after="0"/>
        <w:tabs>
          <w:tab w:leader="none" w:pos="10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Borrower has requested an amendment to the Credit Agreement as set forth below.</w:t>
      </w:r>
    </w:p>
    <w:p>
      <w:pPr>
        <w:spacing w:after="0" w:line="188" w:lineRule="exact"/>
        <w:rPr>
          <w:rFonts w:ascii="Arial" w:cs="Arial" w:eastAsia="Arial" w:hAnsi="Arial"/>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Amendment, the Lenders are willing to agree to such amendment.</w:t>
      </w:r>
    </w:p>
    <w:p>
      <w:pPr>
        <w:spacing w:after="0" w:line="212" w:lineRule="exact"/>
        <w:rPr>
          <w:sz w:val="20"/>
          <w:szCs w:val="20"/>
          <w:color w:val="auto"/>
        </w:rPr>
      </w:pPr>
    </w:p>
    <w:p>
      <w:pPr>
        <w:ind w:firstLine="482"/>
        <w:spacing w:after="0" w:line="229"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hereto hereby agree as follows:</w:t>
      </w:r>
    </w:p>
    <w:p>
      <w:pPr>
        <w:spacing w:after="0" w:line="190" w:lineRule="exact"/>
        <w:rPr>
          <w:sz w:val="20"/>
          <w:szCs w:val="20"/>
          <w:color w:val="auto"/>
        </w:rPr>
      </w:pPr>
    </w:p>
    <w:p>
      <w:pPr>
        <w:ind w:firstLine="1304"/>
        <w:spacing w:after="0" w:line="239" w:lineRule="auto"/>
        <w:tabs>
          <w:tab w:leader="none" w:pos="1669" w:val="left"/>
        </w:tabs>
        <w:numPr>
          <w:ilvl w:val="0"/>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Effectiveness</w:t>
      </w:r>
      <w:r>
        <w:rPr>
          <w:rFonts w:ascii="Arial" w:cs="Arial" w:eastAsia="Arial" w:hAnsi="Arial"/>
          <w:sz w:val="20"/>
          <w:szCs w:val="20"/>
          <w:color w:val="auto"/>
        </w:rPr>
        <w:t>. The effectiveness of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Amendment are subject to the satisfaction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conditions further described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of this Amendment.</w:t>
      </w:r>
    </w:p>
    <w:p>
      <w:pPr>
        <w:spacing w:after="0" w:line="149" w:lineRule="exact"/>
        <w:rPr>
          <w:rFonts w:ascii="Arial" w:cs="Arial" w:eastAsia="Arial" w:hAnsi="Arial"/>
          <w:sz w:val="20"/>
          <w:szCs w:val="20"/>
          <w:color w:val="auto"/>
        </w:rPr>
      </w:pPr>
    </w:p>
    <w:p>
      <w:pPr>
        <w:ind w:left="1660" w:hanging="356"/>
        <w:spacing w:after="0"/>
        <w:tabs>
          <w:tab w:leader="none" w:pos="1660" w:val="left"/>
        </w:tabs>
        <w:numPr>
          <w:ilvl w:val="0"/>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w:t>
      </w:r>
    </w:p>
    <w:p>
      <w:pPr>
        <w:spacing w:after="0" w:line="194" w:lineRule="exact"/>
        <w:rPr>
          <w:rFonts w:ascii="Arial" w:cs="Arial" w:eastAsia="Arial" w:hAnsi="Arial"/>
          <w:sz w:val="20"/>
          <w:szCs w:val="20"/>
          <w:color w:val="auto"/>
        </w:rPr>
      </w:pPr>
    </w:p>
    <w:p>
      <w:pPr>
        <w:ind w:firstLine="1952"/>
        <w:spacing w:after="0" w:line="236" w:lineRule="auto"/>
        <w:tabs>
          <w:tab w:leader="none" w:pos="2361"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Exhibits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to the Credit Agreement are hereby amended and restated in their respective entireties with </w:t>
      </w:r>
      <w:r>
        <w:rPr>
          <w:rFonts w:ascii="Arial" w:cs="Arial" w:eastAsia="Arial" w:hAnsi="Arial"/>
          <w:sz w:val="20"/>
          <w:szCs w:val="20"/>
          <w:u w:val="single" w:color="auto"/>
          <w:color w:val="auto"/>
        </w:rPr>
        <w:t>Exhibits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attached hereto as </w:t>
      </w:r>
      <w:r>
        <w:rPr>
          <w:rFonts w:ascii="Arial" w:cs="Arial" w:eastAsia="Arial" w:hAnsi="Arial"/>
          <w:sz w:val="20"/>
          <w:szCs w:val="20"/>
          <w:u w:val="single" w:color="auto"/>
          <w:color w:val="auto"/>
        </w:rPr>
        <w:t>Annex A</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952"/>
        <w:spacing w:after="0" w:line="218" w:lineRule="auto"/>
        <w:tabs>
          <w:tab w:leader="none" w:pos="2450"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The body of the Credit Agreement (excluding the Schedules and Exhibits thereto) is hereby amended to (i)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(ii) add the double-underlined text (indicated textually in the same manner as the following example: </w:t>
      </w:r>
      <w:r>
        <w:rPr>
          <w:rFonts w:ascii="Arial" w:cs="Arial" w:eastAsia="Arial" w:hAnsi="Arial"/>
          <w:sz w:val="20"/>
          <w:szCs w:val="20"/>
          <w:u w:val="single" w:color="auto"/>
          <w:color w:val="323E4F"/>
        </w:rPr>
        <w:t>double-underlined text</w:t>
      </w:r>
      <w:r>
        <w:rPr>
          <w:rFonts w:ascii="Arial" w:cs="Arial" w:eastAsia="Arial" w:hAnsi="Arial"/>
          <w:sz w:val="20"/>
          <w:szCs w:val="20"/>
          <w:color w:val="auto"/>
        </w:rPr>
        <w:t xml:space="preserve">) and (iii) move the green double-underlined text (indicated textually in the same manner as the following example: </w:t>
      </w:r>
      <w:r>
        <w:rPr>
          <w:rFonts w:ascii="Arial" w:cs="Arial" w:eastAsia="Arial" w:hAnsi="Arial"/>
          <w:sz w:val="20"/>
          <w:szCs w:val="20"/>
          <w:u w:val="single" w:color="auto"/>
          <w:color w:val="00B050"/>
        </w:rPr>
        <w:t>double-underlined text</w:t>
      </w:r>
      <w:r>
        <w:rPr>
          <w:rFonts w:ascii="Arial" w:cs="Arial" w:eastAsia="Arial" w:hAnsi="Arial"/>
          <w:sz w:val="20"/>
          <w:szCs w:val="20"/>
          <w:color w:val="auto"/>
        </w:rPr>
        <w:t xml:space="preserve">), in each case, as set forth in the Credit Agreement attached hereto as </w:t>
      </w:r>
      <w:r>
        <w:rPr>
          <w:rFonts w:ascii="Arial" w:cs="Arial" w:eastAsia="Arial" w:hAnsi="Arial"/>
          <w:sz w:val="20"/>
          <w:szCs w:val="20"/>
          <w:u w:val="single" w:color="auto"/>
          <w:color w:val="auto"/>
        </w:rPr>
        <w:t>Annex B</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jc w:val="both"/>
        <w:ind w:firstLine="1304"/>
        <w:spacing w:after="0" w:line="263" w:lineRule="auto"/>
        <w:tabs>
          <w:tab w:leader="none" w:pos="1642"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Precedent to the Effectiveness of this Amendment</w:t>
      </w:r>
      <w:r>
        <w:rPr>
          <w:rFonts w:ascii="Arial" w:cs="Arial" w:eastAsia="Arial" w:hAnsi="Arial"/>
          <w:sz w:val="18"/>
          <w:szCs w:val="18"/>
          <w:color w:val="auto"/>
        </w:rPr>
        <w:t>. The effectiveness of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is conditioned upon, and such provisions shall not be effective until, satisfaction of the following conditions (the first date on which all of the following conditions have been satisfied being referred to herein as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ind w:firstLine="1952"/>
        <w:spacing w:after="0" w:line="236" w:lineRule="auto"/>
        <w:tabs>
          <w:tab w:leader="none" w:pos="2391"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Amendment, duly executed and delivered by the Borrower, the Administrative Agent and the Lenders; and</w:t>
      </w:r>
    </w:p>
    <w:p>
      <w:pPr>
        <w:spacing w:after="0" w:line="168" w:lineRule="exact"/>
        <w:rPr>
          <w:rFonts w:ascii="Arial" w:cs="Arial" w:eastAsia="Arial" w:hAnsi="Arial"/>
          <w:sz w:val="20"/>
          <w:szCs w:val="20"/>
          <w:color w:val="auto"/>
        </w:rPr>
      </w:pPr>
    </w:p>
    <w:p>
      <w:pPr>
        <w:jc w:val="both"/>
        <w:ind w:firstLine="1952"/>
        <w:spacing w:after="0" w:line="223" w:lineRule="auto"/>
        <w:tabs>
          <w:tab w:leader="none" w:pos="2563"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fees and expenses required to be paid to the Administrative Agent (including the reasonable and documented fees, charges and disbursements of external counsel for the Administrative Agent) and the Lenders on or prior to the Second Amendment Effective Date shall have been paid.</w:t>
      </w:r>
    </w:p>
    <w:p>
      <w:pPr>
        <w:spacing w:after="0" w:line="16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 xml:space="preserve">Without limiting the generality of the provisions of </w:t>
      </w:r>
      <w:r>
        <w:rPr>
          <w:rFonts w:ascii="Arial" w:cs="Arial" w:eastAsia="Arial" w:hAnsi="Arial"/>
          <w:sz w:val="19"/>
          <w:szCs w:val="19"/>
          <w:u w:val="single" w:color="auto"/>
          <w:color w:val="auto"/>
        </w:rPr>
        <w:t>Sections 9.3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9.4</w:t>
      </w:r>
      <w:r>
        <w:rPr>
          <w:rFonts w:ascii="Arial" w:cs="Arial" w:eastAsia="Arial" w:hAnsi="Arial"/>
          <w:sz w:val="19"/>
          <w:szCs w:val="19"/>
          <w:color w:val="auto"/>
        </w:rPr>
        <w:t xml:space="preserve"> of the Amended Credit Agreement, for purposes of determining compliance with the conditions specified in this </w:t>
      </w:r>
      <w:r>
        <w:rPr>
          <w:rFonts w:ascii="Arial" w:cs="Arial" w:eastAsia="Arial" w:hAnsi="Arial"/>
          <w:sz w:val="19"/>
          <w:szCs w:val="19"/>
          <w:u w:val="single" w:color="auto"/>
          <w:color w:val="auto"/>
        </w:rPr>
        <w:t>Section 3</w:t>
      </w:r>
      <w:r>
        <w:rPr>
          <w:rFonts w:ascii="Arial" w:cs="Arial" w:eastAsia="Arial" w:hAnsi="Arial"/>
          <w:sz w:val="19"/>
          <w:szCs w:val="19"/>
          <w:color w:val="auto"/>
        </w:rPr>
        <w:t>, the Administrative Agent and each Lender that has signed this</w:t>
      </w:r>
    </w:p>
    <w:p>
      <w:pPr>
        <w:spacing w:after="0" w:line="236" w:lineRule="auto"/>
        <w:rPr>
          <w:sz w:val="20"/>
          <w:szCs w:val="20"/>
          <w:color w:val="auto"/>
        </w:rPr>
      </w:pPr>
      <w:r>
        <w:rPr>
          <w:rFonts w:ascii="Arial" w:cs="Arial" w:eastAsia="Arial" w:hAnsi="Arial"/>
          <w:sz w:val="18"/>
          <w:szCs w:val="18"/>
          <w:color w:val="auto"/>
        </w:rPr>
        <w:t>Amendment shall be deemed to have consented to, approved or accepted or to be satisfied with, each document or other matter required</w:t>
      </w:r>
    </w:p>
    <w:p>
      <w:pPr>
        <w:spacing w:after="0" w:line="232" w:lineRule="auto"/>
        <w:rPr>
          <w:sz w:val="20"/>
          <w:szCs w:val="20"/>
          <w:color w:val="auto"/>
        </w:rPr>
      </w:pPr>
      <w:r>
        <w:rPr>
          <w:rFonts w:ascii="Arial" w:cs="Arial" w:eastAsia="Arial" w:hAnsi="Arial"/>
          <w:sz w:val="19"/>
          <w:szCs w:val="19"/>
          <w:color w:val="auto"/>
        </w:rPr>
        <w:t>thereunder to be consented to or approved by or acceptable or satisfactory to a Lender unless the Administrative Agent shall have received notice from such Lender prior to the proposed Second Amendment Effective Date specifying its objection thereto.</w:t>
      </w:r>
    </w:p>
    <w:p>
      <w:pPr>
        <w:sectPr>
          <w:pgSz w:w="11900" w:h="16838" w:orient="portrait"/>
          <w:cols w:equalWidth="0" w:num="1">
            <w:col w:w="11240"/>
          </w:cols>
          <w:pgMar w:left="320" w:top="1399" w:right="339" w:bottom="1440" w:gutter="0" w:footer="0" w:header="0"/>
        </w:sectPr>
      </w:pPr>
    </w:p>
    <w:bookmarkStart w:id="39" w:name="page40"/>
    <w:bookmarkEnd w:id="39"/>
    <w:p>
      <w:pPr>
        <w:ind w:left="-1120" w:right="20" w:firstLine="1304"/>
        <w:spacing w:after="0" w:line="239" w:lineRule="auto"/>
        <w:tabs>
          <w:tab w:leader="none" w:pos="644"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In order to induce the Administrative Agent and the Lenders to enter into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the Borrower represents and warrants to the Administrative Agent and the Lenders as follows:</w:t>
      </w:r>
    </w:p>
    <w:p>
      <w:pPr>
        <w:spacing w:after="0" w:line="155" w:lineRule="exact"/>
        <w:rPr>
          <w:rFonts w:ascii="Arial" w:cs="Arial" w:eastAsia="Arial" w:hAnsi="Arial"/>
          <w:sz w:val="20"/>
          <w:szCs w:val="20"/>
          <w:color w:val="auto"/>
        </w:rPr>
      </w:pPr>
    </w:p>
    <w:p>
      <w:pPr>
        <w:jc w:val="both"/>
        <w:ind w:left="-1120" w:right="20" w:firstLine="1952"/>
        <w:spacing w:after="0" w:line="227" w:lineRule="auto"/>
        <w:tabs>
          <w:tab w:leader="none" w:pos="1376"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Authorization of Amendments</w:t>
      </w:r>
      <w:r>
        <w:rPr>
          <w:rFonts w:ascii="Arial" w:cs="Arial" w:eastAsia="Arial" w:hAnsi="Arial"/>
          <w:sz w:val="20"/>
          <w:szCs w:val="20"/>
          <w:color w:val="auto"/>
        </w:rPr>
        <w:t>. The execution and delivery of this Amendment by the Borrower and the performance by the Borrower of the Amended Credit Agreement: (i) are within the corporate power of the Borrower and (ii) have been duly authorized by all necessary corporate or other organizational actions on the part of the Borrower.</w:t>
      </w:r>
    </w:p>
    <w:p>
      <w:pPr>
        <w:spacing w:after="0" w:line="157" w:lineRule="exact"/>
        <w:rPr>
          <w:rFonts w:ascii="Arial" w:cs="Arial" w:eastAsia="Arial" w:hAnsi="Arial"/>
          <w:sz w:val="20"/>
          <w:szCs w:val="20"/>
          <w:color w:val="auto"/>
        </w:rPr>
      </w:pPr>
    </w:p>
    <w:p>
      <w:pPr>
        <w:jc w:val="both"/>
        <w:ind w:left="-1120" w:firstLine="1952"/>
        <w:spacing w:after="0" w:line="218" w:lineRule="auto"/>
        <w:tabs>
          <w:tab w:leader="none" w:pos="136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Enforceability</w:t>
      </w:r>
      <w:r>
        <w:rPr>
          <w:rFonts w:ascii="Arial" w:cs="Arial" w:eastAsia="Arial" w:hAnsi="Arial"/>
          <w:sz w:val="20"/>
          <w:szCs w:val="20"/>
          <w:color w:val="auto"/>
        </w:rPr>
        <w:t>. Each of this Amendment and the Amended Credit Agreement has been duly executed and delivered by the Borrower, and constitutes a legal, valid and binding obligation of the Borrower, enforceable against the Borrower in accordance with its terms, except as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0" w:lineRule="exact"/>
        <w:rPr>
          <w:rFonts w:ascii="Arial" w:cs="Arial" w:eastAsia="Arial" w:hAnsi="Arial"/>
          <w:sz w:val="20"/>
          <w:szCs w:val="20"/>
          <w:color w:val="auto"/>
        </w:rPr>
      </w:pPr>
    </w:p>
    <w:p>
      <w:pPr>
        <w:jc w:val="both"/>
        <w:ind w:left="-1120" w:firstLine="1952"/>
        <w:spacing w:after="0" w:line="235" w:lineRule="auto"/>
        <w:tabs>
          <w:tab w:leader="none" w:pos="1336"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by the Borrower of this Amendment and the Amended Credit Agreement do not (i) violate any Requirement of Law included in clause (a) of the definition thereof or, in any material respect, any Requirement of Law included in clause (b) of the definition thereof, in each case, applicable to the Borrower or any of its Subsidiaries; (ii) violate any provision of, or result in the breach or the acceleration of, or entitle any other Person to accelerate (whether after the giving of notice or lapse of time or both), any Contractual Obligation of the Borrower; (iii) result in, or require, the creation or imposition of any Lien upon any property or revenue of the Borrower (except such Liens as may be created in favor of the Administrative Agent for the benefit of the Lenders pursuant to this Amendment or the other Loan Documents); (iv) result in a revocation, termination or other material restriction on any licenses that would have a Material Adverse Effect or (v) violate in any material respect any provision of any existing law, rule, regulation, order, writ, injunction or decree of any court or Governmental Authority to which it is subject.</w:t>
      </w:r>
    </w:p>
    <w:p>
      <w:pPr>
        <w:spacing w:after="0" w:line="160" w:lineRule="exact"/>
        <w:rPr>
          <w:rFonts w:ascii="Arial" w:cs="Arial" w:eastAsia="Arial" w:hAnsi="Arial"/>
          <w:sz w:val="18"/>
          <w:szCs w:val="18"/>
          <w:color w:val="auto"/>
        </w:rPr>
      </w:pPr>
    </w:p>
    <w:p>
      <w:pPr>
        <w:jc w:val="both"/>
        <w:ind w:left="-1120" w:firstLine="1952"/>
        <w:spacing w:after="0" w:line="220" w:lineRule="auto"/>
        <w:tabs>
          <w:tab w:leader="none" w:pos="1293"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Governmental Consents</w:t>
      </w:r>
      <w:r>
        <w:rPr>
          <w:rFonts w:ascii="Arial" w:cs="Arial" w:eastAsia="Arial" w:hAnsi="Arial"/>
          <w:sz w:val="20"/>
          <w:szCs w:val="20"/>
          <w:color w:val="auto"/>
        </w:rPr>
        <w:t>. No consent or authorization of, filing with, notice to or other act by or in respect of, any Governmental Authority or other Person is required in connection with the execution and delivery of this Amendment by the Borrower, or the performance or consummation of the transactions contemplated hereby, except consents, authorizations, filings and notices which have been obtained or made and are in full force and effect.</w:t>
      </w:r>
    </w:p>
    <w:p>
      <w:pPr>
        <w:spacing w:after="0" w:line="169" w:lineRule="exact"/>
        <w:rPr>
          <w:rFonts w:ascii="Arial" w:cs="Arial" w:eastAsia="Arial" w:hAnsi="Arial"/>
          <w:sz w:val="20"/>
          <w:szCs w:val="20"/>
          <w:color w:val="auto"/>
        </w:rPr>
      </w:pPr>
    </w:p>
    <w:p>
      <w:pPr>
        <w:jc w:val="both"/>
        <w:ind w:left="-1120" w:firstLine="1952"/>
        <w:spacing w:after="0" w:line="238" w:lineRule="auto"/>
        <w:tabs>
          <w:tab w:leader="none" w:pos="1349"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represents and warrants that as of the Second Amendment Effective Date and after giving effect to this Amendment (i) the representations and warranties of the Borrower set forth in Section 4 of the Credit Agreement and in the other Loan Documents are true and correct in all material respects (except to the extent that such representation and warranty is qualified by materiality, in which case such representation and warranty must be true in all respects) as if made on such date (except for representations and warranties expressly made as of a specified date, which shall be true and correct in all material respects (except to the extent that such representation and warranty is qualified by materiality, in which case such representation and warranty must be true in all respects) as of such date) and (ii) no Default or Event of Default has occurred and is continuing.</w:t>
      </w:r>
    </w:p>
    <w:p>
      <w:pPr>
        <w:spacing w:after="0" w:line="163" w:lineRule="exact"/>
        <w:rPr>
          <w:rFonts w:ascii="Arial" w:cs="Arial" w:eastAsia="Arial" w:hAnsi="Arial"/>
          <w:sz w:val="18"/>
          <w:szCs w:val="18"/>
          <w:color w:val="auto"/>
        </w:rPr>
      </w:pPr>
    </w:p>
    <w:p>
      <w:pPr>
        <w:ind w:left="540" w:hanging="356"/>
        <w:spacing w:after="0"/>
        <w:tabs>
          <w:tab w:leader="none" w:pos="540"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181" w:lineRule="exact"/>
        <w:rPr>
          <w:rFonts w:ascii="Arial" w:cs="Arial" w:eastAsia="Arial" w:hAnsi="Arial"/>
          <w:sz w:val="20"/>
          <w:szCs w:val="20"/>
          <w:color w:val="auto"/>
        </w:rPr>
      </w:pPr>
    </w:p>
    <w:p>
      <w:pPr>
        <w:jc w:val="both"/>
        <w:ind w:left="-1120" w:firstLine="1952"/>
        <w:spacing w:after="0" w:line="243" w:lineRule="auto"/>
        <w:tabs>
          <w:tab w:leader="none" w:pos="132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 and the other Loan Documents</w:t>
      </w:r>
      <w:r>
        <w:rPr>
          <w:rFonts w:ascii="Arial" w:cs="Arial" w:eastAsia="Arial" w:hAnsi="Arial"/>
          <w:sz w:val="18"/>
          <w:szCs w:val="18"/>
          <w:color w:val="auto"/>
        </w:rPr>
        <w:t>. Except as specifically set forth in this Amendment, the Credit Agreement and the other Loan Documents shall remain in full force and effect and are hereby ratified and confirmed by the Borrower in all respects. The execution and delivery of this Amendment and performance of the Amended Credit Agreement shall not, except as expressly provided herein, constitute a waiver or amendment of any provision of, or operate as a waiver of any right, power or remedy of the Administrative Agent or the Lenders under, the Credit Agreement or any of the other Loan Documents.</w:t>
      </w:r>
    </w:p>
    <w:p>
      <w:pPr>
        <w:sectPr>
          <w:pgSz w:w="11900" w:h="16838" w:orient="portrait"/>
          <w:cols w:equalWidth="0" w:num="1">
            <w:col w:w="10120"/>
          </w:cols>
          <w:pgMar w:left="1440" w:top="1399" w:right="339" w:bottom="1440" w:gutter="0" w:footer="0" w:header="0"/>
        </w:sectPr>
      </w:pPr>
    </w:p>
    <w:bookmarkStart w:id="40" w:name="page41"/>
    <w:bookmarkEnd w:id="40"/>
    <w:p>
      <w:pPr>
        <w:jc w:val="both"/>
        <w:ind w:firstLine="1952"/>
        <w:spacing w:after="0" w:line="223" w:lineRule="auto"/>
        <w:tabs>
          <w:tab w:leader="none" w:pos="2467"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xml:space="preserve">. The Borrower acknowledges that all reasonable costs and expenses of the Administrative Agent incurred in connection with this Amendment will be paid by the Borrower in accordance with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of the Amended Credit Agreement.</w:t>
      </w:r>
    </w:p>
    <w:p>
      <w:pPr>
        <w:spacing w:after="0" w:line="168" w:lineRule="exact"/>
        <w:rPr>
          <w:rFonts w:ascii="Arial" w:cs="Arial" w:eastAsia="Arial" w:hAnsi="Arial"/>
          <w:sz w:val="20"/>
          <w:szCs w:val="20"/>
          <w:color w:val="auto"/>
        </w:rPr>
      </w:pPr>
    </w:p>
    <w:p>
      <w:pPr>
        <w:ind w:firstLine="1952"/>
        <w:spacing w:after="0" w:line="236" w:lineRule="auto"/>
        <w:tabs>
          <w:tab w:leader="none" w:pos="2388"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and subsection headings in this Amendment are included for convenience of reference only and shall not constitute a part of this Amendment for any other purpose or be given any substantive effect.</w:t>
      </w:r>
    </w:p>
    <w:p>
      <w:pPr>
        <w:spacing w:after="0" w:line="155" w:lineRule="exact"/>
        <w:rPr>
          <w:rFonts w:ascii="Arial" w:cs="Arial" w:eastAsia="Arial" w:hAnsi="Arial"/>
          <w:sz w:val="20"/>
          <w:szCs w:val="20"/>
          <w:color w:val="auto"/>
        </w:rPr>
      </w:pPr>
    </w:p>
    <w:p>
      <w:pPr>
        <w:jc w:val="both"/>
        <w:ind w:firstLine="1952"/>
        <w:spacing w:after="0" w:line="243" w:lineRule="auto"/>
        <w:tabs>
          <w:tab w:leader="none" w:pos="2453"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any number of identical counterparts, any set of which signed by all the parties hereto shall be deemed to constitute a complete, executed original for all purposes. Transmission by facsimile, “pdf” or similar electronic copy of an executed counterpart of this Amendment shall be deemed to constitute due and sufficient delivery of such counterpart. Any party hereto may request an original counterpart of any party delivering such electronic counterpart. The provisions of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of the Amended Credit Agreement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1952"/>
        <w:spacing w:after="0" w:line="220" w:lineRule="auto"/>
        <w:tabs>
          <w:tab w:leader="none" w:pos="2537"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THE RIGHTS AND OBLIGATIONS OF THE PARTIES UNDER THIS AMENDMENT SHALL BE GOVERNED BY, AND CONSTRUED AND INTERPRETED IN ACCORDANCE WITH, THE LAW OF THE STATE OF NEW YORK WITHOUT REFERENCE TO CONFLICTS OF LAW RULES OTHER THAN SECTION 5-1401 OF THE GENERAL OBLIGATIONS LAW OF THE STATE OF NEW YORK.</w:t>
      </w:r>
    </w:p>
    <w:p>
      <w:pPr>
        <w:spacing w:after="0" w:line="149" w:lineRule="exact"/>
        <w:rPr>
          <w:rFonts w:ascii="Arial" w:cs="Arial" w:eastAsia="Arial" w:hAnsi="Arial"/>
          <w:sz w:val="20"/>
          <w:szCs w:val="20"/>
          <w:color w:val="auto"/>
        </w:rPr>
      </w:pPr>
    </w:p>
    <w:p>
      <w:pPr>
        <w:jc w:val="both"/>
        <w:ind w:firstLine="1304"/>
        <w:spacing w:after="0" w:line="230" w:lineRule="auto"/>
        <w:tabs>
          <w:tab w:leader="none" w:pos="1777"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Loan Documents</w:t>
      </w:r>
      <w:r>
        <w:rPr>
          <w:rFonts w:ascii="Arial" w:cs="Arial" w:eastAsia="Arial" w:hAnsi="Arial"/>
          <w:sz w:val="20"/>
          <w:szCs w:val="20"/>
          <w:color w:val="auto"/>
        </w:rPr>
        <w:t>. This Amendment is a Loan Document as defined in the Amended Credit Agreement,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the Amended Credit Agreement generally applicable to Loan Documents are applicable hereto and incorporated herein by this reference.</w:t>
      </w:r>
    </w:p>
    <w:p>
      <w:pPr>
        <w:spacing w:after="0" w:line="148" w:lineRule="exact"/>
        <w:rPr>
          <w:rFonts w:ascii="Arial" w:cs="Arial" w:eastAsia="Arial" w:hAnsi="Arial"/>
          <w:sz w:val="20"/>
          <w:szCs w:val="20"/>
          <w:color w:val="auto"/>
        </w:rPr>
      </w:pPr>
    </w:p>
    <w:p>
      <w:pPr>
        <w:jc w:val="both"/>
        <w:ind w:firstLine="1304"/>
        <w:spacing w:after="0" w:line="239" w:lineRule="auto"/>
        <w:tabs>
          <w:tab w:leader="none" w:pos="1669"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Transition from Eurodollar Rate to Adjusted Term SOFR</w:t>
      </w:r>
      <w:r>
        <w:rPr>
          <w:rFonts w:ascii="Arial" w:cs="Arial" w:eastAsia="Arial" w:hAnsi="Arial"/>
          <w:sz w:val="18"/>
          <w:szCs w:val="18"/>
          <w:color w:val="auto"/>
        </w:rPr>
        <w:t>. In connection with this Amendment,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Agent, the Borrower and the Lenders have agreed to transition from the Eurodollar Rate (as defined in the Credit Agreement before giving effect to this Amendment) to Adjusted Term SOFR pursuant to the terms of the Credit Agreement. On the Second Amendment Effective Date, each outstanding Eurodollar Loan (as defined in the Credit Agreement before giving effect to this Amendment) shall be deemed to constitute a SOFR Loan with a one-month Interest Period. The Lenders hereby waive the requirements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the Credit Agreement (as in effect before giving effect to this Amendment) with respect to reimbursement for any loss or expense resulting from the transition of all outstanding Eurodollar Loans occurring on the Second Amendment Effective Date.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Space Intentionally Left Blank]</w:t>
      </w:r>
    </w:p>
    <w:p>
      <w:pPr>
        <w:jc w:val="center"/>
        <w:ind w:right="-259"/>
        <w:spacing w:after="0"/>
        <w:rPr>
          <w:sz w:val="20"/>
          <w:szCs w:val="20"/>
          <w:color w:val="auto"/>
        </w:rPr>
      </w:pPr>
      <w:r>
        <w:rPr>
          <w:rFonts w:ascii="Arial" w:cs="Arial" w:eastAsia="Arial" w:hAnsi="Arial"/>
          <w:sz w:val="19"/>
          <w:szCs w:val="19"/>
          <w:color w:val="auto"/>
        </w:rPr>
        <w:t>IN WITNESS WHEREOF, the parties hereto have caused this Amendment to be duly executed as of the date first above written.</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FAIR ISAAC CORPORATION</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Steven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974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Steven Weber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ectPr>
          <w:pgSz w:w="11900" w:h="16838" w:orient="portrait"/>
          <w:cols w:equalWidth="0" w:num="1">
            <w:col w:w="11240"/>
          </w:cols>
          <w:pgMar w:left="320" w:top="1405" w:right="339" w:bottom="1440" w:gutter="0" w:footer="0" w:header="0"/>
        </w:sectPr>
      </w:pPr>
    </w:p>
    <w:bookmarkStart w:id="41" w:name="page42"/>
    <w:bookmarkEnd w:id="41"/>
    <w:p>
      <w:pPr>
        <w:spacing w:after="0" w:line="200" w:lineRule="exact"/>
        <w:rPr>
          <w:sz w:val="20"/>
          <w:szCs w:val="20"/>
          <w:color w:val="auto"/>
        </w:rPr>
      </w:pPr>
    </w:p>
    <w:p>
      <w:pPr>
        <w:spacing w:after="0" w:line="246" w:lineRule="exact"/>
        <w:rPr>
          <w:sz w:val="20"/>
          <w:szCs w:val="20"/>
          <w:color w:val="auto"/>
        </w:rPr>
      </w:pPr>
    </w:p>
    <w:p>
      <w:pPr>
        <w:ind w:left="2780"/>
        <w:spacing w:after="0" w:line="239"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Issuing Lender and a Lender</w:t>
      </w:r>
    </w:p>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Karen H.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071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2780"/>
        <w:spacing w:after="0" w:line="211" w:lineRule="auto"/>
        <w:tabs>
          <w:tab w:leader="none" w:pos="3540" w:val="left"/>
        </w:tabs>
        <w:rPr>
          <w:sz w:val="20"/>
          <w:szCs w:val="20"/>
          <w:color w:val="auto"/>
        </w:rPr>
      </w:pPr>
      <w:r>
        <w:rPr>
          <w:rFonts w:ascii="Arial" w:cs="Arial" w:eastAsia="Arial" w:hAnsi="Arial"/>
          <w:sz w:val="20"/>
          <w:szCs w:val="20"/>
          <w:color w:val="auto"/>
        </w:rPr>
        <w:t>Name:</w:t>
        <w:tab/>
        <w:t>Karen H. McClain</w:t>
      </w:r>
    </w:p>
    <w:p>
      <w:pPr>
        <w:ind w:left="2780"/>
        <w:spacing w:after="0" w:line="197" w:lineRule="auto"/>
        <w:tabs>
          <w:tab w:leader="none" w:pos="3420" w:val="left"/>
        </w:tabs>
        <w:rPr>
          <w:sz w:val="20"/>
          <w:szCs w:val="20"/>
          <w:color w:val="auto"/>
        </w:rPr>
      </w:pPr>
      <w:r>
        <w:rPr>
          <w:rFonts w:ascii="Arial" w:cs="Arial" w:eastAsia="Arial" w:hAnsi="Arial"/>
          <w:sz w:val="20"/>
          <w:szCs w:val="20"/>
          <w:color w:val="auto"/>
        </w:rPr>
        <w:t>Title:</w:t>
        <w:tab/>
        <w:t>Managing Director</w:t>
      </w: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Tyrone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9893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2780"/>
        <w:spacing w:after="0" w:line="197" w:lineRule="auto"/>
        <w:tabs>
          <w:tab w:leader="none" w:pos="3520" w:val="left"/>
        </w:tabs>
        <w:rPr>
          <w:sz w:val="20"/>
          <w:szCs w:val="20"/>
          <w:color w:val="auto"/>
        </w:rPr>
      </w:pPr>
      <w:r>
        <w:rPr>
          <w:rFonts w:ascii="Arial" w:cs="Arial" w:eastAsia="Arial" w:hAnsi="Arial"/>
          <w:sz w:val="20"/>
          <w:szCs w:val="20"/>
          <w:color w:val="auto"/>
        </w:rPr>
        <w:t>Name:</w:t>
        <w:tab/>
        <w:t>Tyrone Parker</w:t>
      </w:r>
    </w:p>
    <w:p>
      <w:pPr>
        <w:ind w:left="2780"/>
        <w:spacing w:after="0"/>
        <w:tabs>
          <w:tab w:leader="none" w:pos="3420" w:val="left"/>
        </w:tabs>
        <w:rPr>
          <w:sz w:val="20"/>
          <w:szCs w:val="20"/>
          <w:color w:val="auto"/>
        </w:rPr>
      </w:pPr>
      <w:r>
        <w:rPr>
          <w:rFonts w:ascii="Arial" w:cs="Arial" w:eastAsia="Arial" w:hAnsi="Arial"/>
          <w:sz w:val="20"/>
          <w:szCs w:val="20"/>
          <w:color w:val="auto"/>
        </w:rPr>
        <w:t>Title:</w:t>
        <w:tab/>
        <w:t>Vice President</w:t>
      </w:r>
    </w:p>
    <w:p>
      <w:pPr>
        <w:sectPr>
          <w:pgSz w:w="11900" w:h="16838" w:orient="portrait"/>
          <w:cols w:equalWidth="0" w:num="1">
            <w:col w:w="9500"/>
          </w:cols>
          <w:pgMar w:left="1440" w:top="1440" w:right="959" w:bottom="1440" w:gutter="0" w:footer="0" w:header="0"/>
        </w:sectPr>
      </w:pPr>
    </w:p>
    <w:bookmarkStart w:id="42" w:name="page43"/>
    <w:bookmarkEnd w:id="42"/>
    <w:p>
      <w:pPr>
        <w:ind w:left="2780"/>
        <w:spacing w:after="0"/>
        <w:rPr>
          <w:sz w:val="20"/>
          <w:szCs w:val="20"/>
          <w:color w:val="auto"/>
        </w:rPr>
      </w:pPr>
      <w:r>
        <w:rPr>
          <w:rFonts w:ascii="Arial" w:cs="Arial" w:eastAsia="Arial" w:hAnsi="Arial"/>
          <w:sz w:val="19"/>
          <w:szCs w:val="19"/>
          <w:b w:val="1"/>
          <w:bCs w:val="1"/>
          <w:color w:val="auto"/>
        </w:rPr>
        <w:t>HSBC BANK USA, NATIONAL ASSOCIATION</w:t>
      </w:r>
      <w:r>
        <w:rPr>
          <w:rFonts w:ascii="Arial" w:cs="Arial" w:eastAsia="Arial" w:hAnsi="Arial"/>
          <w:sz w:val="19"/>
          <w:szCs w:val="19"/>
          <w:color w:val="auto"/>
        </w:rPr>
        <w:t>,</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1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Andrew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-7620</wp:posOffset>
            </wp:positionV>
            <wp:extent cx="9734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ind w:left="2780"/>
        <w:spacing w:after="0" w:line="211" w:lineRule="auto"/>
        <w:tabs>
          <w:tab w:leader="none" w:pos="3520" w:val="left"/>
        </w:tabs>
        <w:rPr>
          <w:sz w:val="20"/>
          <w:szCs w:val="20"/>
          <w:color w:val="auto"/>
        </w:rPr>
      </w:pPr>
      <w:r>
        <w:rPr>
          <w:rFonts w:ascii="Arial" w:cs="Arial" w:eastAsia="Arial" w:hAnsi="Arial"/>
          <w:sz w:val="20"/>
          <w:szCs w:val="20"/>
          <w:color w:val="auto"/>
        </w:rPr>
        <w:t>Name:</w:t>
        <w:tab/>
        <w:t>Andrew Rice</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9019"/>
          </w:cols>
          <w:pgMar w:left="1440" w:top="1399" w:right="1440" w:bottom="1440" w:gutter="0" w:footer="0" w:header="0"/>
        </w:sectPr>
      </w:pPr>
    </w:p>
    <w:bookmarkStart w:id="43" w:name="page44"/>
    <w:bookmarkEnd w:id="43"/>
    <w:p>
      <w:pPr>
        <w:ind w:left="278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1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Aaron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9423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ind w:left="2780"/>
        <w:spacing w:after="0" w:line="211" w:lineRule="auto"/>
        <w:tabs>
          <w:tab w:leader="none" w:pos="3520" w:val="left"/>
        </w:tabs>
        <w:rPr>
          <w:sz w:val="20"/>
          <w:szCs w:val="20"/>
          <w:color w:val="auto"/>
        </w:rPr>
      </w:pPr>
      <w:r>
        <w:rPr>
          <w:rFonts w:ascii="Arial" w:cs="Arial" w:eastAsia="Arial" w:hAnsi="Arial"/>
          <w:sz w:val="20"/>
          <w:szCs w:val="20"/>
          <w:color w:val="auto"/>
        </w:rPr>
        <w:t>Name:</w:t>
        <w:tab/>
        <w:t>Aaron Marks</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ectPr>
          <w:pgSz w:w="11900" w:h="16838" w:orient="portrait"/>
          <w:cols w:equalWidth="0" w:num="1">
            <w:col w:w="9019"/>
          </w:cols>
          <w:pgMar w:left="1440" w:top="1399" w:right="1440" w:bottom="1440" w:gutter="0" w:footer="0" w:header="0"/>
        </w:sectPr>
      </w:pPr>
    </w:p>
    <w:bookmarkStart w:id="44" w:name="page45"/>
    <w:bookmarkEnd w:id="44"/>
    <w:p>
      <w:pPr>
        <w:ind w:left="3900"/>
        <w:spacing w:after="0"/>
        <w:rPr>
          <w:sz w:val="20"/>
          <w:szCs w:val="20"/>
          <w:color w:val="auto"/>
        </w:rPr>
      </w:pPr>
      <w:r>
        <w:rPr>
          <w:rFonts w:ascii="Arial" w:cs="Arial" w:eastAsia="Arial" w:hAnsi="Arial"/>
          <w:sz w:val="20"/>
          <w:szCs w:val="20"/>
          <w:b w:val="1"/>
          <w:bCs w:val="1"/>
          <w:color w:val="auto"/>
        </w:rPr>
        <w:t>THE TORONTO-DOMINION BANK, NEW YORK BRANCH</w:t>
      </w:r>
      <w:r>
        <w:rPr>
          <w:rFonts w:ascii="Arial" w:cs="Arial" w:eastAsia="Arial" w:hAnsi="Arial"/>
          <w:sz w:val="20"/>
          <w:szCs w:val="20"/>
          <w:color w:val="auto"/>
        </w:rPr>
        <w:t>, as a Lender</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Jon Colquhoun</w:t>
      </w:r>
    </w:p>
    <w:p>
      <w:pPr>
        <w:ind w:left="3900"/>
        <w:spacing w:after="0" w:line="211" w:lineRule="auto"/>
        <w:tabs>
          <w:tab w:leader="none" w:pos="4660" w:val="left"/>
        </w:tabs>
        <w:rPr>
          <w:sz w:val="20"/>
          <w:szCs w:val="20"/>
          <w:color w:val="auto"/>
        </w:rPr>
      </w:pPr>
      <w:r>
        <w:rPr>
          <w:rFonts w:ascii="Arial" w:cs="Arial" w:eastAsia="Arial" w:hAnsi="Arial"/>
          <w:sz w:val="20"/>
          <w:szCs w:val="20"/>
          <w:color w:val="auto"/>
        </w:rPr>
        <w:t>Name:</w:t>
        <w:tab/>
        <w:t>Jon Colquhoun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10401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040130" cy="8890"/>
                    </a:xfrm>
                    <a:prstGeom prst="rect">
                      <a:avLst/>
                    </a:prstGeom>
                    <a:noFill/>
                  </pic:spPr>
                </pic:pic>
              </a:graphicData>
            </a:graphic>
          </wp:anchor>
        </w:drawing>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ANNEX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EXHIBITS A, C AND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NOTICE OF BORROWING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Date</w:t>
      </w:r>
      <w:r>
        <w:rPr>
          <w:rFonts w:ascii="Arial" w:cs="Arial" w:eastAsia="Arial" w:hAnsi="Arial"/>
          <w:sz w:val="20"/>
          <w:szCs w:val="20"/>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Wells Fargo Bank, National Association,</w:t>
      </w:r>
    </w:p>
    <w:p>
      <w:pPr>
        <w:spacing w:after="0" w:line="211" w:lineRule="auto"/>
        <w:rPr>
          <w:sz w:val="20"/>
          <w:szCs w:val="20"/>
          <w:color w:val="auto"/>
        </w:rPr>
      </w:pPr>
      <w:r>
        <w:rPr>
          <w:rFonts w:ascii="Arial" w:cs="Arial" w:eastAsia="Arial" w:hAnsi="Arial"/>
          <w:sz w:val="20"/>
          <w:szCs w:val="20"/>
          <w:color w:val="auto"/>
        </w:rPr>
        <w:t>as the Administrative Agent</w:t>
      </w:r>
    </w:p>
    <w:p>
      <w:pPr>
        <w:spacing w:after="0" w:line="211" w:lineRule="auto"/>
        <w:rPr>
          <w:sz w:val="20"/>
          <w:szCs w:val="20"/>
          <w:color w:val="auto"/>
        </w:rPr>
      </w:pPr>
      <w:r>
        <w:rPr>
          <w:rFonts w:ascii="Arial" w:cs="Arial" w:eastAsia="Arial" w:hAnsi="Arial"/>
          <w:sz w:val="20"/>
          <w:szCs w:val="20"/>
          <w:color w:val="auto"/>
        </w:rPr>
        <w:t>MAC D1109-019</w:t>
      </w:r>
    </w:p>
    <w:p>
      <w:pPr>
        <w:spacing w:after="0" w:line="197" w:lineRule="auto"/>
        <w:rPr>
          <w:sz w:val="20"/>
          <w:szCs w:val="20"/>
          <w:color w:val="auto"/>
        </w:rPr>
      </w:pPr>
      <w:r>
        <w:rPr>
          <w:rFonts w:ascii="Arial" w:cs="Arial" w:eastAsia="Arial" w:hAnsi="Arial"/>
          <w:sz w:val="20"/>
          <w:szCs w:val="20"/>
          <w:color w:val="auto"/>
        </w:rPr>
        <w:t>1525 West W.T. Harris Blvd.</w:t>
      </w:r>
    </w:p>
    <w:p>
      <w:pPr>
        <w:spacing w:after="0" w:line="212" w:lineRule="auto"/>
        <w:rPr>
          <w:sz w:val="20"/>
          <w:szCs w:val="20"/>
          <w:color w:val="auto"/>
        </w:rPr>
      </w:pPr>
      <w:r>
        <w:rPr>
          <w:rFonts w:ascii="Arial" w:cs="Arial" w:eastAsia="Arial" w:hAnsi="Arial"/>
          <w:sz w:val="20"/>
          <w:szCs w:val="20"/>
          <w:color w:val="auto"/>
        </w:rPr>
        <w:t>Charlotte, NC 28262</w:t>
      </w:r>
    </w:p>
    <w:p>
      <w:pPr>
        <w:spacing w:after="0" w:line="211" w:lineRule="auto"/>
        <w:rPr>
          <w:sz w:val="20"/>
          <w:szCs w:val="20"/>
          <w:color w:val="auto"/>
        </w:rPr>
      </w:pPr>
      <w:r>
        <w:rPr>
          <w:rFonts w:ascii="Arial" w:cs="Arial" w:eastAsia="Arial" w:hAnsi="Arial"/>
          <w:sz w:val="20"/>
          <w:szCs w:val="20"/>
          <w:color w:val="auto"/>
        </w:rPr>
        <w:t>Attention of: Syndication Agency Services</w:t>
      </w:r>
    </w:p>
    <w:p>
      <w:pPr>
        <w:spacing w:after="0" w:line="197" w:lineRule="auto"/>
        <w:rPr>
          <w:sz w:val="20"/>
          <w:szCs w:val="20"/>
          <w:color w:val="auto"/>
        </w:rPr>
      </w:pPr>
      <w:r>
        <w:rPr>
          <w:rFonts w:ascii="Arial" w:cs="Arial" w:eastAsia="Arial" w:hAnsi="Arial"/>
          <w:sz w:val="20"/>
          <w:szCs w:val="20"/>
          <w:color w:val="auto"/>
        </w:rPr>
        <w:t>Facsimile No.: (844) 879-5899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Agencyservices.requests@wellsfargo.com</w:t>
      </w:r>
    </w:p>
    <w:p>
      <w:pPr>
        <w:spacing w:after="0" w:line="173" w:lineRule="exact"/>
        <w:rPr>
          <w:sz w:val="20"/>
          <w:szCs w:val="20"/>
          <w:color w:val="auto"/>
        </w:rPr>
      </w:pPr>
    </w:p>
    <w:p>
      <w:pPr>
        <w:jc w:val="both"/>
        <w:ind w:firstLine="656"/>
        <w:spacing w:after="0" w:line="227" w:lineRule="auto"/>
        <w:tabs>
          <w:tab w:leader="none" w:pos="1034" w:val="left"/>
        </w:tabs>
        <w:numPr>
          <w:ilvl w:val="0"/>
          <w:numId w:val="31"/>
        </w:numPr>
        <w:rPr>
          <w:rFonts w:ascii="Arial" w:cs="Arial" w:eastAsia="Arial" w:hAnsi="Arial"/>
          <w:sz w:val="19"/>
          <w:szCs w:val="19"/>
          <w:color w:val="auto"/>
        </w:rPr>
      </w:pPr>
      <w:r>
        <w:rPr>
          <w:rFonts w:ascii="Arial" w:cs="Arial" w:eastAsia="Arial" w:hAnsi="Arial"/>
          <w:sz w:val="19"/>
          <w:szCs w:val="19"/>
          <w:color w:val="auto"/>
        </w:rPr>
        <w:t>Reference is made to that certain Second Amended and Restated Credit Agreement, dated as of August 19, 2021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Fair Isaac Corporation,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other financial institutions or entities from time to time parties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Wells Fargo Bank, National Association, as Administrative Agent, Swingline Lender and Issuing Lender. Unless otherwise indicated, all terms defined in the Credit Agreement have the same respective meanings when used herein.</w:t>
      </w:r>
    </w:p>
    <w:p>
      <w:pPr>
        <w:spacing w:after="0" w:line="168" w:lineRule="exact"/>
        <w:rPr>
          <w:rFonts w:ascii="Arial" w:cs="Arial" w:eastAsia="Arial" w:hAnsi="Arial"/>
          <w:sz w:val="19"/>
          <w:szCs w:val="19"/>
          <w:color w:val="auto"/>
        </w:rPr>
      </w:pPr>
    </w:p>
    <w:p>
      <w:pPr>
        <w:ind w:firstLine="656"/>
        <w:spacing w:after="0" w:line="236" w:lineRule="auto"/>
        <w:tabs>
          <w:tab w:leader="none" w:pos="1039"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[2.2][2.21]</w:t>
      </w:r>
      <w:r>
        <w:rPr>
          <w:rFonts w:ascii="Arial" w:cs="Arial" w:eastAsia="Arial" w:hAnsi="Arial"/>
          <w:sz w:val="20"/>
          <w:szCs w:val="20"/>
          <w:color w:val="auto"/>
        </w:rPr>
        <w:t xml:space="preserve"> of the Credit Agreement, the Borrower hereby irrevocably requests a borrowing of [Revolving Loans][Initial Term Loan][Incremental Term Loan] (a “</w:t>
      </w:r>
      <w:r>
        <w:rPr>
          <w:rFonts w:ascii="Arial" w:cs="Arial" w:eastAsia="Arial" w:hAnsi="Arial"/>
          <w:sz w:val="20"/>
          <w:szCs w:val="20"/>
          <w:u w:val="single" w:color="auto"/>
          <w:color w:val="auto"/>
        </w:rPr>
        <w:t>Loan Borrowing</w:t>
      </w:r>
      <w:r>
        <w:rPr>
          <w:rFonts w:ascii="Arial" w:cs="Arial" w:eastAsia="Arial" w:hAnsi="Arial"/>
          <w:sz w:val="20"/>
          <w:szCs w:val="20"/>
          <w:color w:val="auto"/>
        </w:rPr>
        <w:t>”) upon the following terms:</w:t>
      </w:r>
    </w:p>
    <w:p>
      <w:pPr>
        <w:spacing w:after="0" w:line="155" w:lineRule="exact"/>
        <w:rPr>
          <w:rFonts w:ascii="Arial" w:cs="Arial" w:eastAsia="Arial" w:hAnsi="Arial"/>
          <w:sz w:val="20"/>
          <w:szCs w:val="20"/>
          <w:color w:val="auto"/>
        </w:rPr>
      </w:pPr>
    </w:p>
    <w:p>
      <w:pPr>
        <w:ind w:left="1720" w:hanging="416"/>
        <w:spacing w:after="0"/>
        <w:tabs>
          <w:tab w:leader="none" w:pos="17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principal amount of the requested Loan Borrowing is to be $__________;</w:t>
      </w:r>
    </w:p>
    <w:p>
      <w:pPr>
        <w:spacing w:after="0" w:line="182" w:lineRule="exact"/>
        <w:rPr>
          <w:rFonts w:ascii="Arial" w:cs="Arial" w:eastAsia="Arial" w:hAnsi="Arial"/>
          <w:sz w:val="20"/>
          <w:szCs w:val="20"/>
          <w:color w:val="auto"/>
        </w:rPr>
      </w:pPr>
    </w:p>
    <w:p>
      <w:pPr>
        <w:ind w:left="1720" w:hanging="416"/>
        <w:spacing w:after="0"/>
        <w:tabs>
          <w:tab w:leader="none" w:pos="17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 xml:space="preserve">The requested Loan Borrowing is to consist of </w:t>
      </w:r>
      <w:r>
        <w:rPr>
          <w:rFonts w:ascii="Arial" w:cs="Arial" w:eastAsia="Arial" w:hAnsi="Arial"/>
          <w:sz w:val="20"/>
          <w:szCs w:val="20"/>
          <w:b w:val="1"/>
          <w:bCs w:val="1"/>
          <w:color w:val="auto"/>
        </w:rPr>
        <w:t>[</w:t>
      </w:r>
      <w:r>
        <w:rPr>
          <w:rFonts w:ascii="Arial" w:cs="Arial" w:eastAsia="Arial" w:hAnsi="Arial"/>
          <w:sz w:val="20"/>
          <w:szCs w:val="20"/>
          <w:color w:val="auto"/>
        </w:rPr>
        <w:t>“ABR” or “SOFR”</w:t>
      </w:r>
      <w:r>
        <w:rPr>
          <w:rFonts w:ascii="Arial" w:cs="Arial" w:eastAsia="Arial" w:hAnsi="Arial"/>
          <w:sz w:val="20"/>
          <w:szCs w:val="20"/>
          <w:b w:val="1"/>
          <w:bCs w:val="1"/>
          <w:color w:val="auto"/>
        </w:rPr>
        <w:t>]</w:t>
      </w:r>
      <w:r>
        <w:rPr>
          <w:rFonts w:ascii="Arial" w:cs="Arial" w:eastAsia="Arial" w:hAnsi="Arial"/>
          <w:sz w:val="20"/>
          <w:szCs w:val="20"/>
          <w:color w:val="auto"/>
        </w:rPr>
        <w:t xml:space="preserve"> Loans;</w:t>
      </w:r>
    </w:p>
    <w:p>
      <w:pPr>
        <w:spacing w:after="0" w:line="181" w:lineRule="exact"/>
        <w:rPr>
          <w:rFonts w:ascii="Arial" w:cs="Arial" w:eastAsia="Arial" w:hAnsi="Arial"/>
          <w:sz w:val="20"/>
          <w:szCs w:val="20"/>
          <w:color w:val="auto"/>
        </w:rPr>
      </w:pPr>
    </w:p>
    <w:p>
      <w:pPr>
        <w:ind w:left="1860" w:hanging="556"/>
        <w:spacing w:after="0"/>
        <w:tabs>
          <w:tab w:leader="none" w:pos="186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the requested Loan Borrowing is to consist of SOFR Loans, the initial Interest Period for such Loans will be</w:t>
      </w:r>
    </w:p>
    <w:p>
      <w:pPr>
        <w:spacing w:after="0"/>
        <w:rPr>
          <w:rFonts w:ascii="Arial" w:cs="Arial" w:eastAsia="Arial" w:hAnsi="Arial"/>
          <w:sz w:val="19"/>
          <w:szCs w:val="19"/>
          <w:color w:val="auto"/>
        </w:rPr>
      </w:pPr>
      <w:r>
        <w:rPr>
          <w:rFonts w:ascii="Arial" w:cs="Arial" w:eastAsia="Arial" w:hAnsi="Arial"/>
          <w:sz w:val="20"/>
          <w:szCs w:val="20"/>
          <w:color w:val="auto"/>
        </w:rPr>
        <w:t>__________ month</w:t>
      </w:r>
      <w:r>
        <w:rPr>
          <w:rFonts w:ascii="Arial" w:cs="Arial" w:eastAsia="Arial" w:hAnsi="Arial"/>
          <w:sz w:val="20"/>
          <w:szCs w:val="20"/>
          <w:b w:val="1"/>
          <w:bCs w:val="1"/>
          <w:color w:val="auto"/>
        </w:rPr>
        <w:t>[</w:t>
      </w:r>
      <w:r>
        <w:rPr>
          <w:rFonts w:ascii="Arial" w:cs="Arial" w:eastAsia="Arial" w:hAnsi="Arial"/>
          <w:sz w:val="20"/>
          <w:szCs w:val="20"/>
          <w:color w:val="auto"/>
        </w:rPr>
        <w:t>s</w:t>
      </w:r>
      <w:r>
        <w:rPr>
          <w:rFonts w:ascii="Arial" w:cs="Arial" w:eastAsia="Arial" w:hAnsi="Arial"/>
          <w:sz w:val="20"/>
          <w:szCs w:val="20"/>
          <w:b w:val="1"/>
          <w:bCs w:val="1"/>
          <w:color w:val="auto"/>
        </w:rPr>
        <w:t>]</w:t>
      </w:r>
      <w:r>
        <w:rPr>
          <w:rFonts w:ascii="Arial" w:cs="Arial" w:eastAsia="Arial" w:hAnsi="Arial"/>
          <w:sz w:val="20"/>
          <w:szCs w:val="20"/>
          <w:color w:val="auto"/>
        </w:rPr>
        <w:t>; and</w:t>
      </w:r>
    </w:p>
    <w:p>
      <w:pPr>
        <w:spacing w:after="0" w:line="172" w:lineRule="exact"/>
        <w:rPr>
          <w:rFonts w:ascii="Arial" w:cs="Arial" w:eastAsia="Arial" w:hAnsi="Arial"/>
          <w:sz w:val="19"/>
          <w:szCs w:val="19"/>
          <w:color w:val="auto"/>
        </w:rPr>
      </w:pPr>
    </w:p>
    <w:p>
      <w:pPr>
        <w:ind w:left="1720" w:hanging="416"/>
        <w:spacing w:after="0"/>
        <w:tabs>
          <w:tab w:leader="none" w:pos="17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date of the requested Loan Borrowing is to be __________, ____.</w:t>
      </w:r>
    </w:p>
    <w:p>
      <w:pPr>
        <w:spacing w:after="0" w:line="188" w:lineRule="exact"/>
        <w:rPr>
          <w:rFonts w:ascii="Arial" w:cs="Arial" w:eastAsia="Arial" w:hAnsi="Arial"/>
          <w:sz w:val="20"/>
          <w:szCs w:val="20"/>
          <w:color w:val="auto"/>
        </w:rPr>
      </w:pPr>
    </w:p>
    <w:p>
      <w:pPr>
        <w:ind w:firstLine="656"/>
        <w:spacing w:after="0" w:line="229" w:lineRule="auto"/>
        <w:tabs>
          <w:tab w:leader="none" w:pos="1054"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Borrower hereby certifies to the Administrative Agent and the Lenders that, on the date of this Notice of Borrowing and after giving effect to the requested Loan Borrowing:</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812" w:val="left"/>
        </w:tabs>
        <w:numPr>
          <w:ilvl w:val="1"/>
          <w:numId w:val="31"/>
        </w:numPr>
        <w:rPr>
          <w:rFonts w:ascii="Arial" w:cs="Arial" w:eastAsia="Arial" w:hAnsi="Arial"/>
          <w:sz w:val="20"/>
          <w:szCs w:val="20"/>
          <w:color w:val="auto"/>
        </w:rPr>
      </w:pPr>
      <w:r>
        <w:rPr>
          <w:rFonts w:ascii="Arial" w:cs="Arial" w:eastAsia="Arial" w:hAnsi="Arial"/>
          <w:sz w:val="20"/>
          <w:szCs w:val="20"/>
          <w:color w:val="auto"/>
        </w:rPr>
        <w:t>Each of the representations and warranties made by the Borrower in the Credit Agreement that does not contain a materiality or Material Adverse Effect qualification is true and correct in all material respects on and as of the date hereof, and each of the representations and warranties made</w:t>
      </w:r>
    </w:p>
    <w:p>
      <w:pPr>
        <w:sectPr>
          <w:pgSz w:w="11900" w:h="16838" w:orient="portrait"/>
          <w:cols w:equalWidth="0" w:num="1">
            <w:col w:w="11240"/>
          </w:cols>
          <w:pgMar w:left="320" w:top="139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by the Borrower in the Credit Agreement that contains a materiality or Material Adverse Effect qualification is true and correct in all respects</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and as of the date hereof (or, to the extent such representations and warranties specifically relate to an earlier date, such representations and warranties were true and correct in all material respects, or true and correct in all respects, as the case may be, as of such earlier date);</w:t>
      </w:r>
    </w:p>
    <w:p>
      <w:pPr>
        <w:spacing w:after="0" w:line="160" w:lineRule="exact"/>
        <w:rPr>
          <w:sz w:val="20"/>
          <w:szCs w:val="20"/>
          <w:color w:val="auto"/>
        </w:rPr>
      </w:pPr>
    </w:p>
    <w:p>
      <w:pPr>
        <w:ind w:left="1740" w:hanging="436"/>
        <w:spacing w:after="0"/>
        <w:tabs>
          <w:tab w:leader="none" w:pos="17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and</w:t>
      </w:r>
    </w:p>
    <w:p>
      <w:pPr>
        <w:spacing w:after="0" w:line="188" w:lineRule="exact"/>
        <w:rPr>
          <w:rFonts w:ascii="Arial" w:cs="Arial" w:eastAsia="Arial" w:hAnsi="Arial"/>
          <w:sz w:val="20"/>
          <w:szCs w:val="20"/>
          <w:color w:val="auto"/>
        </w:rPr>
      </w:pPr>
    </w:p>
    <w:p>
      <w:pPr>
        <w:ind w:left="1720" w:hanging="416"/>
        <w:spacing w:after="0"/>
        <w:tabs>
          <w:tab w:leader="none" w:pos="17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All of the Loan Documents are in full force and effect.</w:t>
      </w:r>
    </w:p>
    <w:p>
      <w:pPr>
        <w:spacing w:after="0" w:line="175" w:lineRule="exact"/>
        <w:rPr>
          <w:rFonts w:ascii="Arial" w:cs="Arial" w:eastAsia="Arial" w:hAnsi="Arial"/>
          <w:sz w:val="20"/>
          <w:szCs w:val="20"/>
          <w:color w:val="auto"/>
        </w:rPr>
      </w:pPr>
    </w:p>
    <w:p>
      <w:pPr>
        <w:ind w:left="1000" w:hanging="344"/>
        <w:spacing w:after="0"/>
        <w:tabs>
          <w:tab w:leader="none" w:pos="10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Please disburse the proceeds of the requested Loan Borrowing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250190</wp:posOffset>
            </wp:positionV>
            <wp:extent cx="5022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02285"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516255</wp:posOffset>
            </wp:positionV>
            <wp:extent cx="5022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ectPr>
          <w:pgSz w:w="11900" w:h="16838" w:orient="portrait"/>
          <w:cols w:equalWidth="0" w:num="1">
            <w:col w:w="11220"/>
          </w:cols>
          <w:pgMar w:left="320" w:top="1405" w:right="359" w:bottom="1440" w:gutter="0" w:footer="0" w:header="0"/>
        </w:sectPr>
      </w:pPr>
    </w:p>
    <w:bookmarkStart w:id="46" w:name="page47"/>
    <w:bookmarkEnd w:id="46"/>
    <w:p>
      <w:pPr>
        <w:jc w:val="center"/>
        <w:ind w:right="1020"/>
        <w:spacing w:after="0"/>
        <w:rPr>
          <w:sz w:val="20"/>
          <w:szCs w:val="20"/>
          <w:color w:val="auto"/>
        </w:rPr>
      </w:pPr>
      <w:r>
        <w:rPr>
          <w:rFonts w:ascii="Arial" w:cs="Arial" w:eastAsia="Arial" w:hAnsi="Arial"/>
          <w:sz w:val="20"/>
          <w:szCs w:val="20"/>
          <w:color w:val="auto"/>
        </w:rPr>
        <w:t>IN WITNESS WHEREOF, the Borrower has executed this Notice of Borrowing on the date first set forth above.</w:t>
      </w:r>
    </w:p>
    <w:p>
      <w:pPr>
        <w:spacing w:after="0" w:line="1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FAIR ISAAC CORPORATION,</w:t>
      </w:r>
    </w:p>
    <w:p>
      <w:pPr>
        <w:ind w:left="39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257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line="197" w:lineRule="auto"/>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-144780</wp:posOffset>
            </wp:positionV>
            <wp:extent cx="1257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-24765</wp:posOffset>
            </wp:positionV>
            <wp:extent cx="1257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NOTICE OF CONVERSION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Date</w:t>
      </w:r>
      <w:r>
        <w:rPr>
          <w:rFonts w:ascii="Arial" w:cs="Arial" w:eastAsia="Arial" w:hAnsi="Arial"/>
          <w:sz w:val="20"/>
          <w:szCs w:val="20"/>
          <w:b w:val="1"/>
          <w:bCs w:val="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Wells Fargo Bank, National Association,</w:t>
      </w:r>
    </w:p>
    <w:p>
      <w:pPr>
        <w:spacing w:after="0" w:line="197" w:lineRule="auto"/>
        <w:rPr>
          <w:sz w:val="20"/>
          <w:szCs w:val="20"/>
          <w:color w:val="auto"/>
        </w:rPr>
      </w:pPr>
      <w:r>
        <w:rPr>
          <w:rFonts w:ascii="Arial" w:cs="Arial" w:eastAsia="Arial" w:hAnsi="Arial"/>
          <w:sz w:val="20"/>
          <w:szCs w:val="20"/>
          <w:color w:val="auto"/>
        </w:rPr>
        <w:t>as the Administrative Agent</w:t>
      </w:r>
    </w:p>
    <w:p>
      <w:pPr>
        <w:spacing w:after="0" w:line="211" w:lineRule="auto"/>
        <w:rPr>
          <w:sz w:val="20"/>
          <w:szCs w:val="20"/>
          <w:color w:val="auto"/>
        </w:rPr>
      </w:pPr>
      <w:r>
        <w:rPr>
          <w:rFonts w:ascii="Arial" w:cs="Arial" w:eastAsia="Arial" w:hAnsi="Arial"/>
          <w:sz w:val="20"/>
          <w:szCs w:val="20"/>
          <w:color w:val="auto"/>
        </w:rPr>
        <w:t>MAC D1109-019</w:t>
      </w:r>
    </w:p>
    <w:p>
      <w:pPr>
        <w:spacing w:after="0" w:line="211" w:lineRule="auto"/>
        <w:rPr>
          <w:sz w:val="20"/>
          <w:szCs w:val="20"/>
          <w:color w:val="auto"/>
        </w:rPr>
      </w:pPr>
      <w:r>
        <w:rPr>
          <w:rFonts w:ascii="Arial" w:cs="Arial" w:eastAsia="Arial" w:hAnsi="Arial"/>
          <w:sz w:val="20"/>
          <w:szCs w:val="20"/>
          <w:color w:val="auto"/>
        </w:rPr>
        <w:t>1525 West W.T. Harris Blvd.</w:t>
      </w:r>
    </w:p>
    <w:p>
      <w:pPr>
        <w:spacing w:after="0" w:line="198" w:lineRule="auto"/>
        <w:rPr>
          <w:sz w:val="20"/>
          <w:szCs w:val="20"/>
          <w:color w:val="auto"/>
        </w:rPr>
      </w:pPr>
      <w:r>
        <w:rPr>
          <w:rFonts w:ascii="Arial" w:cs="Arial" w:eastAsia="Arial" w:hAnsi="Arial"/>
          <w:sz w:val="20"/>
          <w:szCs w:val="20"/>
          <w:color w:val="auto"/>
        </w:rPr>
        <w:t>Charlotte, NC 28262</w:t>
      </w:r>
    </w:p>
    <w:p>
      <w:pPr>
        <w:spacing w:after="0" w:line="211" w:lineRule="auto"/>
        <w:rPr>
          <w:sz w:val="20"/>
          <w:szCs w:val="20"/>
          <w:color w:val="auto"/>
        </w:rPr>
      </w:pPr>
      <w:r>
        <w:rPr>
          <w:rFonts w:ascii="Arial" w:cs="Arial" w:eastAsia="Arial" w:hAnsi="Arial"/>
          <w:sz w:val="20"/>
          <w:szCs w:val="20"/>
          <w:color w:val="auto"/>
        </w:rPr>
        <w:t>Attention of: Syndication Agency Services</w:t>
      </w:r>
    </w:p>
    <w:p>
      <w:pPr>
        <w:spacing w:after="0" w:line="211" w:lineRule="auto"/>
        <w:rPr>
          <w:sz w:val="20"/>
          <w:szCs w:val="20"/>
          <w:color w:val="auto"/>
        </w:rPr>
      </w:pPr>
      <w:r>
        <w:rPr>
          <w:rFonts w:ascii="Arial" w:cs="Arial" w:eastAsia="Arial" w:hAnsi="Arial"/>
          <w:sz w:val="20"/>
          <w:szCs w:val="20"/>
          <w:color w:val="auto"/>
        </w:rPr>
        <w:t>Facsimile No.: (844) 879-5899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Agencyservices.requests@wellsfargo.com</w:t>
      </w:r>
    </w:p>
    <w:p>
      <w:pPr>
        <w:spacing w:after="0" w:line="159" w:lineRule="exact"/>
        <w:rPr>
          <w:sz w:val="20"/>
          <w:szCs w:val="20"/>
          <w:color w:val="auto"/>
        </w:rPr>
      </w:pPr>
    </w:p>
    <w:p>
      <w:pPr>
        <w:jc w:val="both"/>
        <w:ind w:firstLine="656"/>
        <w:spacing w:after="0" w:line="229" w:lineRule="auto"/>
        <w:tabs>
          <w:tab w:leader="none" w:pos="1034"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Reference is made to that certain Second Amended and Restated Credit Agreement, dated as of August 19, 2021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Fair Isaac Corporation,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other financial institutions or entities from time to time parties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Wells Fargo Bank, National Association, as Administrative Agent, Swingline Lender and Issuing Lender. Unless otherwise indicated, all terms defined in the Credit Agreement have the same respective meanings when used herein.</w:t>
      </w:r>
    </w:p>
    <w:p>
      <w:pPr>
        <w:spacing w:after="0" w:line="159" w:lineRule="exact"/>
        <w:rPr>
          <w:rFonts w:ascii="Arial" w:cs="Arial" w:eastAsia="Arial" w:hAnsi="Arial"/>
          <w:sz w:val="19"/>
          <w:szCs w:val="19"/>
          <w:color w:val="auto"/>
        </w:rPr>
      </w:pPr>
    </w:p>
    <w:p>
      <w:pPr>
        <w:ind w:firstLine="656"/>
        <w:spacing w:after="0" w:line="236" w:lineRule="auto"/>
        <w:tabs>
          <w:tab w:leader="none" w:pos="1129"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2.8(a)</w:t>
      </w:r>
      <w:r>
        <w:rPr>
          <w:rFonts w:ascii="Arial" w:cs="Arial" w:eastAsia="Arial" w:hAnsi="Arial"/>
          <w:sz w:val="20"/>
          <w:szCs w:val="20"/>
          <w:color w:val="auto"/>
        </w:rPr>
        <w:t xml:space="preserve"> of the Credit Agreement, the Borrower hereby irrevocably requests to convert a borrowing of [Revolving Loans][Initial Term Loan][Incremental Term Loan] (a “</w:t>
      </w:r>
      <w:r>
        <w:rPr>
          <w:rFonts w:ascii="Arial" w:cs="Arial" w:eastAsia="Arial" w:hAnsi="Arial"/>
          <w:sz w:val="20"/>
          <w:szCs w:val="20"/>
          <w:u w:val="single" w:color="auto"/>
          <w:color w:val="auto"/>
        </w:rPr>
        <w:t>Borrowing</w:t>
      </w:r>
      <w:r>
        <w:rPr>
          <w:rFonts w:ascii="Arial" w:cs="Arial" w:eastAsia="Arial" w:hAnsi="Arial"/>
          <w:sz w:val="20"/>
          <w:szCs w:val="20"/>
          <w:color w:val="auto"/>
        </w:rPr>
        <w:t>”) as follows:</w:t>
      </w:r>
    </w:p>
    <w:p>
      <w:pPr>
        <w:spacing w:after="0" w:line="162" w:lineRule="exact"/>
        <w:rPr>
          <w:rFonts w:ascii="Arial" w:cs="Arial" w:eastAsia="Arial" w:hAnsi="Arial"/>
          <w:sz w:val="20"/>
          <w:szCs w:val="20"/>
          <w:color w:val="auto"/>
        </w:rPr>
      </w:pPr>
    </w:p>
    <w:p>
      <w:pPr>
        <w:ind w:firstLine="1304"/>
        <w:spacing w:after="0" w:line="232" w:lineRule="auto"/>
        <w:tabs>
          <w:tab w:leader="none" w:pos="1906" w:val="left"/>
        </w:tabs>
        <w:numPr>
          <w:ilvl w:val="1"/>
          <w:numId w:val="34"/>
        </w:numPr>
        <w:rPr>
          <w:rFonts w:ascii="Arial" w:cs="Arial" w:eastAsia="Arial" w:hAnsi="Arial"/>
          <w:sz w:val="20"/>
          <w:szCs w:val="20"/>
          <w:color w:val="auto"/>
        </w:rPr>
      </w:pPr>
      <w:r>
        <w:rPr>
          <w:rFonts w:ascii="Arial" w:cs="Arial" w:eastAsia="Arial" w:hAnsi="Arial"/>
          <w:sz w:val="20"/>
          <w:szCs w:val="20"/>
          <w:color w:val="auto"/>
        </w:rPr>
        <w:t xml:space="preserve">The Borrowing to be converted consists of </w:t>
      </w:r>
      <w:r>
        <w:rPr>
          <w:rFonts w:ascii="Arial" w:cs="Arial" w:eastAsia="Arial" w:hAnsi="Arial"/>
          <w:sz w:val="20"/>
          <w:szCs w:val="20"/>
          <w:b w:val="1"/>
          <w:bCs w:val="1"/>
          <w:color w:val="auto"/>
        </w:rPr>
        <w:t>[</w:t>
      </w:r>
      <w:r>
        <w:rPr>
          <w:rFonts w:ascii="Arial" w:cs="Arial" w:eastAsia="Arial" w:hAnsi="Arial"/>
          <w:sz w:val="20"/>
          <w:szCs w:val="20"/>
          <w:color w:val="auto"/>
        </w:rPr>
        <w:t>“ABR” or “SOFR”</w:t>
      </w:r>
      <w:r>
        <w:rPr>
          <w:rFonts w:ascii="Arial" w:cs="Arial" w:eastAsia="Arial" w:hAnsi="Arial"/>
          <w:sz w:val="20"/>
          <w:szCs w:val="20"/>
          <w:b w:val="1"/>
          <w:bCs w:val="1"/>
          <w:color w:val="auto"/>
        </w:rPr>
        <w:t>]</w:t>
      </w:r>
      <w:r>
        <w:rPr>
          <w:rFonts w:ascii="Arial" w:cs="Arial" w:eastAsia="Arial" w:hAnsi="Arial"/>
          <w:sz w:val="20"/>
          <w:szCs w:val="20"/>
          <w:color w:val="auto"/>
        </w:rPr>
        <w:t xml:space="preserve"> Loans in the aggregate principal amount of $__________ which were initially advanced to the Borrower on __________, ____;</w:t>
      </w:r>
    </w:p>
    <w:p>
      <w:pPr>
        <w:spacing w:after="0" w:line="162" w:lineRule="exact"/>
        <w:rPr>
          <w:rFonts w:ascii="Arial" w:cs="Arial" w:eastAsia="Arial" w:hAnsi="Arial"/>
          <w:sz w:val="20"/>
          <w:szCs w:val="20"/>
          <w:color w:val="auto"/>
        </w:rPr>
      </w:pPr>
    </w:p>
    <w:p>
      <w:pPr>
        <w:ind w:left="1760" w:hanging="456"/>
        <w:spacing w:after="0"/>
        <w:tabs>
          <w:tab w:leader="none" w:pos="1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The [Revolving Loans][Initial Term Loan][Incremental Term Loan] in the Borrowing are to be converted into </w:t>
      </w:r>
      <w:r>
        <w:rPr>
          <w:rFonts w:ascii="Arial" w:cs="Arial" w:eastAsia="Arial" w:hAnsi="Arial"/>
          <w:sz w:val="18"/>
          <w:szCs w:val="18"/>
          <w:b w:val="1"/>
          <w:bCs w:val="1"/>
          <w:color w:val="auto"/>
        </w:rPr>
        <w:t>[</w:t>
      </w:r>
      <w:r>
        <w:rPr>
          <w:rFonts w:ascii="Arial" w:cs="Arial" w:eastAsia="Arial" w:hAnsi="Arial"/>
          <w:sz w:val="18"/>
          <w:szCs w:val="18"/>
          <w:color w:val="auto"/>
        </w:rPr>
        <w:t>“ABR”</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“SOFR”</w:t>
      </w:r>
      <w:r>
        <w:rPr>
          <w:rFonts w:ascii="Arial" w:cs="Arial" w:eastAsia="Arial" w:hAnsi="Arial"/>
          <w:sz w:val="20"/>
          <w:szCs w:val="20"/>
          <w:b w:val="1"/>
          <w:bCs w:val="1"/>
          <w:color w:val="auto"/>
        </w:rPr>
        <w:t>]</w:t>
      </w:r>
      <w:r>
        <w:rPr>
          <w:rFonts w:ascii="Arial" w:cs="Arial" w:eastAsia="Arial" w:hAnsi="Arial"/>
          <w:sz w:val="20"/>
          <w:szCs w:val="20"/>
          <w:color w:val="auto"/>
        </w:rPr>
        <w:t xml:space="preserve"> Loans;</w:t>
      </w:r>
    </w:p>
    <w:p>
      <w:pPr>
        <w:spacing w:after="0" w:line="159" w:lineRule="exact"/>
        <w:rPr>
          <w:rFonts w:ascii="Arial" w:cs="Arial" w:eastAsia="Arial" w:hAnsi="Arial"/>
          <w:sz w:val="18"/>
          <w:szCs w:val="18"/>
          <w:color w:val="auto"/>
        </w:rPr>
      </w:pPr>
    </w:p>
    <w:p>
      <w:pPr>
        <w:jc w:val="both"/>
        <w:ind w:firstLine="1304"/>
        <w:spacing w:after="0" w:line="244" w:lineRule="auto"/>
        <w:tabs>
          <w:tab w:leader="none" w:pos="1727"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such [Revolving Loans][Initial Term Loan][Incremental Term Loan] are to be converted into SOFR Loans, the initial Interest Period for such [Revolving Loans][Initial Term Loan][Incremental Term Loan] commencing upon conversion will be __________</w:t>
      </w:r>
    </w:p>
    <w:p>
      <w:pPr>
        <w:spacing w:after="0"/>
        <w:rPr>
          <w:rFonts w:ascii="Arial" w:cs="Arial" w:eastAsia="Arial" w:hAnsi="Arial"/>
          <w:sz w:val="18"/>
          <w:szCs w:val="18"/>
          <w:color w:val="auto"/>
        </w:rPr>
      </w:pPr>
      <w:r>
        <w:rPr>
          <w:rFonts w:ascii="Arial" w:cs="Arial" w:eastAsia="Arial" w:hAnsi="Arial"/>
          <w:sz w:val="20"/>
          <w:szCs w:val="20"/>
          <w:color w:val="auto"/>
        </w:rPr>
        <w:t>month[s]; and</w:t>
      </w:r>
    </w:p>
    <w:p>
      <w:pPr>
        <w:spacing w:after="0" w:line="159" w:lineRule="exact"/>
        <w:rPr>
          <w:rFonts w:ascii="Arial" w:cs="Arial" w:eastAsia="Arial" w:hAnsi="Arial"/>
          <w:sz w:val="18"/>
          <w:szCs w:val="18"/>
          <w:color w:val="auto"/>
        </w:rPr>
      </w:pPr>
    </w:p>
    <w:p>
      <w:pPr>
        <w:ind w:left="1720" w:hanging="416"/>
        <w:spacing w:after="0"/>
        <w:tabs>
          <w:tab w:leader="none" w:pos="172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date of the requested conversion is to be __________, ____.</w:t>
      </w:r>
    </w:p>
    <w:p>
      <w:pPr>
        <w:sectPr>
          <w:pgSz w:w="11900" w:h="16838" w:orient="portrait"/>
          <w:cols w:equalWidth="0" w:num="1">
            <w:col w:w="11240"/>
          </w:cols>
          <w:pgMar w:left="320" w:top="1405"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color w:val="auto"/>
        </w:rPr>
        <w:t>IN WITNESS WHEREOF, the Borrower has executed this Notice of Conversion on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FAIR ISAAC CORPORATION,</w:t>
      </w:r>
    </w:p>
    <w:p>
      <w:pPr>
        <w:ind w:left="39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257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line="197" w:lineRule="auto"/>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-144780</wp:posOffset>
            </wp:positionV>
            <wp:extent cx="1257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-24765</wp:posOffset>
            </wp:positionV>
            <wp:extent cx="1257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NOTICE OF INTEREST PERIOD SELECTION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Date</w:t>
      </w:r>
      <w:r>
        <w:rPr>
          <w:rFonts w:ascii="Arial" w:cs="Arial" w:eastAsia="Arial" w:hAnsi="Arial"/>
          <w:sz w:val="20"/>
          <w:szCs w:val="20"/>
          <w:b w:val="1"/>
          <w:bCs w:val="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Wells Fargo Bank, National Association,</w:t>
      </w:r>
    </w:p>
    <w:p>
      <w:pPr>
        <w:spacing w:after="0" w:line="197" w:lineRule="auto"/>
        <w:rPr>
          <w:sz w:val="20"/>
          <w:szCs w:val="20"/>
          <w:color w:val="auto"/>
        </w:rPr>
      </w:pPr>
      <w:r>
        <w:rPr>
          <w:rFonts w:ascii="Arial" w:cs="Arial" w:eastAsia="Arial" w:hAnsi="Arial"/>
          <w:sz w:val="20"/>
          <w:szCs w:val="20"/>
          <w:color w:val="auto"/>
        </w:rPr>
        <w:t>as the Administrative Agent</w:t>
      </w:r>
    </w:p>
    <w:p>
      <w:pPr>
        <w:spacing w:after="0" w:line="211" w:lineRule="auto"/>
        <w:rPr>
          <w:sz w:val="20"/>
          <w:szCs w:val="20"/>
          <w:color w:val="auto"/>
        </w:rPr>
      </w:pPr>
      <w:r>
        <w:rPr>
          <w:rFonts w:ascii="Arial" w:cs="Arial" w:eastAsia="Arial" w:hAnsi="Arial"/>
          <w:sz w:val="20"/>
          <w:szCs w:val="20"/>
          <w:color w:val="auto"/>
        </w:rPr>
        <w:t>MAC D1109-019</w:t>
      </w:r>
    </w:p>
    <w:p>
      <w:pPr>
        <w:spacing w:after="0" w:line="211" w:lineRule="auto"/>
        <w:rPr>
          <w:sz w:val="20"/>
          <w:szCs w:val="20"/>
          <w:color w:val="auto"/>
        </w:rPr>
      </w:pPr>
      <w:r>
        <w:rPr>
          <w:rFonts w:ascii="Arial" w:cs="Arial" w:eastAsia="Arial" w:hAnsi="Arial"/>
          <w:sz w:val="20"/>
          <w:szCs w:val="20"/>
          <w:color w:val="auto"/>
        </w:rPr>
        <w:t>1525 West W.T. Harris Blvd.</w:t>
      </w:r>
    </w:p>
    <w:p>
      <w:pPr>
        <w:spacing w:after="0" w:line="198" w:lineRule="auto"/>
        <w:rPr>
          <w:sz w:val="20"/>
          <w:szCs w:val="20"/>
          <w:color w:val="auto"/>
        </w:rPr>
      </w:pPr>
      <w:r>
        <w:rPr>
          <w:rFonts w:ascii="Arial" w:cs="Arial" w:eastAsia="Arial" w:hAnsi="Arial"/>
          <w:sz w:val="20"/>
          <w:szCs w:val="20"/>
          <w:color w:val="auto"/>
        </w:rPr>
        <w:t>Charlotte, NC 28262</w:t>
      </w:r>
    </w:p>
    <w:p>
      <w:pPr>
        <w:spacing w:after="0" w:line="211" w:lineRule="auto"/>
        <w:rPr>
          <w:sz w:val="20"/>
          <w:szCs w:val="20"/>
          <w:color w:val="auto"/>
        </w:rPr>
      </w:pPr>
      <w:r>
        <w:rPr>
          <w:rFonts w:ascii="Arial" w:cs="Arial" w:eastAsia="Arial" w:hAnsi="Arial"/>
          <w:sz w:val="20"/>
          <w:szCs w:val="20"/>
          <w:color w:val="auto"/>
        </w:rPr>
        <w:t>Attention of: Syndication Agency Services</w:t>
      </w:r>
    </w:p>
    <w:p>
      <w:pPr>
        <w:spacing w:after="0" w:line="211" w:lineRule="auto"/>
        <w:rPr>
          <w:sz w:val="20"/>
          <w:szCs w:val="20"/>
          <w:color w:val="auto"/>
        </w:rPr>
      </w:pPr>
      <w:r>
        <w:rPr>
          <w:rFonts w:ascii="Arial" w:cs="Arial" w:eastAsia="Arial" w:hAnsi="Arial"/>
          <w:sz w:val="20"/>
          <w:szCs w:val="20"/>
          <w:color w:val="auto"/>
        </w:rPr>
        <w:t>Facsimile No.: (844) 879-5899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Agencyservices.requests@wellsfargo.com</w:t>
      </w:r>
    </w:p>
    <w:p>
      <w:pPr>
        <w:spacing w:after="0" w:line="159" w:lineRule="exact"/>
        <w:rPr>
          <w:sz w:val="20"/>
          <w:szCs w:val="20"/>
          <w:color w:val="auto"/>
        </w:rPr>
      </w:pPr>
    </w:p>
    <w:p>
      <w:pPr>
        <w:jc w:val="both"/>
        <w:ind w:firstLine="656"/>
        <w:spacing w:after="0" w:line="229" w:lineRule="auto"/>
        <w:tabs>
          <w:tab w:leader="none" w:pos="1034"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Reference is made to that certain Second Amended and Restated Credit Agreement, dated as of August 19, 2021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Fair Isaac Corporation,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other financial institutions or entities from time to time parties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Wells Fargo Bank, National Association, as Administrative Agent, Swingline Lender and Issuing Lender. Unless otherwise indicated, all terms defined in the Credit Agreement have the same respective meanings when used herein.</w:t>
      </w:r>
    </w:p>
    <w:p>
      <w:pPr>
        <w:spacing w:after="0" w:line="159" w:lineRule="exact"/>
        <w:rPr>
          <w:rFonts w:ascii="Arial" w:cs="Arial" w:eastAsia="Arial" w:hAnsi="Arial"/>
          <w:sz w:val="19"/>
          <w:szCs w:val="19"/>
          <w:color w:val="auto"/>
        </w:rPr>
      </w:pPr>
    </w:p>
    <w:p>
      <w:pPr>
        <w:ind w:firstLine="656"/>
        <w:spacing w:after="0" w:line="236" w:lineRule="auto"/>
        <w:tabs>
          <w:tab w:leader="none" w:pos="1129"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2.8(b)</w:t>
      </w:r>
      <w:r>
        <w:rPr>
          <w:rFonts w:ascii="Arial" w:cs="Arial" w:eastAsia="Arial" w:hAnsi="Arial"/>
          <w:sz w:val="20"/>
          <w:szCs w:val="20"/>
          <w:color w:val="auto"/>
        </w:rPr>
        <w:t xml:space="preserve"> of the Credit Agreement, the Borrower hereby irrevocably selects a new Interest Period for a borrowing of [Revolving Loans][Initial Term Loan][Incremental Term Loan] (a “</w:t>
      </w:r>
      <w:r>
        <w:rPr>
          <w:rFonts w:ascii="Arial" w:cs="Arial" w:eastAsia="Arial" w:hAnsi="Arial"/>
          <w:sz w:val="20"/>
          <w:szCs w:val="20"/>
          <w:u w:val="single" w:color="auto"/>
          <w:color w:val="auto"/>
        </w:rPr>
        <w:t>Loan Borrowing</w:t>
      </w:r>
      <w:r>
        <w:rPr>
          <w:rFonts w:ascii="Arial" w:cs="Arial" w:eastAsia="Arial" w:hAnsi="Arial"/>
          <w:sz w:val="20"/>
          <w:szCs w:val="20"/>
          <w:color w:val="auto"/>
        </w:rPr>
        <w:t>”) as follows:</w:t>
      </w:r>
    </w:p>
    <w:p>
      <w:pPr>
        <w:spacing w:after="0" w:line="168" w:lineRule="exact"/>
        <w:rPr>
          <w:rFonts w:ascii="Arial" w:cs="Arial" w:eastAsia="Arial" w:hAnsi="Arial"/>
          <w:sz w:val="20"/>
          <w:szCs w:val="20"/>
          <w:color w:val="auto"/>
        </w:rPr>
      </w:pPr>
    </w:p>
    <w:p>
      <w:pPr>
        <w:ind w:firstLine="1304"/>
        <w:spacing w:after="0" w:line="229" w:lineRule="auto"/>
        <w:tabs>
          <w:tab w:leader="none" w:pos="1834"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Loan Borrowing for which a new Interest Period is to be selected consists of SOFR Loans in the aggregate principal amount of $__________ which were initially advanced to the Borrower on __________, ____;</w:t>
      </w:r>
    </w:p>
    <w:p>
      <w:pPr>
        <w:spacing w:after="0" w:line="168" w:lineRule="exact"/>
        <w:rPr>
          <w:rFonts w:ascii="Arial" w:cs="Arial" w:eastAsia="Arial" w:hAnsi="Arial"/>
          <w:sz w:val="20"/>
          <w:szCs w:val="20"/>
          <w:color w:val="auto"/>
        </w:rPr>
      </w:pPr>
    </w:p>
    <w:p>
      <w:pPr>
        <w:ind w:left="1780" w:hanging="476"/>
        <w:spacing w:after="0"/>
        <w:tabs>
          <w:tab w:leader="none" w:pos="1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last day of the current Interest Period for such [Revolving Loans][Initial Term Loan][Incremental Term Loan] is</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___________, ____; and</w:t>
      </w:r>
    </w:p>
    <w:p>
      <w:pPr>
        <w:spacing w:after="0" w:line="159" w:lineRule="exact"/>
        <w:rPr>
          <w:rFonts w:ascii="Arial" w:cs="Arial" w:eastAsia="Arial" w:hAnsi="Arial"/>
          <w:sz w:val="18"/>
          <w:szCs w:val="18"/>
          <w:color w:val="auto"/>
        </w:rPr>
      </w:pPr>
    </w:p>
    <w:p>
      <w:pPr>
        <w:ind w:firstLine="1304"/>
        <w:spacing w:after="0" w:line="236" w:lineRule="auto"/>
        <w:tabs>
          <w:tab w:leader="none" w:pos="1722"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next Interest Period for such [Revolving Loans][Initial Term Loan][Incremental Term Loan] commencing upon the last day of the current Interest Period is to be _________ month</w:t>
      </w:r>
      <w:r>
        <w:rPr>
          <w:rFonts w:ascii="Arial" w:cs="Arial" w:eastAsia="Arial" w:hAnsi="Arial"/>
          <w:sz w:val="20"/>
          <w:szCs w:val="20"/>
          <w:b w:val="1"/>
          <w:bCs w:val="1"/>
          <w:color w:val="auto"/>
        </w:rPr>
        <w:t>[</w:t>
      </w:r>
      <w:r>
        <w:rPr>
          <w:rFonts w:ascii="Arial" w:cs="Arial" w:eastAsia="Arial" w:hAnsi="Arial"/>
          <w:sz w:val="20"/>
          <w:szCs w:val="20"/>
          <w:color w:val="auto"/>
        </w:rPr>
        <w:t>s</w:t>
      </w:r>
      <w:r>
        <w:rPr>
          <w:rFonts w:ascii="Arial" w:cs="Arial" w:eastAsia="Arial" w:hAnsi="Arial"/>
          <w:sz w:val="20"/>
          <w:szCs w:val="20"/>
          <w:b w:val="1"/>
          <w:bCs w:val="1"/>
          <w:color w:val="auto"/>
        </w:rPr>
        <w:t>]</w:t>
      </w:r>
      <w:r>
        <w:rPr>
          <w:rFonts w:ascii="Arial" w:cs="Arial" w:eastAsia="Arial" w:hAnsi="Arial"/>
          <w:sz w:val="20"/>
          <w:szCs w:val="20"/>
          <w:color w:val="auto"/>
        </w:rPr>
        <w:t>.</w:t>
      </w:r>
    </w:p>
    <w:p>
      <w:pPr>
        <w:sectPr>
          <w:pgSz w:w="11900" w:h="16838" w:orient="portrait"/>
          <w:cols w:equalWidth="0" w:num="1">
            <w:col w:w="11240"/>
          </w:cols>
          <w:pgMar w:left="320" w:top="1405" w:right="339" w:bottom="1440" w:gutter="0" w:footer="0" w:header="0"/>
        </w:sectPr>
      </w:pPr>
    </w:p>
    <w:bookmarkStart w:id="48" w:name="page49"/>
    <w:bookmarkEnd w:id="48"/>
    <w:p>
      <w:pPr>
        <w:spacing w:after="0" w:line="236" w:lineRule="auto"/>
        <w:tabs>
          <w:tab w:leader="none" w:pos="1722" w:val="left"/>
        </w:tabs>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IN WITNESS WHEREOF, the Borrower has executed this Notice of Interest Period Selection on the date first set forth above.</w:t>
      </w:r>
    </w:p>
    <w:p>
      <w:pPr>
        <w:sectPr>
          <w:pgSz w:w="11900" w:h="16838" w:orient="portrait"/>
          <w:cols w:equalWidth="0" w:num="1">
            <w:col w:w="10139"/>
          </w:cols>
          <w:pgMar w:left="320" w:top="1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FAIR ISAAC CORPORATION,</w:t>
      </w:r>
    </w:p>
    <w:p>
      <w:pPr>
        <w:ind w:left="39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257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line="197" w:lineRule="auto"/>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-144780</wp:posOffset>
            </wp:positionV>
            <wp:extent cx="1257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-24765</wp:posOffset>
            </wp:positionV>
            <wp:extent cx="1257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u w:val="single" w:color="auto"/>
          <w:color w:val="auto"/>
        </w:rPr>
        <w:t>ANNEX B</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AMENDED CREDIT AGREEMENT</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10139"/>
          </w:cols>
          <w:pgMar w:left="320" w:top="1405" w:right="1440" w:bottom="1440" w:gutter="0" w:footer="0" w:header="0"/>
          <w:type w:val="continuous"/>
        </w:sectPr>
      </w:pPr>
    </w:p>
    <w:bookmarkStart w:id="50" w:name="page51"/>
    <w:bookmarkEnd w:id="50"/>
    <w:p>
      <w:pPr>
        <w:spacing w:after="0" w:line="278" w:lineRule="exact"/>
        <w:rPr>
          <w:sz w:val="20"/>
          <w:szCs w:val="20"/>
          <w:color w:val="auto"/>
        </w:rPr>
      </w:pPr>
    </w:p>
    <w:p>
      <w:pPr>
        <w:jc w:val="right"/>
        <w:spacing w:after="0"/>
        <w:tabs>
          <w:tab w:leader="none" w:pos="1000" w:val="left"/>
        </w:tabs>
        <w:rPr>
          <w:sz w:val="20"/>
          <w:szCs w:val="20"/>
          <w:color w:val="auto"/>
        </w:rPr>
      </w:pPr>
      <w:r>
        <w:rPr>
          <w:rFonts w:ascii="Arial" w:cs="Arial" w:eastAsia="Arial" w:hAnsi="Arial"/>
          <w:sz w:val="20"/>
          <w:szCs w:val="20"/>
          <w:color w:val="auto"/>
        </w:rPr>
        <w:t>Published CUSIP Number:</w:t>
      </w:r>
      <w:r>
        <w:rPr>
          <w:sz w:val="20"/>
          <w:szCs w:val="20"/>
          <w:color w:val="auto"/>
        </w:rPr>
        <w:tab/>
      </w:r>
      <w:r>
        <w:rPr>
          <w:rFonts w:ascii="Arial" w:cs="Arial" w:eastAsia="Arial" w:hAnsi="Arial"/>
          <w:sz w:val="18"/>
          <w:szCs w:val="18"/>
          <w:color w:val="auto"/>
        </w:rPr>
        <w:t>30325CAG3</w:t>
      </w:r>
    </w:p>
    <w:p>
      <w:pPr>
        <w:jc w:val="right"/>
        <w:spacing w:after="0" w:line="219" w:lineRule="auto"/>
        <w:tabs>
          <w:tab w:leader="none" w:pos="1000" w:val="left"/>
        </w:tabs>
        <w:rPr>
          <w:sz w:val="20"/>
          <w:szCs w:val="20"/>
          <w:color w:val="auto"/>
        </w:rPr>
      </w:pPr>
      <w:r>
        <w:rPr>
          <w:rFonts w:ascii="Arial" w:cs="Arial" w:eastAsia="Arial" w:hAnsi="Arial"/>
          <w:sz w:val="20"/>
          <w:szCs w:val="20"/>
          <w:color w:val="auto"/>
        </w:rPr>
        <w:t>Revolving Loan CUSIP Number:</w:t>
      </w:r>
      <w:r>
        <w:rPr>
          <w:sz w:val="20"/>
          <w:szCs w:val="20"/>
          <w:color w:val="auto"/>
        </w:rPr>
        <w:tab/>
      </w:r>
      <w:r>
        <w:rPr>
          <w:rFonts w:ascii="Arial" w:cs="Arial" w:eastAsia="Arial" w:hAnsi="Arial"/>
          <w:sz w:val="18"/>
          <w:szCs w:val="18"/>
          <w:color w:val="auto"/>
        </w:rPr>
        <w:t>30325CAH1</w:t>
      </w:r>
    </w:p>
    <w:p>
      <w:pPr>
        <w:jc w:val="right"/>
        <w:spacing w:after="0"/>
        <w:tabs>
          <w:tab w:leader="none" w:pos="920" w:val="left"/>
        </w:tabs>
        <w:rPr>
          <w:sz w:val="20"/>
          <w:szCs w:val="20"/>
          <w:color w:val="auto"/>
        </w:rPr>
      </w:pPr>
      <w:r>
        <w:rPr>
          <w:rFonts w:ascii="Arial" w:cs="Arial" w:eastAsia="Arial" w:hAnsi="Arial"/>
          <w:sz w:val="20"/>
          <w:szCs w:val="20"/>
          <w:color w:val="auto"/>
        </w:rPr>
        <w:t>Term Loan CUSIP Number:</w:t>
      </w:r>
      <w:r>
        <w:rPr>
          <w:sz w:val="20"/>
          <w:szCs w:val="20"/>
          <w:color w:val="auto"/>
        </w:rPr>
        <w:tab/>
      </w:r>
      <w:r>
        <w:rPr>
          <w:rFonts w:ascii="Arial" w:cs="Arial" w:eastAsia="Arial" w:hAnsi="Arial"/>
          <w:sz w:val="16"/>
          <w:szCs w:val="16"/>
          <w:color w:val="auto"/>
        </w:rPr>
        <w:t>30325CAJ7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$900,000,000</w:t>
      </w:r>
    </w:p>
    <w:p>
      <w:pPr>
        <w:spacing w:after="0" w:line="164"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SECOND AMENDED AND RESTATED CREDIT AGREEMENT</w:t>
      </w:r>
    </w:p>
    <w:p>
      <w:pPr>
        <w:jc w:val="center"/>
        <w:spacing w:after="0"/>
        <w:rPr>
          <w:sz w:val="20"/>
          <w:szCs w:val="20"/>
          <w:color w:val="auto"/>
        </w:rPr>
      </w:pPr>
      <w:r>
        <w:rPr>
          <w:rFonts w:ascii="Arial" w:cs="Arial" w:eastAsia="Arial" w:hAnsi="Arial"/>
          <w:sz w:val="16"/>
          <w:szCs w:val="16"/>
          <w:color w:val="auto"/>
        </w:rPr>
        <w:t xml:space="preserve">(as amended by First Amendment to Second Amended and Restated Credit Agreement dated as of October 20, 2021 </w:t>
      </w:r>
      <w:r>
        <w:rPr>
          <w:rFonts w:ascii="Arial" w:cs="Arial" w:eastAsia="Arial" w:hAnsi="Arial"/>
          <w:sz w:val="16"/>
          <w:szCs w:val="16"/>
          <w:color w:val="0000FF"/>
        </w:rPr>
        <w:t>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3810</wp:posOffset>
            </wp:positionV>
            <wp:extent cx="12668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u w:val="single" w:color="auto"/>
          <w:color w:val="0000FF"/>
        </w:rPr>
        <w:t>to Second Amended and Restated Credit Agreement dated as of November 3, 2022</w:t>
      </w:r>
      <w:r>
        <w:rPr>
          <w:rFonts w:ascii="Arial" w:cs="Arial" w:eastAsia="Arial" w:hAnsi="Arial"/>
          <w:sz w:val="20"/>
          <w:szCs w:val="20"/>
          <w:color w:val="000000"/>
        </w:rPr>
        <w:t>)</w:t>
      </w:r>
    </w:p>
    <w:p>
      <w:pPr>
        <w:spacing w:after="0" w:line="159"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among</w:t>
      </w:r>
    </w:p>
    <w:p>
      <w:pPr>
        <w:spacing w:after="0" w:line="189"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FAIR ISAAC CORPORATION,</w:t>
      </w:r>
    </w:p>
    <w:p>
      <w:pPr>
        <w:spacing w:after="0" w:line="189"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as Borrower,</w:t>
      </w:r>
    </w:p>
    <w:p>
      <w:pPr>
        <w:spacing w:after="0" w:line="175"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The Several Lenders from Time to Time Parties Hereto,</w:t>
      </w:r>
    </w:p>
    <w:p>
      <w:pPr>
        <w:spacing w:after="0" w:line="17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WELLS FARGO BANK, NATIONAL ASSOCIATION,</w:t>
      </w:r>
    </w:p>
    <w:p>
      <w:pPr>
        <w:jc w:val="center"/>
        <w:spacing w:after="0"/>
        <w:rPr>
          <w:sz w:val="20"/>
          <w:szCs w:val="20"/>
          <w:color w:val="auto"/>
        </w:rPr>
      </w:pPr>
      <w:r>
        <w:rPr>
          <w:rFonts w:ascii="Arial" w:cs="Arial" w:eastAsia="Arial" w:hAnsi="Arial"/>
          <w:sz w:val="20"/>
          <w:szCs w:val="20"/>
          <w:color w:val="auto"/>
        </w:rPr>
        <w:t>as Administrative Agent,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August 19, 2021</w:t>
      </w:r>
    </w:p>
    <w:p>
      <w:pPr>
        <w:spacing w:after="0" w:line="17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WELLS FARGO SECURITIES, LLC,</w:t>
      </w:r>
    </w:p>
    <w:p>
      <w:pPr>
        <w:ind w:left="4560"/>
        <w:spacing w:after="0" w:line="197" w:lineRule="auto"/>
        <w:rPr>
          <w:sz w:val="20"/>
          <w:szCs w:val="20"/>
          <w:color w:val="auto"/>
        </w:rPr>
      </w:pPr>
      <w:r>
        <w:rPr>
          <w:rFonts w:ascii="Arial" w:cs="Arial" w:eastAsia="Arial" w:hAnsi="Arial"/>
          <w:sz w:val="20"/>
          <w:szCs w:val="20"/>
          <w:color w:val="auto"/>
        </w:rPr>
        <w:t>as Sole Lead Arranger and</w:t>
      </w:r>
    </w:p>
    <w:p>
      <w:pPr>
        <w:jc w:val="center"/>
        <w:spacing w:after="0"/>
        <w:rPr>
          <w:sz w:val="20"/>
          <w:szCs w:val="20"/>
          <w:color w:val="auto"/>
        </w:rPr>
      </w:pPr>
      <w:r>
        <w:rPr>
          <w:rFonts w:ascii="Arial" w:cs="Arial" w:eastAsia="Arial" w:hAnsi="Arial"/>
          <w:sz w:val="20"/>
          <w:szCs w:val="20"/>
          <w:color w:val="auto"/>
        </w:rPr>
        <w:t>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40" w:type="dxa"/>
            <w:vAlign w:val="bottom"/>
          </w:tcPr>
          <w:p>
            <w:pPr>
              <w:jc w:val="right"/>
              <w:spacing w:after="0"/>
              <w:rPr>
                <w:sz w:val="20"/>
                <w:szCs w:val="20"/>
                <w:color w:val="auto"/>
              </w:rPr>
            </w:pPr>
            <w:r>
              <w:rPr>
                <w:rFonts w:ascii="Arial" w:cs="Arial" w:eastAsia="Arial" w:hAnsi="Arial"/>
                <w:sz w:val="20"/>
                <w:szCs w:val="20"/>
                <w:color w:val="auto"/>
                <w:w w:val="92"/>
              </w:rPr>
              <w:t>SECTION 1</w:t>
            </w:r>
          </w:p>
        </w:tc>
        <w:tc>
          <w:tcPr>
            <w:tcW w:w="1260" w:type="dxa"/>
            <w:vAlign w:val="bottom"/>
            <w:gridSpan w:val="8"/>
          </w:tcPr>
          <w:p>
            <w:pPr>
              <w:ind w:left="140"/>
              <w:spacing w:after="0"/>
              <w:rPr>
                <w:sz w:val="20"/>
                <w:szCs w:val="20"/>
                <w:color w:val="auto"/>
              </w:rPr>
            </w:pPr>
            <w:r>
              <w:rPr>
                <w:rFonts w:ascii="Arial" w:cs="Arial" w:eastAsia="Arial" w:hAnsi="Arial"/>
                <w:sz w:val="20"/>
                <w:szCs w:val="20"/>
                <w:color w:val="auto"/>
              </w:rPr>
              <w:t>GENERAL</w:t>
            </w:r>
          </w:p>
        </w:tc>
        <w:tc>
          <w:tcPr>
            <w:tcW w:w="1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311"/>
        </w:trPr>
        <w:tc>
          <w:tcPr>
            <w:tcW w:w="1040" w:type="dxa"/>
            <w:vAlign w:val="bottom"/>
          </w:tcPr>
          <w:p>
            <w:pPr>
              <w:jc w:val="right"/>
              <w:ind w:right="41"/>
              <w:spacing w:after="0"/>
              <w:rPr>
                <w:sz w:val="20"/>
                <w:szCs w:val="20"/>
                <w:color w:val="auto"/>
              </w:rPr>
            </w:pPr>
            <w:r>
              <w:rPr>
                <w:rFonts w:ascii="Arial" w:cs="Arial" w:eastAsia="Arial" w:hAnsi="Arial"/>
                <w:sz w:val="20"/>
                <w:szCs w:val="20"/>
                <w:color w:val="auto"/>
              </w:rPr>
              <w:t>1.1</w:t>
            </w:r>
          </w:p>
        </w:tc>
        <w:tc>
          <w:tcPr>
            <w:tcW w:w="1260" w:type="dxa"/>
            <w:vAlign w:val="bottom"/>
            <w:gridSpan w:val="8"/>
          </w:tcPr>
          <w:p>
            <w:pPr>
              <w:ind w:left="60"/>
              <w:spacing w:after="0"/>
              <w:rPr>
                <w:sz w:val="20"/>
                <w:szCs w:val="20"/>
                <w:color w:val="auto"/>
              </w:rPr>
            </w:pPr>
            <w:r>
              <w:rPr>
                <w:rFonts w:ascii="Arial" w:cs="Arial" w:eastAsia="Arial" w:hAnsi="Arial"/>
                <w:sz w:val="20"/>
                <w:szCs w:val="20"/>
                <w:color w:val="auto"/>
                <w:w w:val="89"/>
              </w:rPr>
              <w:t>Defined Terms</w:t>
            </w:r>
          </w:p>
        </w:tc>
        <w:tc>
          <w:tcPr>
            <w:tcW w:w="320" w:type="dxa"/>
            <w:vAlign w:val="bottom"/>
            <w:gridSpan w:val="4"/>
          </w:tcPr>
          <w:p>
            <w:pPr>
              <w:jc w:val="right"/>
              <w:ind w:right="40"/>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1040" w:type="dxa"/>
            <w:vAlign w:val="bottom"/>
          </w:tcPr>
          <w:p>
            <w:pPr>
              <w:jc w:val="right"/>
              <w:ind w:right="41"/>
              <w:spacing w:after="0"/>
              <w:rPr>
                <w:sz w:val="20"/>
                <w:szCs w:val="20"/>
                <w:color w:val="auto"/>
              </w:rPr>
            </w:pPr>
            <w:r>
              <w:rPr>
                <w:rFonts w:ascii="Arial" w:cs="Arial" w:eastAsia="Arial" w:hAnsi="Arial"/>
                <w:sz w:val="20"/>
                <w:szCs w:val="20"/>
                <w:color w:val="auto"/>
              </w:rPr>
              <w:t>1.2</w:t>
            </w:r>
          </w:p>
        </w:tc>
        <w:tc>
          <w:tcPr>
            <w:tcW w:w="2600" w:type="dxa"/>
            <w:vAlign w:val="bottom"/>
            <w:gridSpan w:val="17"/>
          </w:tcPr>
          <w:p>
            <w:pPr>
              <w:ind w:left="60"/>
              <w:spacing w:after="0"/>
              <w:rPr>
                <w:sz w:val="20"/>
                <w:szCs w:val="20"/>
                <w:color w:val="auto"/>
              </w:rPr>
            </w:pPr>
            <w:r>
              <w:rPr>
                <w:rFonts w:ascii="Arial" w:cs="Arial" w:eastAsia="Arial" w:hAnsi="Arial"/>
                <w:sz w:val="20"/>
                <w:szCs w:val="20"/>
                <w:color w:val="auto"/>
                <w:w w:val="99"/>
              </w:rPr>
              <w:t>Other Definitional Provisions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25</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23</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7"/>
        </w:trPr>
        <w:tc>
          <w:tcPr>
            <w:tcW w:w="1040" w:type="dxa"/>
            <w:vAlign w:val="bottom"/>
          </w:tcPr>
          <w:p>
            <w:pPr>
              <w:jc w:val="right"/>
              <w:ind w:right="41"/>
              <w:spacing w:after="0"/>
              <w:rPr>
                <w:sz w:val="20"/>
                <w:szCs w:val="20"/>
                <w:color w:val="auto"/>
              </w:rPr>
            </w:pPr>
            <w:r>
              <w:rPr>
                <w:rFonts w:ascii="Arial" w:cs="Arial" w:eastAsia="Arial" w:hAnsi="Arial"/>
                <w:sz w:val="20"/>
                <w:szCs w:val="20"/>
                <w:color w:val="auto"/>
              </w:rPr>
              <w:t>1.3</w:t>
            </w:r>
          </w:p>
        </w:tc>
        <w:tc>
          <w:tcPr>
            <w:tcW w:w="1040" w:type="dxa"/>
            <w:vAlign w:val="bottom"/>
            <w:gridSpan w:val="4"/>
          </w:tcPr>
          <w:p>
            <w:pPr>
              <w:ind w:left="60"/>
              <w:spacing w:after="0"/>
              <w:rPr>
                <w:sz w:val="20"/>
                <w:szCs w:val="20"/>
                <w:color w:val="auto"/>
              </w:rPr>
            </w:pPr>
            <w:r>
              <w:rPr>
                <w:rFonts w:ascii="Arial" w:cs="Arial" w:eastAsia="Arial" w:hAnsi="Arial"/>
                <w:sz w:val="20"/>
                <w:szCs w:val="20"/>
                <w:color w:val="auto"/>
              </w:rPr>
              <w:t>Rounding</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26</w:t>
            </w: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20"/>
                <w:szCs w:val="20"/>
                <w:color w:val="0000FF"/>
                <w:w w:val="89"/>
              </w:rPr>
              <w:t>23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jc w:val="right"/>
              <w:ind w:right="41"/>
              <w:spacing w:after="0"/>
              <w:rPr>
                <w:sz w:val="20"/>
                <w:szCs w:val="20"/>
                <w:color w:val="auto"/>
              </w:rPr>
            </w:pPr>
            <w:r>
              <w:rPr>
                <w:rFonts w:ascii="Arial" w:cs="Arial" w:eastAsia="Arial" w:hAnsi="Arial"/>
                <w:sz w:val="20"/>
                <w:szCs w:val="20"/>
                <w:color w:val="auto"/>
              </w:rPr>
              <w:t>1.4</w:t>
            </w:r>
          </w:p>
        </w:tc>
        <w:tc>
          <w:tcPr>
            <w:tcW w:w="7340" w:type="dxa"/>
            <w:vAlign w:val="bottom"/>
            <w:gridSpan w:val="26"/>
          </w:tcPr>
          <w:p>
            <w:pPr>
              <w:ind w:left="60"/>
              <w:spacing w:after="0"/>
              <w:rPr>
                <w:sz w:val="20"/>
                <w:szCs w:val="20"/>
                <w:color w:val="auto"/>
              </w:rPr>
            </w:pPr>
            <w:r>
              <w:rPr>
                <w:rFonts w:ascii="Arial" w:cs="Arial" w:eastAsia="Arial" w:hAnsi="Arial"/>
                <w:sz w:val="20"/>
                <w:szCs w:val="20"/>
                <w:color w:val="auto"/>
                <w:w w:val="91"/>
              </w:rPr>
              <w:t>Reference to and Effect on the Existing Credit Agreement and the other Loan Documents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23</w:t>
            </w:r>
          </w:p>
        </w:tc>
      </w:tr>
      <w:tr>
        <w:trPr>
          <w:trHeight w:val="290"/>
        </w:trPr>
        <w:tc>
          <w:tcPr>
            <w:tcW w:w="1040" w:type="dxa"/>
            <w:vAlign w:val="bottom"/>
          </w:tcPr>
          <w:p>
            <w:pPr>
              <w:jc w:val="right"/>
              <w:ind w:right="41"/>
              <w:spacing w:after="0"/>
              <w:rPr>
                <w:sz w:val="20"/>
                <w:szCs w:val="20"/>
                <w:color w:val="auto"/>
              </w:rPr>
            </w:pPr>
            <w:r>
              <w:rPr>
                <w:rFonts w:ascii="Arial" w:cs="Arial" w:eastAsia="Arial" w:hAnsi="Arial"/>
                <w:sz w:val="20"/>
                <w:szCs w:val="20"/>
                <w:color w:val="auto"/>
              </w:rPr>
              <w:t>1.5</w:t>
            </w:r>
          </w:p>
        </w:tc>
        <w:tc>
          <w:tcPr>
            <w:tcW w:w="700" w:type="dxa"/>
            <w:vAlign w:val="bottom"/>
          </w:tcPr>
          <w:p>
            <w:pPr>
              <w:ind w:left="60"/>
              <w:spacing w:after="0"/>
              <w:rPr>
                <w:sz w:val="20"/>
                <w:szCs w:val="20"/>
                <w:color w:val="auto"/>
              </w:rPr>
            </w:pPr>
            <w:r>
              <w:rPr>
                <w:rFonts w:ascii="Arial" w:cs="Arial" w:eastAsia="Arial" w:hAnsi="Arial"/>
                <w:sz w:val="20"/>
                <w:szCs w:val="20"/>
                <w:color w:val="auto"/>
              </w:rPr>
              <w:t>Rates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27</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24</w:t>
            </w:r>
          </w:p>
        </w:tc>
        <w:tc>
          <w:tcPr>
            <w:tcW w:w="1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jc w:val="right"/>
              <w:ind w:right="41"/>
              <w:spacing w:after="0"/>
              <w:rPr>
                <w:sz w:val="20"/>
                <w:szCs w:val="20"/>
                <w:color w:val="auto"/>
              </w:rPr>
            </w:pPr>
            <w:r>
              <w:rPr>
                <w:rFonts w:ascii="Arial" w:cs="Arial" w:eastAsia="Arial" w:hAnsi="Arial"/>
                <w:sz w:val="20"/>
                <w:szCs w:val="20"/>
                <w:color w:val="auto"/>
              </w:rPr>
              <w:t>1.6</w:t>
            </w:r>
          </w:p>
        </w:tc>
        <w:tc>
          <w:tcPr>
            <w:tcW w:w="1020" w:type="dxa"/>
            <w:vAlign w:val="bottom"/>
            <w:gridSpan w:val="3"/>
          </w:tcPr>
          <w:p>
            <w:pPr>
              <w:ind w:left="60"/>
              <w:spacing w:after="0"/>
              <w:rPr>
                <w:sz w:val="20"/>
                <w:szCs w:val="20"/>
                <w:color w:val="auto"/>
              </w:rPr>
            </w:pPr>
            <w:r>
              <w:rPr>
                <w:rFonts w:ascii="Arial" w:cs="Arial" w:eastAsia="Arial" w:hAnsi="Arial"/>
                <w:sz w:val="20"/>
                <w:szCs w:val="20"/>
                <w:color w:val="auto"/>
              </w:rPr>
              <w:t>Divisions</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28</w:t>
            </w: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20"/>
                <w:szCs w:val="20"/>
                <w:color w:val="0000FF"/>
                <w:w w:val="89"/>
              </w:rPr>
              <w:t>25</w:t>
            </w:r>
          </w:p>
        </w:tc>
        <w:tc>
          <w:tcPr>
            <w:tcW w:w="1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3"/>
          </w:tcPr>
          <w:p>
            <w:pPr>
              <w:spacing w:after="0"/>
              <w:rPr>
                <w:sz w:val="24"/>
                <w:szCs w:val="24"/>
                <w:color w:val="auto"/>
              </w:rPr>
            </w:pPr>
          </w:p>
        </w:tc>
      </w:tr>
      <w:tr>
        <w:trPr>
          <w:trHeight w:val="290"/>
        </w:trPr>
        <w:tc>
          <w:tcPr>
            <w:tcW w:w="1040" w:type="dxa"/>
            <w:vAlign w:val="bottom"/>
          </w:tcPr>
          <w:p>
            <w:pPr>
              <w:jc w:val="right"/>
              <w:spacing w:after="0"/>
              <w:rPr>
                <w:sz w:val="20"/>
                <w:szCs w:val="20"/>
                <w:color w:val="auto"/>
              </w:rPr>
            </w:pPr>
            <w:r>
              <w:rPr>
                <w:rFonts w:ascii="Arial" w:cs="Arial" w:eastAsia="Arial" w:hAnsi="Arial"/>
                <w:sz w:val="20"/>
                <w:szCs w:val="20"/>
                <w:color w:val="auto"/>
                <w:w w:val="92"/>
              </w:rPr>
              <w:t>SECTION 2</w:t>
            </w:r>
          </w:p>
        </w:tc>
        <w:tc>
          <w:tcPr>
            <w:tcW w:w="5420" w:type="dxa"/>
            <w:vAlign w:val="bottom"/>
            <w:gridSpan w:val="23"/>
          </w:tcPr>
          <w:p>
            <w:pPr>
              <w:ind w:left="140"/>
              <w:spacing w:after="0"/>
              <w:rPr>
                <w:sz w:val="20"/>
                <w:szCs w:val="20"/>
                <w:color w:val="auto"/>
              </w:rPr>
            </w:pPr>
            <w:r>
              <w:rPr>
                <w:rFonts w:ascii="Arial" w:cs="Arial" w:eastAsia="Arial" w:hAnsi="Arial"/>
                <w:sz w:val="20"/>
                <w:szCs w:val="20"/>
                <w:color w:val="auto"/>
              </w:rPr>
              <w:t>AMOUNT AND TERMS OF COMMITMENTS AND LOANS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25</w:t>
            </w:r>
          </w:p>
        </w:tc>
        <w:tc>
          <w:tcPr>
            <w:tcW w:w="1920" w:type="dxa"/>
            <w:vAlign w:val="bottom"/>
            <w:gridSpan w:val="3"/>
          </w:tcPr>
          <w:p>
            <w:pPr>
              <w:spacing w:after="0"/>
              <w:rPr>
                <w:sz w:val="24"/>
                <w:szCs w:val="24"/>
                <w:color w:val="auto"/>
              </w:rPr>
            </w:pPr>
          </w:p>
        </w:tc>
      </w:tr>
      <w:tr>
        <w:trPr>
          <w:trHeight w:val="290"/>
        </w:trPr>
        <w:tc>
          <w:tcPr>
            <w:tcW w:w="1040" w:type="dxa"/>
            <w:vAlign w:val="bottom"/>
          </w:tcPr>
          <w:p>
            <w:pPr>
              <w:jc w:val="right"/>
              <w:ind w:right="41"/>
              <w:spacing w:after="0"/>
              <w:rPr>
                <w:sz w:val="20"/>
                <w:szCs w:val="20"/>
                <w:color w:val="auto"/>
              </w:rPr>
            </w:pPr>
            <w:r>
              <w:rPr>
                <w:rFonts w:ascii="Arial" w:cs="Arial" w:eastAsia="Arial" w:hAnsi="Arial"/>
                <w:sz w:val="20"/>
                <w:szCs w:val="20"/>
                <w:color w:val="auto"/>
              </w:rPr>
              <w:t>2.1</w:t>
            </w:r>
          </w:p>
        </w:tc>
        <w:tc>
          <w:tcPr>
            <w:tcW w:w="1260" w:type="dxa"/>
            <w:vAlign w:val="bottom"/>
            <w:gridSpan w:val="8"/>
          </w:tcPr>
          <w:p>
            <w:pPr>
              <w:ind w:left="60"/>
              <w:spacing w:after="0"/>
              <w:rPr>
                <w:sz w:val="20"/>
                <w:szCs w:val="20"/>
                <w:color w:val="auto"/>
              </w:rPr>
            </w:pPr>
            <w:r>
              <w:rPr>
                <w:rFonts w:ascii="Arial" w:cs="Arial" w:eastAsia="Arial" w:hAnsi="Arial"/>
                <w:sz w:val="20"/>
                <w:szCs w:val="20"/>
                <w:color w:val="auto"/>
                <w:w w:val="95"/>
              </w:rPr>
              <w:t>Commitments</w:t>
            </w:r>
          </w:p>
        </w:tc>
        <w:tc>
          <w:tcPr>
            <w:tcW w:w="1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28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25</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jc w:val="right"/>
              <w:ind w:right="41"/>
              <w:spacing w:after="0"/>
              <w:rPr>
                <w:sz w:val="20"/>
                <w:szCs w:val="20"/>
                <w:color w:val="auto"/>
              </w:rPr>
            </w:pPr>
            <w:r>
              <w:rPr>
                <w:rFonts w:ascii="Arial" w:cs="Arial" w:eastAsia="Arial" w:hAnsi="Arial"/>
                <w:sz w:val="20"/>
                <w:szCs w:val="20"/>
                <w:color w:val="auto"/>
              </w:rPr>
              <w:t>2.2</w:t>
            </w:r>
          </w:p>
        </w:tc>
        <w:tc>
          <w:tcPr>
            <w:tcW w:w="3580" w:type="dxa"/>
            <w:vAlign w:val="bottom"/>
            <w:gridSpan w:val="20"/>
          </w:tcPr>
          <w:p>
            <w:pPr>
              <w:ind w:left="60"/>
              <w:spacing w:after="0"/>
              <w:rPr>
                <w:sz w:val="20"/>
                <w:szCs w:val="20"/>
                <w:color w:val="auto"/>
              </w:rPr>
            </w:pPr>
            <w:r>
              <w:rPr>
                <w:rFonts w:ascii="Arial" w:cs="Arial" w:eastAsia="Arial" w:hAnsi="Arial"/>
                <w:sz w:val="20"/>
                <w:szCs w:val="20"/>
                <w:color w:val="auto"/>
                <w:w w:val="97"/>
              </w:rPr>
              <w:t>Procedure for Revolving Loan Borrowing</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25</w:t>
            </w:r>
          </w:p>
        </w:tc>
        <w:tc>
          <w:tcPr>
            <w:tcW w:w="3760" w:type="dxa"/>
            <w:vAlign w:val="bottom"/>
            <w:gridSpan w:val="6"/>
          </w:tcPr>
          <w:p>
            <w:pPr>
              <w:spacing w:after="0"/>
              <w:rPr>
                <w:sz w:val="24"/>
                <w:szCs w:val="24"/>
                <w:color w:val="auto"/>
              </w:rPr>
            </w:pPr>
          </w:p>
        </w:tc>
      </w:tr>
      <w:tr>
        <w:trPr>
          <w:trHeight w:val="290"/>
        </w:trPr>
        <w:tc>
          <w:tcPr>
            <w:tcW w:w="1040" w:type="dxa"/>
            <w:vAlign w:val="bottom"/>
          </w:tcPr>
          <w:p>
            <w:pPr>
              <w:jc w:val="right"/>
              <w:ind w:right="41"/>
              <w:spacing w:after="0"/>
              <w:rPr>
                <w:sz w:val="20"/>
                <w:szCs w:val="20"/>
                <w:color w:val="auto"/>
              </w:rPr>
            </w:pPr>
            <w:r>
              <w:rPr>
                <w:rFonts w:ascii="Arial" w:cs="Arial" w:eastAsia="Arial" w:hAnsi="Arial"/>
                <w:sz w:val="20"/>
                <w:szCs w:val="20"/>
                <w:color w:val="auto"/>
              </w:rPr>
              <w:t>2.3</w:t>
            </w:r>
          </w:p>
        </w:tc>
        <w:tc>
          <w:tcPr>
            <w:tcW w:w="2160" w:type="dxa"/>
            <w:vAlign w:val="bottom"/>
            <w:gridSpan w:val="14"/>
          </w:tcPr>
          <w:p>
            <w:pPr>
              <w:ind w:left="60"/>
              <w:spacing w:after="0"/>
              <w:rPr>
                <w:sz w:val="20"/>
                <w:szCs w:val="20"/>
                <w:color w:val="auto"/>
              </w:rPr>
            </w:pPr>
            <w:r>
              <w:rPr>
                <w:rFonts w:ascii="Arial" w:cs="Arial" w:eastAsia="Arial" w:hAnsi="Arial"/>
                <w:sz w:val="20"/>
                <w:szCs w:val="20"/>
                <w:color w:val="auto"/>
              </w:rPr>
              <w:t>Swingline Commitment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26</w:t>
            </w:r>
          </w:p>
        </w:tc>
        <w:tc>
          <w:tcPr>
            <w:tcW w:w="5180" w:type="dxa"/>
            <w:vAlign w:val="bottom"/>
            <w:gridSpan w:val="12"/>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51" w:name="page52"/>
    <w:bookmarkEnd w:id="51"/>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660"/>
              <w:spacing w:after="0"/>
              <w:rPr>
                <w:sz w:val="20"/>
                <w:szCs w:val="20"/>
                <w:color w:val="auto"/>
              </w:rPr>
            </w:pPr>
            <w:r>
              <w:rPr>
                <w:rFonts w:ascii="Arial" w:cs="Arial" w:eastAsia="Arial" w:hAnsi="Arial"/>
                <w:sz w:val="20"/>
                <w:szCs w:val="20"/>
                <w:color w:val="auto"/>
              </w:rPr>
              <w:t>2.4</w:t>
            </w:r>
          </w:p>
        </w:tc>
        <w:tc>
          <w:tcPr>
            <w:tcW w:w="5640" w:type="dxa"/>
            <w:vAlign w:val="bottom"/>
            <w:gridSpan w:val="71"/>
          </w:tcPr>
          <w:p>
            <w:pPr>
              <w:ind w:left="60"/>
              <w:spacing w:after="0"/>
              <w:rPr>
                <w:sz w:val="20"/>
                <w:szCs w:val="20"/>
                <w:color w:val="auto"/>
              </w:rPr>
            </w:pPr>
            <w:r>
              <w:rPr>
                <w:rFonts w:ascii="Arial" w:cs="Arial" w:eastAsia="Arial" w:hAnsi="Arial"/>
                <w:sz w:val="20"/>
                <w:szCs w:val="20"/>
                <w:color w:val="auto"/>
                <w:w w:val="95"/>
              </w:rPr>
              <w:t>Procedure for Swingline Borrowing; Refunding of Swingline Loans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29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26</w:t>
            </w: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rPr>
              <w:t>2.5</w:t>
            </w:r>
          </w:p>
        </w:tc>
        <w:tc>
          <w:tcPr>
            <w:tcW w:w="2680" w:type="dxa"/>
            <w:vAlign w:val="bottom"/>
            <w:gridSpan w:val="38"/>
          </w:tcPr>
          <w:p>
            <w:pPr>
              <w:ind w:left="60"/>
              <w:spacing w:after="0"/>
              <w:rPr>
                <w:sz w:val="20"/>
                <w:szCs w:val="20"/>
                <w:color w:val="auto"/>
              </w:rPr>
            </w:pPr>
            <w:r>
              <w:rPr>
                <w:rFonts w:ascii="Arial" w:cs="Arial" w:eastAsia="Arial" w:hAnsi="Arial"/>
                <w:sz w:val="20"/>
                <w:szCs w:val="20"/>
                <w:color w:val="auto"/>
                <w:w w:val="94"/>
              </w:rPr>
              <w:t>Commitment Fees, Other Fees</w:t>
            </w: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31</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2.6</w:t>
            </w:r>
          </w:p>
        </w:tc>
        <w:tc>
          <w:tcPr>
            <w:tcW w:w="3580" w:type="dxa"/>
            <w:vAlign w:val="bottom"/>
            <w:gridSpan w:val="57"/>
          </w:tcPr>
          <w:p>
            <w:pPr>
              <w:ind w:left="60"/>
              <w:spacing w:after="0"/>
              <w:rPr>
                <w:sz w:val="20"/>
                <w:szCs w:val="20"/>
                <w:color w:val="auto"/>
              </w:rPr>
            </w:pPr>
            <w:r>
              <w:rPr>
                <w:rFonts w:ascii="Arial" w:cs="Arial" w:eastAsia="Arial" w:hAnsi="Arial"/>
                <w:sz w:val="20"/>
                <w:szCs w:val="20"/>
                <w:color w:val="auto"/>
                <w:w w:val="93"/>
              </w:rPr>
              <w:t>Termination or Reduction of Commitments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31</w:t>
            </w:r>
          </w:p>
        </w:tc>
        <w:tc>
          <w:tcPr>
            <w:tcW w:w="280" w:type="dxa"/>
            <w:vAlign w:val="bottom"/>
            <w:gridSpan w:val="6"/>
          </w:tcPr>
          <w:p>
            <w:pPr>
              <w:jc w:val="right"/>
              <w:ind w:right="40"/>
              <w:spacing w:after="0"/>
              <w:rPr>
                <w:sz w:val="20"/>
                <w:szCs w:val="20"/>
                <w:color w:val="auto"/>
              </w:rPr>
            </w:pPr>
            <w:r>
              <w:rPr>
                <w:rFonts w:ascii="Arial" w:cs="Arial" w:eastAsia="Arial" w:hAnsi="Arial"/>
                <w:sz w:val="20"/>
                <w:szCs w:val="20"/>
                <w:color w:val="0000FF"/>
                <w:w w:val="98"/>
              </w:rPr>
              <w:t>28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2.7</w:t>
            </w:r>
          </w:p>
        </w:tc>
        <w:tc>
          <w:tcPr>
            <w:tcW w:w="1840" w:type="dxa"/>
            <w:vAlign w:val="bottom"/>
            <w:gridSpan w:val="13"/>
          </w:tcPr>
          <w:p>
            <w:pPr>
              <w:ind w:left="60"/>
              <w:spacing w:after="0"/>
              <w:rPr>
                <w:sz w:val="20"/>
                <w:szCs w:val="20"/>
                <w:color w:val="auto"/>
              </w:rPr>
            </w:pPr>
            <w:r>
              <w:rPr>
                <w:rFonts w:ascii="Arial" w:cs="Arial" w:eastAsia="Arial" w:hAnsi="Arial"/>
                <w:sz w:val="20"/>
                <w:szCs w:val="20"/>
                <w:color w:val="auto"/>
                <w:w w:val="88"/>
              </w:rPr>
              <w:t>Optional Prepayments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6"/>
          </w:tcPr>
          <w:p>
            <w:pPr>
              <w:jc w:val="right"/>
              <w:spacing w:after="0"/>
              <w:rPr>
                <w:sz w:val="20"/>
                <w:szCs w:val="20"/>
                <w:color w:val="auto"/>
              </w:rPr>
            </w:pPr>
            <w:r>
              <w:rPr>
                <w:rFonts w:ascii="Arial" w:cs="Arial" w:eastAsia="Arial" w:hAnsi="Arial"/>
                <w:sz w:val="20"/>
                <w:szCs w:val="20"/>
                <w:color w:val="FF0000"/>
                <w:strike w:val="1"/>
                <w:w w:val="98"/>
              </w:rPr>
              <w:t>31</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rPr>
              <w:t>2.8</w:t>
            </w:r>
          </w:p>
        </w:tc>
        <w:tc>
          <w:tcPr>
            <w:tcW w:w="3260" w:type="dxa"/>
            <w:vAlign w:val="bottom"/>
            <w:gridSpan w:val="51"/>
          </w:tcPr>
          <w:p>
            <w:pPr>
              <w:ind w:left="60"/>
              <w:spacing w:after="0"/>
              <w:rPr>
                <w:sz w:val="20"/>
                <w:szCs w:val="20"/>
                <w:color w:val="auto"/>
              </w:rPr>
            </w:pPr>
            <w:r>
              <w:rPr>
                <w:rFonts w:ascii="Arial" w:cs="Arial" w:eastAsia="Arial" w:hAnsi="Arial"/>
                <w:sz w:val="20"/>
                <w:szCs w:val="20"/>
                <w:color w:val="auto"/>
                <w:w w:val="95"/>
              </w:rPr>
              <w:t>Conversion and Continuation Options</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31</w:t>
            </w:r>
          </w:p>
        </w:tc>
        <w:tc>
          <w:tcPr>
            <w:tcW w:w="220" w:type="dxa"/>
            <w:vAlign w:val="bottom"/>
            <w:gridSpan w:val="4"/>
          </w:tcPr>
          <w:p>
            <w:pPr>
              <w:jc w:val="right"/>
              <w:spacing w:after="0"/>
              <w:rPr>
                <w:sz w:val="20"/>
                <w:szCs w:val="20"/>
                <w:color w:val="auto"/>
              </w:rPr>
            </w:pPr>
            <w:r>
              <w:rPr>
                <w:rFonts w:ascii="Arial" w:cs="Arial" w:eastAsia="Arial" w:hAnsi="Arial"/>
                <w:sz w:val="20"/>
                <w:szCs w:val="20"/>
                <w:color w:val="0000FF"/>
                <w:w w:val="80"/>
              </w:rPr>
              <w:t>28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700" w:type="dxa"/>
            <w:vAlign w:val="bottom"/>
            <w:tcBorders>
              <w:right w:val="single" w:sz="8" w:color="0000FF"/>
            </w:tcBorders>
            <w:gridSpan w:val="59"/>
          </w:tcPr>
          <w:p>
            <w:pPr>
              <w:spacing w:after="0" w:line="20" w:lineRule="exact"/>
              <w:rPr>
                <w:sz w:val="1"/>
                <w:szCs w:val="1"/>
                <w:color w:val="auto"/>
              </w:rPr>
            </w:pPr>
          </w:p>
        </w:tc>
        <w:tc>
          <w:tcPr>
            <w:tcW w:w="2380" w:type="dxa"/>
            <w:vAlign w:val="bottom"/>
            <w:gridSpan w:val="15"/>
          </w:tcPr>
          <w:p>
            <w:pPr>
              <w:spacing w:after="0" w:line="20" w:lineRule="exact"/>
              <w:rPr>
                <w:sz w:val="1"/>
                <w:szCs w:val="1"/>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2.9</w:t>
            </w:r>
          </w:p>
        </w:tc>
        <w:tc>
          <w:tcPr>
            <w:tcW w:w="1280" w:type="dxa"/>
            <w:vAlign w:val="bottom"/>
            <w:gridSpan w:val="6"/>
          </w:tcPr>
          <w:p>
            <w:pPr>
              <w:ind w:left="60"/>
              <w:spacing w:after="0"/>
              <w:rPr>
                <w:sz w:val="20"/>
                <w:szCs w:val="20"/>
                <w:color w:val="auto"/>
              </w:rPr>
            </w:pPr>
            <w:r>
              <w:rPr>
                <w:rFonts w:ascii="Arial" w:cs="Arial" w:eastAsia="Arial" w:hAnsi="Arial"/>
                <w:sz w:val="20"/>
                <w:szCs w:val="20"/>
                <w:color w:val="auto"/>
                <w:w w:val="97"/>
              </w:rPr>
              <w:t>Limitations on</w:t>
            </w:r>
          </w:p>
        </w:tc>
        <w:tc>
          <w:tcPr>
            <w:tcW w:w="900" w:type="dxa"/>
            <w:vAlign w:val="bottom"/>
            <w:gridSpan w:val="17"/>
          </w:tcPr>
          <w:p>
            <w:pPr>
              <w:spacing w:after="0"/>
              <w:rPr>
                <w:sz w:val="20"/>
                <w:szCs w:val="20"/>
                <w:color w:val="auto"/>
              </w:rPr>
            </w:pPr>
            <w:r>
              <w:rPr>
                <w:rFonts w:ascii="Arial" w:cs="Arial" w:eastAsia="Arial" w:hAnsi="Arial"/>
                <w:sz w:val="20"/>
                <w:szCs w:val="20"/>
                <w:color w:val="FF0000"/>
                <w:strike w:val="1"/>
                <w:w w:val="94"/>
              </w:rPr>
              <w:t>Eurodollar</w:t>
            </w:r>
          </w:p>
        </w:tc>
        <w:tc>
          <w:tcPr>
            <w:tcW w:w="1280" w:type="dxa"/>
            <w:vAlign w:val="bottom"/>
            <w:gridSpan w:val="32"/>
          </w:tcPr>
          <w:p>
            <w:pPr>
              <w:jc w:val="center"/>
              <w:ind w:right="80"/>
              <w:spacing w:after="0"/>
              <w:rPr>
                <w:sz w:val="20"/>
                <w:szCs w:val="20"/>
                <w:color w:val="auto"/>
              </w:rPr>
            </w:pPr>
            <w:r>
              <w:rPr>
                <w:rFonts w:ascii="Arial" w:cs="Arial" w:eastAsia="Arial" w:hAnsi="Arial"/>
                <w:sz w:val="20"/>
                <w:szCs w:val="20"/>
                <w:color w:val="0000FF"/>
                <w:w w:val="83"/>
              </w:rPr>
              <w:t xml:space="preserve">SOFR </w:t>
            </w:r>
            <w:r>
              <w:rPr>
                <w:rFonts w:ascii="Arial" w:cs="Arial" w:eastAsia="Arial" w:hAnsi="Arial"/>
                <w:sz w:val="20"/>
                <w:szCs w:val="20"/>
                <w:color w:val="000000"/>
                <w:w w:val="83"/>
              </w:rPr>
              <w:t>Tranches</w:t>
            </w:r>
          </w:p>
        </w:tc>
        <w:tc>
          <w:tcPr>
            <w:tcW w:w="120" w:type="dxa"/>
            <w:vAlign w:val="bottom"/>
            <w:gridSpan w:val="2"/>
          </w:tcPr>
          <w:p>
            <w:pPr>
              <w:spacing w:after="0"/>
              <w:rPr>
                <w:sz w:val="24"/>
                <w:szCs w:val="24"/>
                <w:color w:val="auto"/>
              </w:rPr>
            </w:pPr>
          </w:p>
        </w:tc>
        <w:tc>
          <w:tcPr>
            <w:tcW w:w="260" w:type="dxa"/>
            <w:vAlign w:val="bottom"/>
            <w:gridSpan w:val="4"/>
          </w:tcPr>
          <w:p>
            <w:pPr>
              <w:jc w:val="right"/>
              <w:ind w:right="60"/>
              <w:spacing w:after="0"/>
              <w:rPr>
                <w:sz w:val="20"/>
                <w:szCs w:val="20"/>
                <w:color w:val="auto"/>
              </w:rPr>
            </w:pPr>
            <w:r>
              <w:rPr>
                <w:rFonts w:ascii="Arial" w:cs="Arial" w:eastAsia="Arial" w:hAnsi="Arial"/>
                <w:sz w:val="20"/>
                <w:szCs w:val="20"/>
                <w:color w:val="FF0000"/>
                <w:strike w:val="1"/>
                <w:w w:val="80"/>
              </w:rPr>
              <w:t>32</w:t>
            </w:r>
          </w:p>
        </w:tc>
        <w:tc>
          <w:tcPr>
            <w:tcW w:w="140" w:type="dxa"/>
            <w:vAlign w:val="bottom"/>
            <w:gridSpan w:val="2"/>
          </w:tcPr>
          <w:p>
            <w:pPr>
              <w:jc w:val="right"/>
              <w:spacing w:after="0"/>
              <w:rPr>
                <w:sz w:val="20"/>
                <w:szCs w:val="20"/>
                <w:color w:val="auto"/>
              </w:rPr>
            </w:pPr>
            <w:r>
              <w:rPr>
                <w:rFonts w:ascii="Arial" w:cs="Arial" w:eastAsia="Arial" w:hAnsi="Arial"/>
                <w:sz w:val="15"/>
                <w:szCs w:val="15"/>
                <w:color w:val="0000FF"/>
                <w:w w:val="71"/>
              </w:rPr>
              <w:t>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3220" w:type="dxa"/>
            <w:vAlign w:val="bottom"/>
            <w:tcBorders>
              <w:right w:val="single" w:sz="8" w:color="0000FF"/>
            </w:tcBorders>
            <w:gridSpan w:val="24"/>
          </w:tcPr>
          <w:p>
            <w:pPr>
              <w:spacing w:after="0" w:line="20" w:lineRule="exact"/>
              <w:rPr>
                <w:sz w:val="1"/>
                <w:szCs w:val="1"/>
                <w:color w:val="auto"/>
              </w:rPr>
            </w:pPr>
          </w:p>
        </w:tc>
        <w:tc>
          <w:tcPr>
            <w:tcW w:w="440" w:type="dxa"/>
            <w:vAlign w:val="bottom"/>
            <w:tcBorders>
              <w:right w:val="single" w:sz="8" w:color="0000FF"/>
            </w:tcBorders>
            <w:gridSpan w:val="12"/>
            <w:shd w:val="clear" w:color="auto" w:fill="0000FF"/>
          </w:tcPr>
          <w:p>
            <w:pPr>
              <w:spacing w:after="0" w:line="20" w:lineRule="exact"/>
              <w:rPr>
                <w:sz w:val="1"/>
                <w:szCs w:val="1"/>
                <w:color w:val="auto"/>
              </w:rPr>
            </w:pPr>
          </w:p>
        </w:tc>
        <w:tc>
          <w:tcPr>
            <w:tcW w:w="1220" w:type="dxa"/>
            <w:vAlign w:val="bottom"/>
            <w:tcBorders>
              <w:right w:val="single" w:sz="8" w:color="0000FF"/>
            </w:tcBorders>
            <w:gridSpan w:val="26"/>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w w:val="92"/>
              </w:rPr>
              <w:t>2.10</w:t>
            </w:r>
          </w:p>
        </w:tc>
        <w:tc>
          <w:tcPr>
            <w:tcW w:w="160" w:type="dxa"/>
            <w:vAlign w:val="bottom"/>
          </w:tcPr>
          <w:p>
            <w:pPr>
              <w:spacing w:after="0"/>
              <w:rPr>
                <w:sz w:val="24"/>
                <w:szCs w:val="24"/>
                <w:color w:val="auto"/>
              </w:rPr>
            </w:pPr>
          </w:p>
        </w:tc>
        <w:tc>
          <w:tcPr>
            <w:tcW w:w="2820" w:type="dxa"/>
            <w:vAlign w:val="bottom"/>
            <w:gridSpan w:val="45"/>
          </w:tcPr>
          <w:p>
            <w:pPr>
              <w:spacing w:after="0"/>
              <w:rPr>
                <w:sz w:val="20"/>
                <w:szCs w:val="20"/>
                <w:color w:val="auto"/>
              </w:rPr>
            </w:pPr>
            <w:r>
              <w:rPr>
                <w:rFonts w:ascii="Arial" w:cs="Arial" w:eastAsia="Arial" w:hAnsi="Arial"/>
                <w:sz w:val="20"/>
                <w:szCs w:val="20"/>
                <w:color w:val="auto"/>
                <w:w w:val="91"/>
              </w:rPr>
              <w:t>Interest Rates and Payment Dates</w:t>
            </w:r>
          </w:p>
        </w:tc>
        <w:tc>
          <w:tcPr>
            <w:tcW w:w="4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32</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29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w w:val="92"/>
              </w:rPr>
              <w:t>2.11</w:t>
            </w:r>
          </w:p>
        </w:tc>
        <w:tc>
          <w:tcPr>
            <w:tcW w:w="2980" w:type="dxa"/>
            <w:vAlign w:val="bottom"/>
            <w:gridSpan w:val="46"/>
          </w:tcPr>
          <w:p>
            <w:pPr>
              <w:ind w:left="160"/>
              <w:spacing w:after="0"/>
              <w:rPr>
                <w:sz w:val="20"/>
                <w:szCs w:val="20"/>
                <w:color w:val="auto"/>
              </w:rPr>
            </w:pPr>
            <w:r>
              <w:rPr>
                <w:rFonts w:ascii="Arial" w:cs="Arial" w:eastAsia="Arial" w:hAnsi="Arial"/>
                <w:sz w:val="20"/>
                <w:szCs w:val="20"/>
                <w:color w:val="auto"/>
                <w:w w:val="94"/>
              </w:rPr>
              <w:t>Computation of Interest and Fees</w:t>
            </w: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32</w:t>
            </w:r>
          </w:p>
        </w:tc>
        <w:tc>
          <w:tcPr>
            <w:tcW w:w="200" w:type="dxa"/>
            <w:vAlign w:val="bottom"/>
            <w:gridSpan w:val="4"/>
          </w:tcPr>
          <w:p>
            <w:pPr>
              <w:jc w:val="right"/>
              <w:spacing w:after="0"/>
              <w:rPr>
                <w:sz w:val="20"/>
                <w:szCs w:val="20"/>
                <w:color w:val="auto"/>
              </w:rPr>
            </w:pPr>
            <w:r>
              <w:rPr>
                <w:rFonts w:ascii="Arial" w:cs="Arial" w:eastAsia="Arial" w:hAnsi="Arial"/>
                <w:sz w:val="20"/>
                <w:szCs w:val="20"/>
                <w:color w:val="0000FF"/>
                <w:w w:val="71"/>
              </w:rPr>
              <w:t>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240" w:type="dxa"/>
            <w:vAlign w:val="bottom"/>
            <w:tcBorders>
              <w:right w:val="single" w:sz="8" w:color="0000FF"/>
            </w:tcBorders>
            <w:gridSpan w:val="50"/>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gridSpan w:val="21"/>
          </w:tcPr>
          <w:p>
            <w:pPr>
              <w:spacing w:after="0" w:line="20" w:lineRule="exact"/>
              <w:rPr>
                <w:sz w:val="1"/>
                <w:szCs w:val="1"/>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2.12</w:t>
            </w:r>
          </w:p>
        </w:tc>
        <w:tc>
          <w:tcPr>
            <w:tcW w:w="160" w:type="dxa"/>
            <w:vAlign w:val="bottom"/>
          </w:tcPr>
          <w:p>
            <w:pPr>
              <w:spacing w:after="0"/>
              <w:rPr>
                <w:sz w:val="24"/>
                <w:szCs w:val="24"/>
                <w:color w:val="auto"/>
              </w:rPr>
            </w:pPr>
          </w:p>
        </w:tc>
        <w:tc>
          <w:tcPr>
            <w:tcW w:w="2820" w:type="dxa"/>
            <w:vAlign w:val="bottom"/>
            <w:gridSpan w:val="45"/>
          </w:tcPr>
          <w:p>
            <w:pPr>
              <w:spacing w:after="0"/>
              <w:rPr>
                <w:sz w:val="20"/>
                <w:szCs w:val="20"/>
                <w:color w:val="auto"/>
              </w:rPr>
            </w:pPr>
            <w:r>
              <w:rPr>
                <w:rFonts w:ascii="Arial" w:cs="Arial" w:eastAsia="Arial" w:hAnsi="Arial"/>
                <w:sz w:val="20"/>
                <w:szCs w:val="20"/>
                <w:color w:val="FF0000"/>
                <w:strike w:val="1"/>
                <w:w w:val="90"/>
              </w:rPr>
              <w:t>Inability to Determine Interest Rate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rPr>
              <w:t>33</w:t>
            </w:r>
          </w:p>
        </w:tc>
        <w:tc>
          <w:tcPr>
            <w:tcW w:w="2160" w:type="dxa"/>
            <w:vAlign w:val="bottom"/>
            <w:tcBorders>
              <w:bottom w:val="single" w:sz="8" w:color="0000FF"/>
            </w:tcBorders>
            <w:gridSpan w:val="18"/>
          </w:tcPr>
          <w:p>
            <w:pPr>
              <w:jc w:val="right"/>
              <w:spacing w:after="0"/>
              <w:rPr>
                <w:sz w:val="20"/>
                <w:szCs w:val="20"/>
                <w:color w:val="auto"/>
              </w:rPr>
            </w:pPr>
            <w:r>
              <w:rPr>
                <w:rFonts w:ascii="Arial" w:cs="Arial" w:eastAsia="Arial" w:hAnsi="Arial"/>
                <w:sz w:val="20"/>
                <w:szCs w:val="20"/>
                <w:color w:val="0000FF"/>
                <w:w w:val="86"/>
              </w:rPr>
              <w:t>Changed Circumstances 30</w:t>
            </w:r>
          </w:p>
        </w:tc>
        <w:tc>
          <w:tcPr>
            <w:tcW w:w="500" w:type="dxa"/>
            <w:vAlign w:val="bottom"/>
            <w:gridSpan w:val="3"/>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w w:val="92"/>
              </w:rPr>
              <w:t>2.13</w:t>
            </w:r>
          </w:p>
        </w:tc>
        <w:tc>
          <w:tcPr>
            <w:tcW w:w="160" w:type="dxa"/>
            <w:vAlign w:val="bottom"/>
          </w:tcPr>
          <w:p>
            <w:pPr>
              <w:spacing w:after="0"/>
              <w:rPr>
                <w:sz w:val="24"/>
                <w:szCs w:val="24"/>
                <w:color w:val="auto"/>
              </w:rPr>
            </w:pPr>
          </w:p>
        </w:tc>
        <w:tc>
          <w:tcPr>
            <w:tcW w:w="3420" w:type="dxa"/>
            <w:vAlign w:val="bottom"/>
            <w:gridSpan w:val="56"/>
          </w:tcPr>
          <w:p>
            <w:pPr>
              <w:spacing w:after="0"/>
              <w:rPr>
                <w:sz w:val="20"/>
                <w:szCs w:val="20"/>
                <w:color w:val="auto"/>
              </w:rPr>
            </w:pPr>
            <w:r>
              <w:rPr>
                <w:rFonts w:ascii="Arial" w:cs="Arial" w:eastAsia="Arial" w:hAnsi="Arial"/>
                <w:sz w:val="20"/>
                <w:szCs w:val="20"/>
                <w:color w:val="auto"/>
                <w:w w:val="91"/>
              </w:rPr>
              <w:t>Pro Rata Treatment and Payments; Notes</w:t>
            </w:r>
          </w:p>
        </w:tc>
        <w:tc>
          <w:tcPr>
            <w:tcW w:w="8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FF0000"/>
                <w:strike w:val="1"/>
                <w:w w:val="78"/>
              </w:rPr>
              <w:t>35</w:t>
            </w:r>
          </w:p>
        </w:tc>
        <w:tc>
          <w:tcPr>
            <w:tcW w:w="200" w:type="dxa"/>
            <w:vAlign w:val="bottom"/>
            <w:gridSpan w:val="4"/>
          </w:tcPr>
          <w:p>
            <w:pPr>
              <w:jc w:val="right"/>
              <w:ind w:right="20"/>
              <w:spacing w:after="0"/>
              <w:rPr>
                <w:sz w:val="20"/>
                <w:szCs w:val="20"/>
                <w:color w:val="auto"/>
              </w:rPr>
            </w:pPr>
            <w:r>
              <w:rPr>
                <w:rFonts w:ascii="Arial" w:cs="Arial" w:eastAsia="Arial" w:hAnsi="Arial"/>
                <w:sz w:val="20"/>
                <w:szCs w:val="20"/>
                <w:color w:val="0000FF"/>
                <w:w w:val="71"/>
              </w:rPr>
              <w:t>32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w w:val="92"/>
              </w:rPr>
              <w:t>2.14</w:t>
            </w:r>
          </w:p>
        </w:tc>
        <w:tc>
          <w:tcPr>
            <w:tcW w:w="160" w:type="dxa"/>
            <w:vAlign w:val="bottom"/>
          </w:tcPr>
          <w:p>
            <w:pPr>
              <w:spacing w:after="0"/>
              <w:rPr>
                <w:sz w:val="24"/>
                <w:szCs w:val="24"/>
                <w:color w:val="auto"/>
              </w:rPr>
            </w:pPr>
          </w:p>
        </w:tc>
        <w:tc>
          <w:tcPr>
            <w:tcW w:w="1920" w:type="dxa"/>
            <w:vAlign w:val="bottom"/>
            <w:gridSpan w:val="20"/>
          </w:tcPr>
          <w:p>
            <w:pPr>
              <w:spacing w:after="0"/>
              <w:rPr>
                <w:sz w:val="20"/>
                <w:szCs w:val="20"/>
                <w:color w:val="auto"/>
              </w:rPr>
            </w:pPr>
            <w:r>
              <w:rPr>
                <w:rFonts w:ascii="Arial" w:cs="Arial" w:eastAsia="Arial" w:hAnsi="Arial"/>
                <w:sz w:val="20"/>
                <w:szCs w:val="20"/>
                <w:color w:val="auto"/>
              </w:rPr>
              <w:t>Requirements of Law</w:t>
            </w: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37</w:t>
            </w:r>
          </w:p>
        </w:tc>
        <w:tc>
          <w:tcPr>
            <w:tcW w:w="18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71"/>
              </w:rPr>
              <w:t>34</w:t>
            </w:r>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2.15</w:t>
            </w:r>
          </w:p>
        </w:tc>
        <w:tc>
          <w:tcPr>
            <w:tcW w:w="820" w:type="dxa"/>
            <w:vAlign w:val="bottom"/>
            <w:gridSpan w:val="2"/>
          </w:tcPr>
          <w:p>
            <w:pPr>
              <w:ind w:left="160"/>
              <w:spacing w:after="0"/>
              <w:rPr>
                <w:sz w:val="20"/>
                <w:szCs w:val="20"/>
                <w:color w:val="auto"/>
              </w:rPr>
            </w:pPr>
            <w:r>
              <w:rPr>
                <w:rFonts w:ascii="Arial" w:cs="Arial" w:eastAsia="Arial" w:hAnsi="Arial"/>
                <w:sz w:val="20"/>
                <w:szCs w:val="20"/>
                <w:color w:val="auto"/>
              </w:rPr>
              <w:t>Taxes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38</w:t>
            </w:r>
          </w:p>
        </w:tc>
        <w:tc>
          <w:tcPr>
            <w:tcW w:w="5020" w:type="dxa"/>
            <w:vAlign w:val="bottom"/>
            <w:gridSpan w:val="70"/>
          </w:tcPr>
          <w:p>
            <w:pPr>
              <w:jc w:val="right"/>
              <w:ind w:right="4741"/>
              <w:spacing w:after="0"/>
              <w:rPr>
                <w:sz w:val="20"/>
                <w:szCs w:val="20"/>
                <w:color w:val="auto"/>
              </w:rPr>
            </w:pPr>
            <w:r>
              <w:rPr>
                <w:rFonts w:ascii="Arial" w:cs="Arial" w:eastAsia="Arial" w:hAnsi="Arial"/>
                <w:sz w:val="20"/>
                <w:szCs w:val="20"/>
                <w:color w:val="0000FF"/>
                <w:w w:val="71"/>
              </w:rPr>
              <w:t>35</w:t>
            </w:r>
          </w:p>
        </w:tc>
      </w:tr>
      <w:tr>
        <w:trPr>
          <w:trHeight w:val="20"/>
        </w:trPr>
        <w:tc>
          <w:tcPr>
            <w:tcW w:w="2240" w:type="dxa"/>
            <w:vAlign w:val="bottom"/>
            <w:tcBorders>
              <w:right w:val="single" w:sz="8" w:color="0000FF"/>
            </w:tcBorders>
            <w:gridSpan w:val="5"/>
          </w:tcPr>
          <w:p>
            <w:pPr>
              <w:spacing w:after="0" w:line="20" w:lineRule="exact"/>
              <w:rPr>
                <w:sz w:val="1"/>
                <w:szCs w:val="1"/>
                <w:color w:val="auto"/>
              </w:rPr>
            </w:pPr>
          </w:p>
        </w:tc>
        <w:tc>
          <w:tcPr>
            <w:tcW w:w="4840" w:type="dxa"/>
            <w:vAlign w:val="bottom"/>
            <w:gridSpan w:val="69"/>
          </w:tcPr>
          <w:p>
            <w:pPr>
              <w:spacing w:after="0" w:line="20" w:lineRule="exact"/>
              <w:rPr>
                <w:sz w:val="1"/>
                <w:szCs w:val="1"/>
                <w:color w:val="auto"/>
              </w:rPr>
            </w:pPr>
          </w:p>
        </w:tc>
      </w:tr>
      <w:tr>
        <w:trPr>
          <w:trHeight w:val="291"/>
        </w:trPr>
        <w:tc>
          <w:tcPr>
            <w:tcW w:w="1200" w:type="dxa"/>
            <w:vAlign w:val="bottom"/>
            <w:gridSpan w:val="2"/>
          </w:tcPr>
          <w:p>
            <w:pPr>
              <w:ind w:left="660"/>
              <w:spacing w:after="0"/>
              <w:rPr>
                <w:sz w:val="20"/>
                <w:szCs w:val="20"/>
                <w:color w:val="auto"/>
              </w:rPr>
            </w:pPr>
            <w:r>
              <w:rPr>
                <w:rFonts w:ascii="Arial" w:cs="Arial" w:eastAsia="Arial" w:hAnsi="Arial"/>
                <w:sz w:val="20"/>
                <w:szCs w:val="20"/>
                <w:color w:val="auto"/>
                <w:w w:val="92"/>
              </w:rPr>
              <w:t>2.16</w:t>
            </w:r>
          </w:p>
        </w:tc>
        <w:tc>
          <w:tcPr>
            <w:tcW w:w="1040" w:type="dxa"/>
            <w:vAlign w:val="bottom"/>
            <w:gridSpan w:val="3"/>
          </w:tcPr>
          <w:p>
            <w:pPr>
              <w:spacing w:after="0"/>
              <w:rPr>
                <w:sz w:val="20"/>
                <w:szCs w:val="20"/>
                <w:color w:val="auto"/>
              </w:rPr>
            </w:pPr>
            <w:r>
              <w:rPr>
                <w:rFonts w:ascii="Arial" w:cs="Arial" w:eastAsia="Arial" w:hAnsi="Arial"/>
                <w:sz w:val="20"/>
                <w:szCs w:val="20"/>
                <w:color w:val="auto"/>
                <w:w w:val="96"/>
              </w:rPr>
              <w:t>Indemnity</w:t>
            </w:r>
          </w:p>
        </w:tc>
        <w:tc>
          <w:tcPr>
            <w:tcW w:w="160" w:type="dxa"/>
            <w:vAlign w:val="bottom"/>
            <w:gridSpan w:val="3"/>
          </w:tcPr>
          <w:p>
            <w:pPr>
              <w:jc w:val="right"/>
              <w:spacing w:after="0"/>
              <w:rPr>
                <w:sz w:val="20"/>
                <w:szCs w:val="20"/>
                <w:color w:val="auto"/>
              </w:rPr>
            </w:pPr>
            <w:r>
              <w:rPr>
                <w:rFonts w:ascii="Arial" w:cs="Arial" w:eastAsia="Arial" w:hAnsi="Arial"/>
                <w:sz w:val="16"/>
                <w:szCs w:val="16"/>
                <w:color w:val="FF0000"/>
                <w:strike w:val="1"/>
                <w:w w:val="78"/>
              </w:rPr>
              <w:t>40</w:t>
            </w:r>
          </w:p>
        </w:tc>
        <w:tc>
          <w:tcPr>
            <w:tcW w:w="4680" w:type="dxa"/>
            <w:vAlign w:val="bottom"/>
            <w:gridSpan w:val="66"/>
          </w:tcPr>
          <w:p>
            <w:pPr>
              <w:jc w:val="right"/>
              <w:ind w:right="4381"/>
              <w:spacing w:after="0"/>
              <w:rPr>
                <w:sz w:val="20"/>
                <w:szCs w:val="20"/>
                <w:color w:val="auto"/>
              </w:rPr>
            </w:pPr>
            <w:r>
              <w:rPr>
                <w:rFonts w:ascii="Arial" w:cs="Arial" w:eastAsia="Arial" w:hAnsi="Arial"/>
                <w:sz w:val="20"/>
                <w:szCs w:val="20"/>
                <w:color w:val="0000FF"/>
                <w:w w:val="80"/>
              </w:rPr>
              <w:t>37</w:t>
            </w:r>
          </w:p>
        </w:tc>
      </w:tr>
      <w:tr>
        <w:trPr>
          <w:trHeight w:val="20"/>
        </w:trPr>
        <w:tc>
          <w:tcPr>
            <w:tcW w:w="7080" w:type="dxa"/>
            <w:vAlign w:val="bottom"/>
            <w:gridSpan w:val="74"/>
          </w:tcPr>
          <w:p>
            <w:pPr>
              <w:spacing w:after="0" w:line="20" w:lineRule="exact"/>
              <w:rPr>
                <w:sz w:val="1"/>
                <w:szCs w:val="1"/>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w w:val="92"/>
              </w:rPr>
              <w:t>2.17</w:t>
            </w:r>
          </w:p>
        </w:tc>
        <w:tc>
          <w:tcPr>
            <w:tcW w:w="160" w:type="dxa"/>
            <w:vAlign w:val="bottom"/>
          </w:tcPr>
          <w:p>
            <w:pPr>
              <w:spacing w:after="0"/>
              <w:rPr>
                <w:sz w:val="24"/>
                <w:szCs w:val="24"/>
                <w:color w:val="auto"/>
              </w:rPr>
            </w:pPr>
          </w:p>
        </w:tc>
        <w:tc>
          <w:tcPr>
            <w:tcW w:w="2140" w:type="dxa"/>
            <w:vAlign w:val="bottom"/>
            <w:gridSpan w:val="26"/>
          </w:tcPr>
          <w:p>
            <w:pPr>
              <w:spacing w:after="0"/>
              <w:rPr>
                <w:sz w:val="20"/>
                <w:szCs w:val="20"/>
                <w:color w:val="auto"/>
              </w:rPr>
            </w:pPr>
            <w:r>
              <w:rPr>
                <w:rFonts w:ascii="Arial" w:cs="Arial" w:eastAsia="Arial" w:hAnsi="Arial"/>
                <w:sz w:val="20"/>
                <w:szCs w:val="20"/>
                <w:color w:val="auto"/>
                <w:w w:val="93"/>
              </w:rPr>
              <w:t>Change of Lending Office</w:t>
            </w: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40</w:t>
            </w:r>
          </w:p>
        </w:tc>
        <w:tc>
          <w:tcPr>
            <w:tcW w:w="200" w:type="dxa"/>
            <w:vAlign w:val="bottom"/>
            <w:tcBorders>
              <w:bottom w:val="single" w:sz="8" w:color="0000FF"/>
            </w:tcBorders>
            <w:gridSpan w:val="6"/>
          </w:tcPr>
          <w:p>
            <w:pPr>
              <w:jc w:val="center"/>
              <w:spacing w:after="0"/>
              <w:rPr>
                <w:sz w:val="20"/>
                <w:szCs w:val="20"/>
                <w:color w:val="auto"/>
              </w:rPr>
            </w:pPr>
            <w:r>
              <w:rPr>
                <w:rFonts w:ascii="Arial" w:cs="Arial" w:eastAsia="Arial" w:hAnsi="Arial"/>
                <w:sz w:val="20"/>
                <w:szCs w:val="20"/>
                <w:color w:val="0000FF"/>
                <w:w w:val="89"/>
              </w:rPr>
              <w:t>37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2.18</w:t>
            </w:r>
          </w:p>
        </w:tc>
        <w:tc>
          <w:tcPr>
            <w:tcW w:w="160" w:type="dxa"/>
            <w:vAlign w:val="bottom"/>
          </w:tcPr>
          <w:p>
            <w:pPr>
              <w:spacing w:after="0"/>
              <w:rPr>
                <w:sz w:val="24"/>
                <w:szCs w:val="24"/>
                <w:color w:val="auto"/>
              </w:rPr>
            </w:pPr>
          </w:p>
        </w:tc>
        <w:tc>
          <w:tcPr>
            <w:tcW w:w="2140" w:type="dxa"/>
            <w:vAlign w:val="bottom"/>
            <w:gridSpan w:val="26"/>
          </w:tcPr>
          <w:p>
            <w:pPr>
              <w:spacing w:after="0"/>
              <w:rPr>
                <w:sz w:val="20"/>
                <w:szCs w:val="20"/>
                <w:color w:val="auto"/>
              </w:rPr>
            </w:pPr>
            <w:r>
              <w:rPr>
                <w:rFonts w:ascii="Arial" w:cs="Arial" w:eastAsia="Arial" w:hAnsi="Arial"/>
                <w:sz w:val="20"/>
                <w:szCs w:val="20"/>
                <w:color w:val="auto"/>
                <w:w w:val="97"/>
              </w:rPr>
              <w:t>Replacement of Lenders</w:t>
            </w:r>
          </w:p>
        </w:tc>
        <w:tc>
          <w:tcPr>
            <w:tcW w:w="180" w:type="dxa"/>
            <w:vAlign w:val="bottom"/>
            <w:gridSpan w:val="5"/>
          </w:tcPr>
          <w:p>
            <w:pPr>
              <w:jc w:val="right"/>
              <w:spacing w:after="0"/>
              <w:rPr>
                <w:sz w:val="20"/>
                <w:szCs w:val="20"/>
                <w:color w:val="auto"/>
              </w:rPr>
            </w:pPr>
            <w:r>
              <w:rPr>
                <w:rFonts w:ascii="Arial" w:cs="Arial" w:eastAsia="Arial" w:hAnsi="Arial"/>
                <w:sz w:val="20"/>
                <w:szCs w:val="20"/>
                <w:color w:val="FF0000"/>
                <w:strike w:val="1"/>
                <w:w w:val="71"/>
              </w:rPr>
              <w:t>41</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37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w w:val="92"/>
              </w:rPr>
              <w:t>2.19</w:t>
            </w:r>
          </w:p>
        </w:tc>
        <w:tc>
          <w:tcPr>
            <w:tcW w:w="160" w:type="dxa"/>
            <w:vAlign w:val="bottom"/>
          </w:tcPr>
          <w:p>
            <w:pPr>
              <w:spacing w:after="0"/>
              <w:rPr>
                <w:sz w:val="24"/>
                <w:szCs w:val="24"/>
                <w:color w:val="auto"/>
              </w:rPr>
            </w:pPr>
          </w:p>
        </w:tc>
        <w:tc>
          <w:tcPr>
            <w:tcW w:w="1500" w:type="dxa"/>
            <w:vAlign w:val="bottom"/>
            <w:gridSpan w:val="10"/>
          </w:tcPr>
          <w:p>
            <w:pPr>
              <w:spacing w:after="0"/>
              <w:rPr>
                <w:sz w:val="20"/>
                <w:szCs w:val="20"/>
                <w:color w:val="auto"/>
              </w:rPr>
            </w:pPr>
            <w:r>
              <w:rPr>
                <w:rFonts w:ascii="Arial" w:cs="Arial" w:eastAsia="Arial" w:hAnsi="Arial"/>
                <w:sz w:val="20"/>
                <w:szCs w:val="20"/>
                <w:color w:val="auto"/>
                <w:w w:val="94"/>
              </w:rPr>
              <w:t>Optional Increase</w:t>
            </w:r>
          </w:p>
        </w:tc>
        <w:tc>
          <w:tcPr>
            <w:tcW w:w="300" w:type="dxa"/>
            <w:vAlign w:val="bottom"/>
            <w:gridSpan w:val="6"/>
          </w:tcPr>
          <w:p>
            <w:pPr>
              <w:ind w:left="100"/>
              <w:spacing w:after="0"/>
              <w:rPr>
                <w:sz w:val="20"/>
                <w:szCs w:val="20"/>
                <w:color w:val="auto"/>
              </w:rPr>
            </w:pPr>
            <w:r>
              <w:rPr>
                <w:rFonts w:ascii="Arial" w:cs="Arial" w:eastAsia="Arial" w:hAnsi="Arial"/>
                <w:sz w:val="20"/>
                <w:szCs w:val="20"/>
                <w:color w:val="FF0000"/>
                <w:strike w:val="1"/>
                <w:w w:val="80"/>
              </w:rPr>
              <w:t>41</w:t>
            </w:r>
          </w:p>
        </w:tc>
        <w:tc>
          <w:tcPr>
            <w:tcW w:w="220" w:type="dxa"/>
            <w:vAlign w:val="bottom"/>
            <w:tcBorders>
              <w:bottom w:val="single" w:sz="8" w:color="0000FF"/>
            </w:tcBorders>
            <w:gridSpan w:val="6"/>
          </w:tcPr>
          <w:p>
            <w:pPr>
              <w:jc w:val="right"/>
              <w:ind w:right="20"/>
              <w:spacing w:after="0"/>
              <w:rPr>
                <w:sz w:val="20"/>
                <w:szCs w:val="20"/>
                <w:color w:val="auto"/>
              </w:rPr>
            </w:pPr>
            <w:r>
              <w:rPr>
                <w:rFonts w:ascii="Arial" w:cs="Arial" w:eastAsia="Arial" w:hAnsi="Arial"/>
                <w:sz w:val="20"/>
                <w:szCs w:val="20"/>
                <w:color w:val="0000FF"/>
                <w:w w:val="80"/>
              </w:rPr>
              <w:t>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w w:val="92"/>
              </w:rPr>
              <w:t>2.20</w:t>
            </w:r>
          </w:p>
        </w:tc>
        <w:tc>
          <w:tcPr>
            <w:tcW w:w="160" w:type="dxa"/>
            <w:vAlign w:val="bottom"/>
          </w:tcPr>
          <w:p>
            <w:pPr>
              <w:spacing w:after="0"/>
              <w:rPr>
                <w:sz w:val="24"/>
                <w:szCs w:val="24"/>
                <w:color w:val="auto"/>
              </w:rPr>
            </w:pPr>
          </w:p>
        </w:tc>
        <w:tc>
          <w:tcPr>
            <w:tcW w:w="1500" w:type="dxa"/>
            <w:vAlign w:val="bottom"/>
            <w:gridSpan w:val="10"/>
          </w:tcPr>
          <w:p>
            <w:pPr>
              <w:spacing w:after="0"/>
              <w:rPr>
                <w:sz w:val="20"/>
                <w:szCs w:val="20"/>
                <w:color w:val="auto"/>
              </w:rPr>
            </w:pPr>
            <w:r>
              <w:rPr>
                <w:rFonts w:ascii="Arial" w:cs="Arial" w:eastAsia="Arial" w:hAnsi="Arial"/>
                <w:sz w:val="20"/>
                <w:szCs w:val="20"/>
                <w:color w:val="auto"/>
                <w:w w:val="99"/>
              </w:rPr>
              <w:t>Initial Term Loan</w:t>
            </w:r>
          </w:p>
        </w:tc>
        <w:tc>
          <w:tcPr>
            <w:tcW w:w="280" w:type="dxa"/>
            <w:vAlign w:val="bottom"/>
            <w:gridSpan w:val="5"/>
          </w:tcPr>
          <w:p>
            <w:pPr>
              <w:ind w:left="100"/>
              <w:spacing w:after="0"/>
              <w:rPr>
                <w:sz w:val="20"/>
                <w:szCs w:val="20"/>
                <w:color w:val="auto"/>
              </w:rPr>
            </w:pPr>
            <w:r>
              <w:rPr>
                <w:rFonts w:ascii="Arial" w:cs="Arial" w:eastAsia="Arial" w:hAnsi="Arial"/>
                <w:sz w:val="20"/>
                <w:szCs w:val="20"/>
                <w:color w:val="FF0000"/>
                <w:strike w:val="1"/>
                <w:w w:val="71"/>
              </w:rPr>
              <w:t>44</w:t>
            </w:r>
          </w:p>
        </w:tc>
        <w:tc>
          <w:tcPr>
            <w:tcW w:w="240" w:type="dxa"/>
            <w:vAlign w:val="bottom"/>
            <w:tcBorders>
              <w:bottom w:val="single" w:sz="8" w:color="0000FF"/>
            </w:tcBorders>
            <w:gridSpan w:val="7"/>
          </w:tcPr>
          <w:p>
            <w:pPr>
              <w:jc w:val="right"/>
              <w:ind w:right="40"/>
              <w:spacing w:after="0"/>
              <w:rPr>
                <w:sz w:val="20"/>
                <w:szCs w:val="20"/>
                <w:color w:val="auto"/>
              </w:rPr>
            </w:pPr>
            <w:r>
              <w:rPr>
                <w:rFonts w:ascii="Arial" w:cs="Arial" w:eastAsia="Arial" w:hAnsi="Arial"/>
                <w:sz w:val="20"/>
                <w:szCs w:val="20"/>
                <w:color w:val="0000FF"/>
                <w:w w:val="80"/>
              </w:rPr>
              <w:t>41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2.21</w:t>
            </w:r>
          </w:p>
        </w:tc>
        <w:tc>
          <w:tcPr>
            <w:tcW w:w="160" w:type="dxa"/>
            <w:vAlign w:val="bottom"/>
          </w:tcPr>
          <w:p>
            <w:pPr>
              <w:spacing w:after="0"/>
              <w:rPr>
                <w:sz w:val="24"/>
                <w:szCs w:val="24"/>
                <w:color w:val="auto"/>
              </w:rPr>
            </w:pPr>
          </w:p>
        </w:tc>
        <w:tc>
          <w:tcPr>
            <w:tcW w:w="3100" w:type="dxa"/>
            <w:vAlign w:val="bottom"/>
            <w:gridSpan w:val="50"/>
          </w:tcPr>
          <w:p>
            <w:pPr>
              <w:spacing w:after="0"/>
              <w:rPr>
                <w:sz w:val="20"/>
                <w:szCs w:val="20"/>
                <w:color w:val="auto"/>
              </w:rPr>
            </w:pPr>
            <w:r>
              <w:rPr>
                <w:rFonts w:ascii="Arial" w:cs="Arial" w:eastAsia="Arial" w:hAnsi="Arial"/>
                <w:sz w:val="20"/>
                <w:szCs w:val="20"/>
                <w:color w:val="auto"/>
                <w:w w:val="90"/>
              </w:rPr>
              <w:t>Procedure for Advance of Term Loans</w:t>
            </w:r>
          </w:p>
        </w:tc>
        <w:tc>
          <w:tcPr>
            <w:tcW w:w="140" w:type="dxa"/>
            <w:vAlign w:val="bottom"/>
            <w:gridSpan w:val="2"/>
          </w:tcPr>
          <w:p>
            <w:pPr>
              <w:spacing w:after="0"/>
              <w:rPr>
                <w:sz w:val="24"/>
                <w:szCs w:val="24"/>
                <w:color w:val="auto"/>
              </w:rPr>
            </w:pPr>
          </w:p>
        </w:tc>
        <w:tc>
          <w:tcPr>
            <w:tcW w:w="26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44</w:t>
            </w:r>
          </w:p>
        </w:tc>
        <w:tc>
          <w:tcPr>
            <w:tcW w:w="180" w:type="dxa"/>
            <w:vAlign w:val="bottom"/>
            <w:gridSpan w:val="3"/>
          </w:tcPr>
          <w:p>
            <w:pPr>
              <w:jc w:val="right"/>
              <w:ind w:right="40"/>
              <w:spacing w:after="0"/>
              <w:rPr>
                <w:sz w:val="20"/>
                <w:szCs w:val="20"/>
                <w:color w:val="auto"/>
              </w:rPr>
            </w:pPr>
            <w:r>
              <w:rPr>
                <w:rFonts w:ascii="Arial" w:cs="Arial" w:eastAsia="Arial" w:hAnsi="Arial"/>
                <w:sz w:val="15"/>
                <w:szCs w:val="15"/>
                <w:color w:val="0000FF"/>
                <w:w w:val="71"/>
              </w:rPr>
              <w:t>41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w w:val="92"/>
              </w:rPr>
              <w:t>2.22</w:t>
            </w:r>
          </w:p>
        </w:tc>
        <w:tc>
          <w:tcPr>
            <w:tcW w:w="160" w:type="dxa"/>
            <w:vAlign w:val="bottom"/>
          </w:tcPr>
          <w:p>
            <w:pPr>
              <w:spacing w:after="0"/>
              <w:rPr>
                <w:sz w:val="24"/>
                <w:szCs w:val="24"/>
                <w:color w:val="auto"/>
              </w:rPr>
            </w:pPr>
          </w:p>
        </w:tc>
        <w:tc>
          <w:tcPr>
            <w:tcW w:w="2140" w:type="dxa"/>
            <w:vAlign w:val="bottom"/>
            <w:gridSpan w:val="26"/>
          </w:tcPr>
          <w:p>
            <w:pPr>
              <w:spacing w:after="0"/>
              <w:rPr>
                <w:sz w:val="20"/>
                <w:szCs w:val="20"/>
                <w:color w:val="auto"/>
              </w:rPr>
            </w:pPr>
            <w:r>
              <w:rPr>
                <w:rFonts w:ascii="Arial" w:cs="Arial" w:eastAsia="Arial" w:hAnsi="Arial"/>
                <w:sz w:val="20"/>
                <w:szCs w:val="20"/>
                <w:color w:val="auto"/>
                <w:w w:val="89"/>
              </w:rPr>
              <w:t>Repayment of Term Loans</w:t>
            </w: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5"/>
          </w:tcPr>
          <w:p>
            <w:pPr>
              <w:jc w:val="right"/>
              <w:spacing w:after="0"/>
              <w:rPr>
                <w:sz w:val="20"/>
                <w:szCs w:val="20"/>
                <w:color w:val="auto"/>
              </w:rPr>
            </w:pPr>
            <w:r>
              <w:rPr>
                <w:rFonts w:ascii="Arial" w:cs="Arial" w:eastAsia="Arial" w:hAnsi="Arial"/>
                <w:sz w:val="20"/>
                <w:szCs w:val="20"/>
                <w:color w:val="FF0000"/>
                <w:strike w:val="1"/>
                <w:w w:val="71"/>
              </w:rPr>
              <w:t>44</w:t>
            </w:r>
          </w:p>
        </w:tc>
        <w:tc>
          <w:tcPr>
            <w:tcW w:w="220" w:type="dxa"/>
            <w:vAlign w:val="bottom"/>
            <w:gridSpan w:val="7"/>
          </w:tcPr>
          <w:p>
            <w:pPr>
              <w:jc w:val="center"/>
              <w:ind w:right="20"/>
              <w:spacing w:after="0"/>
              <w:rPr>
                <w:sz w:val="20"/>
                <w:szCs w:val="20"/>
                <w:color w:val="auto"/>
              </w:rPr>
            </w:pPr>
            <w:r>
              <w:rPr>
                <w:rFonts w:ascii="Arial" w:cs="Arial" w:eastAsia="Arial" w:hAnsi="Arial"/>
                <w:sz w:val="20"/>
                <w:szCs w:val="20"/>
                <w:color w:val="0000FF"/>
                <w:w w:val="89"/>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2.23</w:t>
            </w:r>
          </w:p>
        </w:tc>
        <w:tc>
          <w:tcPr>
            <w:tcW w:w="160" w:type="dxa"/>
            <w:vAlign w:val="bottom"/>
          </w:tcPr>
          <w:p>
            <w:pPr>
              <w:spacing w:after="0"/>
              <w:rPr>
                <w:sz w:val="24"/>
                <w:szCs w:val="24"/>
                <w:color w:val="auto"/>
              </w:rPr>
            </w:pPr>
          </w:p>
        </w:tc>
        <w:tc>
          <w:tcPr>
            <w:tcW w:w="3100" w:type="dxa"/>
            <w:vAlign w:val="bottom"/>
            <w:gridSpan w:val="50"/>
          </w:tcPr>
          <w:p>
            <w:pPr>
              <w:spacing w:after="0"/>
              <w:rPr>
                <w:sz w:val="20"/>
                <w:szCs w:val="20"/>
                <w:color w:val="auto"/>
              </w:rPr>
            </w:pPr>
            <w:r>
              <w:rPr>
                <w:rFonts w:ascii="Arial" w:cs="Arial" w:eastAsia="Arial" w:hAnsi="Arial"/>
                <w:sz w:val="20"/>
                <w:szCs w:val="20"/>
                <w:color w:val="auto"/>
                <w:w w:val="92"/>
              </w:rPr>
              <w:t>Optional Prepayments of Term Loans</w:t>
            </w:r>
          </w:p>
        </w:tc>
        <w:tc>
          <w:tcPr>
            <w:tcW w:w="280" w:type="dxa"/>
            <w:vAlign w:val="bottom"/>
            <w:gridSpan w:val="5"/>
          </w:tcPr>
          <w:p>
            <w:pPr>
              <w:jc w:val="right"/>
              <w:spacing w:after="0"/>
              <w:rPr>
                <w:sz w:val="20"/>
                <w:szCs w:val="20"/>
                <w:color w:val="auto"/>
              </w:rPr>
            </w:pPr>
            <w:r>
              <w:rPr>
                <w:rFonts w:ascii="Arial" w:cs="Arial" w:eastAsia="Arial" w:hAnsi="Arial"/>
                <w:sz w:val="20"/>
                <w:szCs w:val="20"/>
                <w:color w:val="FF0000"/>
                <w:strike w:val="1"/>
              </w:rPr>
              <w:t>45</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71"/>
              </w:rPr>
              <w:t>41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20"/>
                <w:szCs w:val="20"/>
                <w:color w:val="auto"/>
                <w:w w:val="96"/>
              </w:rPr>
              <w:t>SECTION 3</w:t>
            </w:r>
          </w:p>
        </w:tc>
        <w:tc>
          <w:tcPr>
            <w:tcW w:w="2080" w:type="dxa"/>
            <w:vAlign w:val="bottom"/>
            <w:gridSpan w:val="21"/>
          </w:tcPr>
          <w:p>
            <w:pPr>
              <w:ind w:left="140"/>
              <w:spacing w:after="0"/>
              <w:rPr>
                <w:sz w:val="20"/>
                <w:szCs w:val="20"/>
                <w:color w:val="auto"/>
              </w:rPr>
            </w:pPr>
            <w:r>
              <w:rPr>
                <w:rFonts w:ascii="Arial" w:cs="Arial" w:eastAsia="Arial" w:hAnsi="Arial"/>
                <w:sz w:val="20"/>
                <w:szCs w:val="20"/>
                <w:color w:val="auto"/>
                <w:w w:val="94"/>
              </w:rPr>
              <w:t>LETTERS OF CREDIT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45</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3.1</w:t>
            </w:r>
          </w:p>
        </w:tc>
        <w:tc>
          <w:tcPr>
            <w:tcW w:w="1660" w:type="dxa"/>
            <w:vAlign w:val="bottom"/>
            <w:gridSpan w:val="11"/>
          </w:tcPr>
          <w:p>
            <w:pPr>
              <w:ind w:left="60"/>
              <w:spacing w:after="0"/>
              <w:rPr>
                <w:sz w:val="20"/>
                <w:szCs w:val="20"/>
                <w:color w:val="auto"/>
              </w:rPr>
            </w:pPr>
            <w:r>
              <w:rPr>
                <w:rFonts w:ascii="Arial" w:cs="Arial" w:eastAsia="Arial" w:hAnsi="Arial"/>
                <w:sz w:val="20"/>
                <w:szCs w:val="20"/>
                <w:color w:val="auto"/>
              </w:rPr>
              <w:t>L/C Commitment</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45</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42</w:t>
            </w:r>
          </w:p>
        </w:tc>
        <w:tc>
          <w:tcPr>
            <w:tcW w:w="3980" w:type="dxa"/>
            <w:vAlign w:val="bottom"/>
            <w:gridSpan w:val="53"/>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3.2</w:t>
            </w:r>
          </w:p>
        </w:tc>
        <w:tc>
          <w:tcPr>
            <w:tcW w:w="3580" w:type="dxa"/>
            <w:vAlign w:val="bottom"/>
            <w:gridSpan w:val="57"/>
          </w:tcPr>
          <w:p>
            <w:pPr>
              <w:ind w:left="60"/>
              <w:spacing w:after="0"/>
              <w:rPr>
                <w:sz w:val="20"/>
                <w:szCs w:val="20"/>
                <w:color w:val="auto"/>
              </w:rPr>
            </w:pPr>
            <w:r>
              <w:rPr>
                <w:rFonts w:ascii="Arial" w:cs="Arial" w:eastAsia="Arial" w:hAnsi="Arial"/>
                <w:sz w:val="20"/>
                <w:szCs w:val="20"/>
                <w:color w:val="auto"/>
                <w:w w:val="92"/>
              </w:rPr>
              <w:t>Procedure for Issuance of Letters of Credit</w:t>
            </w:r>
          </w:p>
        </w:tc>
        <w:tc>
          <w:tcPr>
            <w:tcW w:w="8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20"/>
                <w:szCs w:val="20"/>
                <w:color w:val="FF0000"/>
                <w:strike w:val="1"/>
                <w:w w:val="71"/>
              </w:rPr>
              <w:t>46</w:t>
            </w:r>
          </w:p>
        </w:tc>
        <w:tc>
          <w:tcPr>
            <w:tcW w:w="240" w:type="dxa"/>
            <w:vAlign w:val="bottom"/>
            <w:gridSpan w:val="5"/>
          </w:tcPr>
          <w:p>
            <w:pPr>
              <w:jc w:val="right"/>
              <w:ind w:right="40"/>
              <w:spacing w:after="0"/>
              <w:rPr>
                <w:sz w:val="20"/>
                <w:szCs w:val="20"/>
                <w:color w:val="auto"/>
              </w:rPr>
            </w:pPr>
            <w:r>
              <w:rPr>
                <w:rFonts w:ascii="Arial" w:cs="Arial" w:eastAsia="Arial" w:hAnsi="Arial"/>
                <w:sz w:val="20"/>
                <w:szCs w:val="20"/>
                <w:color w:val="0000FF"/>
                <w:w w:val="80"/>
              </w:rPr>
              <w:t>42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3.3</w:t>
            </w:r>
          </w:p>
        </w:tc>
        <w:tc>
          <w:tcPr>
            <w:tcW w:w="2080" w:type="dxa"/>
            <w:vAlign w:val="bottom"/>
            <w:gridSpan w:val="21"/>
          </w:tcPr>
          <w:p>
            <w:pPr>
              <w:ind w:left="60"/>
              <w:spacing w:after="0"/>
              <w:rPr>
                <w:sz w:val="20"/>
                <w:szCs w:val="20"/>
                <w:color w:val="auto"/>
              </w:rPr>
            </w:pPr>
            <w:r>
              <w:rPr>
                <w:rFonts w:ascii="Arial" w:cs="Arial" w:eastAsia="Arial" w:hAnsi="Arial"/>
                <w:sz w:val="20"/>
                <w:szCs w:val="20"/>
                <w:color w:val="auto"/>
                <w:w w:val="90"/>
              </w:rPr>
              <w:t>Fees and Other Charges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5"/>
          </w:tcPr>
          <w:p>
            <w:pPr>
              <w:jc w:val="right"/>
              <w:spacing w:after="0"/>
              <w:rPr>
                <w:sz w:val="20"/>
                <w:szCs w:val="20"/>
                <w:color w:val="auto"/>
              </w:rPr>
            </w:pPr>
            <w:r>
              <w:rPr>
                <w:rFonts w:ascii="Arial" w:cs="Arial" w:eastAsia="Arial" w:hAnsi="Arial"/>
                <w:sz w:val="16"/>
                <w:szCs w:val="16"/>
                <w:color w:val="FF0000"/>
                <w:strike w:val="1"/>
                <w:w w:val="78"/>
              </w:rPr>
              <w:t>46</w:t>
            </w:r>
          </w:p>
        </w:tc>
        <w:tc>
          <w:tcPr>
            <w:tcW w:w="280" w:type="dxa"/>
            <w:vAlign w:val="bottom"/>
            <w:gridSpan w:val="7"/>
          </w:tcPr>
          <w:p>
            <w:pPr>
              <w:jc w:val="right"/>
              <w:ind w:right="80"/>
              <w:spacing w:after="0"/>
              <w:rPr>
                <w:sz w:val="20"/>
                <w:szCs w:val="20"/>
                <w:color w:val="auto"/>
              </w:rPr>
            </w:pPr>
            <w:r>
              <w:rPr>
                <w:rFonts w:ascii="Arial" w:cs="Arial" w:eastAsia="Arial" w:hAnsi="Arial"/>
                <w:sz w:val="20"/>
                <w:szCs w:val="20"/>
                <w:color w:val="0000FF"/>
                <w:w w:val="80"/>
              </w:rPr>
              <w:t>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3.4</w:t>
            </w:r>
          </w:p>
        </w:tc>
        <w:tc>
          <w:tcPr>
            <w:tcW w:w="1660" w:type="dxa"/>
            <w:vAlign w:val="bottom"/>
            <w:gridSpan w:val="11"/>
          </w:tcPr>
          <w:p>
            <w:pPr>
              <w:ind w:left="60"/>
              <w:spacing w:after="0"/>
              <w:rPr>
                <w:sz w:val="20"/>
                <w:szCs w:val="20"/>
                <w:color w:val="auto"/>
              </w:rPr>
            </w:pPr>
            <w:r>
              <w:rPr>
                <w:rFonts w:ascii="Arial" w:cs="Arial" w:eastAsia="Arial" w:hAnsi="Arial"/>
                <w:sz w:val="20"/>
                <w:szCs w:val="20"/>
                <w:color w:val="auto"/>
              </w:rPr>
              <w:t>L/C Participations</w:t>
            </w: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47</w:t>
            </w:r>
          </w:p>
        </w:tc>
        <w:tc>
          <w:tcPr>
            <w:tcW w:w="2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0"/>
              </w:rPr>
              <w:t>43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3.5</w:t>
            </w:r>
          </w:p>
        </w:tc>
        <w:tc>
          <w:tcPr>
            <w:tcW w:w="3580" w:type="dxa"/>
            <w:vAlign w:val="bottom"/>
            <w:gridSpan w:val="57"/>
          </w:tcPr>
          <w:p>
            <w:pPr>
              <w:ind w:left="60"/>
              <w:spacing w:after="0"/>
              <w:rPr>
                <w:sz w:val="20"/>
                <w:szCs w:val="20"/>
                <w:color w:val="auto"/>
              </w:rPr>
            </w:pPr>
            <w:r>
              <w:rPr>
                <w:rFonts w:ascii="Arial" w:cs="Arial" w:eastAsia="Arial" w:hAnsi="Arial"/>
                <w:sz w:val="20"/>
                <w:szCs w:val="20"/>
                <w:color w:val="auto"/>
                <w:w w:val="92"/>
              </w:rPr>
              <w:t>Reimbursement Obligation of the Borrower</w:t>
            </w:r>
          </w:p>
        </w:tc>
        <w:tc>
          <w:tcPr>
            <w:tcW w:w="100" w:type="dxa"/>
            <w:vAlign w:val="bottom"/>
            <w:gridSpan w:val="2"/>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20"/>
                <w:szCs w:val="20"/>
                <w:color w:val="FF0000"/>
                <w:strike w:val="1"/>
                <w:w w:val="98"/>
              </w:rPr>
              <w:t>48</w:t>
            </w:r>
          </w:p>
        </w:tc>
        <w:tc>
          <w:tcPr>
            <w:tcW w:w="220" w:type="dxa"/>
            <w:vAlign w:val="bottom"/>
            <w:gridSpan w:val="6"/>
          </w:tcPr>
          <w:p>
            <w:pPr>
              <w:jc w:val="right"/>
              <w:ind w:right="20"/>
              <w:spacing w:after="0"/>
              <w:rPr>
                <w:sz w:val="20"/>
                <w:szCs w:val="20"/>
                <w:color w:val="auto"/>
              </w:rPr>
            </w:pPr>
            <w:r>
              <w:rPr>
                <w:rFonts w:ascii="Arial" w:cs="Arial" w:eastAsia="Arial" w:hAnsi="Arial"/>
                <w:sz w:val="20"/>
                <w:szCs w:val="20"/>
                <w:color w:val="0000FF"/>
                <w:w w:val="80"/>
              </w:rPr>
              <w:t>44</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3.6</w:t>
            </w:r>
          </w:p>
        </w:tc>
        <w:tc>
          <w:tcPr>
            <w:tcW w:w="1840" w:type="dxa"/>
            <w:vAlign w:val="bottom"/>
            <w:gridSpan w:val="13"/>
          </w:tcPr>
          <w:p>
            <w:pPr>
              <w:ind w:left="60"/>
              <w:spacing w:after="0"/>
              <w:rPr>
                <w:sz w:val="20"/>
                <w:szCs w:val="20"/>
                <w:color w:val="auto"/>
              </w:rPr>
            </w:pPr>
            <w:r>
              <w:rPr>
                <w:rFonts w:ascii="Arial" w:cs="Arial" w:eastAsia="Arial" w:hAnsi="Arial"/>
                <w:sz w:val="20"/>
                <w:szCs w:val="20"/>
                <w:color w:val="auto"/>
                <w:w w:val="95"/>
              </w:rPr>
              <w:t>Obligations Absolute</w:t>
            </w:r>
          </w:p>
        </w:tc>
        <w:tc>
          <w:tcPr>
            <w:tcW w:w="60" w:type="dxa"/>
            <w:vAlign w:val="bottom"/>
            <w:gridSpan w:val="2"/>
          </w:tcPr>
          <w:p>
            <w:pPr>
              <w:spacing w:after="0"/>
              <w:rPr>
                <w:sz w:val="24"/>
                <w:szCs w:val="24"/>
                <w:color w:val="auto"/>
              </w:rPr>
            </w:pPr>
          </w:p>
        </w:tc>
        <w:tc>
          <w:tcPr>
            <w:tcW w:w="280" w:type="dxa"/>
            <w:vAlign w:val="bottom"/>
            <w:gridSpan w:val="8"/>
          </w:tcPr>
          <w:p>
            <w:pPr>
              <w:jc w:val="right"/>
              <w:ind w:right="40"/>
              <w:spacing w:after="0"/>
              <w:rPr>
                <w:sz w:val="20"/>
                <w:szCs w:val="20"/>
                <w:color w:val="auto"/>
              </w:rPr>
            </w:pPr>
            <w:r>
              <w:rPr>
                <w:rFonts w:ascii="Arial" w:cs="Arial" w:eastAsia="Arial" w:hAnsi="Arial"/>
                <w:sz w:val="20"/>
                <w:szCs w:val="20"/>
                <w:color w:val="FF0000"/>
                <w:strike w:val="1"/>
                <w:w w:val="98"/>
              </w:rPr>
              <w:t>48</w:t>
            </w:r>
          </w:p>
        </w:tc>
        <w:tc>
          <w:tcPr>
            <w:tcW w:w="160" w:type="dxa"/>
            <w:vAlign w:val="bottom"/>
            <w:tcBorders>
              <w:bottom w:val="single" w:sz="8" w:color="0000FF"/>
            </w:tcBorders>
            <w:gridSpan w:val="5"/>
          </w:tcPr>
          <w:p>
            <w:pPr>
              <w:jc w:val="right"/>
              <w:spacing w:after="0"/>
              <w:rPr>
                <w:sz w:val="20"/>
                <w:szCs w:val="20"/>
                <w:color w:val="auto"/>
              </w:rPr>
            </w:pPr>
            <w:r>
              <w:rPr>
                <w:rFonts w:ascii="Arial" w:cs="Arial" w:eastAsia="Arial" w:hAnsi="Arial"/>
                <w:sz w:val="16"/>
                <w:szCs w:val="16"/>
                <w:color w:val="0000FF"/>
                <w:w w:val="78"/>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3.7</w:t>
            </w:r>
          </w:p>
        </w:tc>
        <w:tc>
          <w:tcPr>
            <w:tcW w:w="2300" w:type="dxa"/>
            <w:vAlign w:val="bottom"/>
            <w:gridSpan w:val="27"/>
          </w:tcPr>
          <w:p>
            <w:pPr>
              <w:ind w:left="60"/>
              <w:spacing w:after="0"/>
              <w:rPr>
                <w:sz w:val="20"/>
                <w:szCs w:val="20"/>
                <w:color w:val="auto"/>
              </w:rPr>
            </w:pPr>
            <w:r>
              <w:rPr>
                <w:rFonts w:ascii="Arial" w:cs="Arial" w:eastAsia="Arial" w:hAnsi="Arial"/>
                <w:sz w:val="20"/>
                <w:szCs w:val="20"/>
                <w:color w:val="auto"/>
                <w:w w:val="97"/>
              </w:rPr>
              <w:t>Letter of Credit Payments</w:t>
            </w: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49</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45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3.8</w:t>
            </w:r>
          </w:p>
        </w:tc>
        <w:tc>
          <w:tcPr>
            <w:tcW w:w="1260" w:type="dxa"/>
            <w:vAlign w:val="bottom"/>
            <w:gridSpan w:val="5"/>
          </w:tcPr>
          <w:p>
            <w:pPr>
              <w:ind w:left="60"/>
              <w:spacing w:after="0"/>
              <w:rPr>
                <w:sz w:val="20"/>
                <w:szCs w:val="20"/>
                <w:color w:val="auto"/>
              </w:rPr>
            </w:pPr>
            <w:r>
              <w:rPr>
                <w:rFonts w:ascii="Arial" w:cs="Arial" w:eastAsia="Arial" w:hAnsi="Arial"/>
                <w:sz w:val="20"/>
                <w:szCs w:val="20"/>
                <w:color w:val="auto"/>
              </w:rPr>
              <w:t>Applications</w:t>
            </w: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49</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45</w:t>
            </w:r>
          </w:p>
        </w:tc>
        <w:tc>
          <w:tcPr>
            <w:tcW w:w="4380" w:type="dxa"/>
            <w:vAlign w:val="bottom"/>
            <w:gridSpan w:val="62"/>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3.9</w:t>
            </w:r>
          </w:p>
        </w:tc>
        <w:tc>
          <w:tcPr>
            <w:tcW w:w="2300" w:type="dxa"/>
            <w:vAlign w:val="bottom"/>
            <w:gridSpan w:val="27"/>
          </w:tcPr>
          <w:p>
            <w:pPr>
              <w:ind w:left="60"/>
              <w:spacing w:after="0"/>
              <w:rPr>
                <w:sz w:val="20"/>
                <w:szCs w:val="20"/>
                <w:color w:val="auto"/>
              </w:rPr>
            </w:pPr>
            <w:r>
              <w:rPr>
                <w:rFonts w:ascii="Arial" w:cs="Arial" w:eastAsia="Arial" w:hAnsi="Arial"/>
                <w:sz w:val="20"/>
                <w:szCs w:val="20"/>
                <w:color w:val="auto"/>
                <w:w w:val="98"/>
              </w:rPr>
              <w:t>Actions of Issuing Lender</w:t>
            </w: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49</w:t>
            </w:r>
          </w:p>
        </w:tc>
        <w:tc>
          <w:tcPr>
            <w:tcW w:w="260" w:type="dxa"/>
            <w:vAlign w:val="bottom"/>
            <w:gridSpan w:val="7"/>
          </w:tcPr>
          <w:p>
            <w:pPr>
              <w:jc w:val="right"/>
              <w:ind w:right="60"/>
              <w:spacing w:after="0"/>
              <w:rPr>
                <w:sz w:val="20"/>
                <w:szCs w:val="20"/>
                <w:color w:val="auto"/>
              </w:rPr>
            </w:pPr>
            <w:r>
              <w:rPr>
                <w:rFonts w:ascii="Arial" w:cs="Arial" w:eastAsia="Arial" w:hAnsi="Arial"/>
                <w:sz w:val="20"/>
                <w:szCs w:val="20"/>
                <w:color w:val="0000FF"/>
                <w:w w:val="80"/>
              </w:rPr>
              <w:t>45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w w:val="92"/>
              </w:rPr>
              <w:t>3.10</w:t>
            </w:r>
          </w:p>
        </w:tc>
        <w:tc>
          <w:tcPr>
            <w:tcW w:w="160" w:type="dxa"/>
            <w:vAlign w:val="bottom"/>
          </w:tcPr>
          <w:p>
            <w:pPr>
              <w:spacing w:after="0"/>
              <w:rPr>
                <w:sz w:val="24"/>
                <w:szCs w:val="24"/>
                <w:color w:val="auto"/>
              </w:rPr>
            </w:pPr>
          </w:p>
        </w:tc>
        <w:tc>
          <w:tcPr>
            <w:tcW w:w="2340" w:type="dxa"/>
            <w:vAlign w:val="bottom"/>
            <w:gridSpan w:val="32"/>
          </w:tcPr>
          <w:p>
            <w:pPr>
              <w:spacing w:after="0"/>
              <w:rPr>
                <w:sz w:val="20"/>
                <w:szCs w:val="20"/>
                <w:color w:val="auto"/>
              </w:rPr>
            </w:pPr>
            <w:r>
              <w:rPr>
                <w:rFonts w:ascii="Arial" w:cs="Arial" w:eastAsia="Arial" w:hAnsi="Arial"/>
                <w:sz w:val="20"/>
                <w:szCs w:val="20"/>
                <w:color w:val="auto"/>
                <w:w w:val="98"/>
              </w:rPr>
              <w:t>Borrower’s Indemnification</w:t>
            </w:r>
          </w:p>
        </w:tc>
        <w:tc>
          <w:tcPr>
            <w:tcW w:w="120" w:type="dxa"/>
            <w:vAlign w:val="bottom"/>
            <w:gridSpan w:val="2"/>
          </w:tcPr>
          <w:p>
            <w:pPr>
              <w:spacing w:after="0"/>
              <w:rPr>
                <w:sz w:val="24"/>
                <w:szCs w:val="24"/>
                <w:color w:val="auto"/>
              </w:rPr>
            </w:pPr>
          </w:p>
        </w:tc>
        <w:tc>
          <w:tcPr>
            <w:tcW w:w="160" w:type="dxa"/>
            <w:vAlign w:val="bottom"/>
            <w:gridSpan w:val="6"/>
          </w:tcPr>
          <w:p>
            <w:pPr>
              <w:jc w:val="right"/>
              <w:ind w:right="20"/>
              <w:spacing w:after="0"/>
              <w:rPr>
                <w:sz w:val="20"/>
                <w:szCs w:val="20"/>
                <w:color w:val="auto"/>
              </w:rPr>
            </w:pPr>
            <w:r>
              <w:rPr>
                <w:rFonts w:ascii="Arial" w:cs="Arial" w:eastAsia="Arial" w:hAnsi="Arial"/>
                <w:sz w:val="15"/>
                <w:szCs w:val="15"/>
                <w:color w:val="FF0000"/>
                <w:strike w:val="1"/>
                <w:w w:val="71"/>
              </w:rPr>
              <w:t>49</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71"/>
              </w:rPr>
              <w:t>46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3.11</w:t>
            </w:r>
          </w:p>
        </w:tc>
        <w:tc>
          <w:tcPr>
            <w:tcW w:w="2300" w:type="dxa"/>
            <w:vAlign w:val="bottom"/>
            <w:gridSpan w:val="27"/>
          </w:tcPr>
          <w:p>
            <w:pPr>
              <w:ind w:left="160"/>
              <w:spacing w:after="0"/>
              <w:rPr>
                <w:sz w:val="20"/>
                <w:szCs w:val="20"/>
                <w:color w:val="auto"/>
              </w:rPr>
            </w:pPr>
            <w:r>
              <w:rPr>
                <w:rFonts w:ascii="Arial" w:cs="Arial" w:eastAsia="Arial" w:hAnsi="Arial"/>
                <w:sz w:val="20"/>
                <w:szCs w:val="20"/>
                <w:color w:val="auto"/>
                <w:w w:val="97"/>
              </w:rPr>
              <w:t>Lenders’ Indemnification</w:t>
            </w:r>
          </w:p>
        </w:tc>
        <w:tc>
          <w:tcPr>
            <w:tcW w:w="40" w:type="dxa"/>
            <w:vAlign w:val="bottom"/>
          </w:tcPr>
          <w:p>
            <w:pPr>
              <w:spacing w:after="0"/>
              <w:rPr>
                <w:sz w:val="24"/>
                <w:szCs w:val="24"/>
                <w:color w:val="auto"/>
              </w:rPr>
            </w:pPr>
          </w:p>
        </w:tc>
        <w:tc>
          <w:tcPr>
            <w:tcW w:w="280" w:type="dxa"/>
            <w:vAlign w:val="bottom"/>
            <w:gridSpan w:val="7"/>
          </w:tcPr>
          <w:p>
            <w:pPr>
              <w:jc w:val="right"/>
              <w:ind w:right="60"/>
              <w:spacing w:after="0"/>
              <w:rPr>
                <w:sz w:val="20"/>
                <w:szCs w:val="20"/>
                <w:color w:val="auto"/>
              </w:rPr>
            </w:pPr>
            <w:r>
              <w:rPr>
                <w:rFonts w:ascii="Arial" w:cs="Arial" w:eastAsia="Arial" w:hAnsi="Arial"/>
                <w:sz w:val="20"/>
                <w:szCs w:val="20"/>
                <w:color w:val="FF0000"/>
                <w:strike w:val="1"/>
                <w:w w:val="89"/>
              </w:rPr>
              <w:t>50</w:t>
            </w:r>
          </w:p>
        </w:tc>
        <w:tc>
          <w:tcPr>
            <w:tcW w:w="140" w:type="dxa"/>
            <w:vAlign w:val="bottom"/>
            <w:tcBorders>
              <w:bottom w:val="single" w:sz="8" w:color="0000FF"/>
            </w:tcBorders>
            <w:gridSpan w:val="5"/>
          </w:tcPr>
          <w:p>
            <w:pPr>
              <w:jc w:val="right"/>
              <w:spacing w:after="0"/>
              <w:rPr>
                <w:sz w:val="20"/>
                <w:szCs w:val="20"/>
                <w:color w:val="auto"/>
              </w:rPr>
            </w:pPr>
            <w:r>
              <w:rPr>
                <w:rFonts w:ascii="Arial" w:cs="Arial" w:eastAsia="Arial" w:hAnsi="Arial"/>
                <w:sz w:val="15"/>
                <w:szCs w:val="15"/>
                <w:color w:val="0000FF"/>
                <w:w w:val="71"/>
              </w:rPr>
              <w:t>46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w w:val="92"/>
              </w:rPr>
              <w:t>3.12</w:t>
            </w:r>
          </w:p>
        </w:tc>
        <w:tc>
          <w:tcPr>
            <w:tcW w:w="160" w:type="dxa"/>
            <w:vAlign w:val="bottom"/>
          </w:tcPr>
          <w:p>
            <w:pPr>
              <w:spacing w:after="0"/>
              <w:rPr>
                <w:sz w:val="24"/>
                <w:szCs w:val="24"/>
                <w:color w:val="auto"/>
              </w:rPr>
            </w:pPr>
          </w:p>
        </w:tc>
        <w:tc>
          <w:tcPr>
            <w:tcW w:w="2520" w:type="dxa"/>
            <w:vAlign w:val="bottom"/>
            <w:gridSpan w:val="37"/>
          </w:tcPr>
          <w:p>
            <w:pPr>
              <w:spacing w:after="0"/>
              <w:rPr>
                <w:sz w:val="20"/>
                <w:szCs w:val="20"/>
                <w:color w:val="auto"/>
              </w:rPr>
            </w:pPr>
            <w:r>
              <w:rPr>
                <w:rFonts w:ascii="Arial" w:cs="Arial" w:eastAsia="Arial" w:hAnsi="Arial"/>
                <w:sz w:val="20"/>
                <w:szCs w:val="20"/>
                <w:color w:val="auto"/>
                <w:w w:val="92"/>
              </w:rPr>
              <w:t>Claims Against Issuing Lender</w:t>
            </w:r>
          </w:p>
        </w:tc>
        <w:tc>
          <w:tcPr>
            <w:tcW w:w="100" w:type="dxa"/>
            <w:vAlign w:val="bottom"/>
            <w:gridSpan w:val="3"/>
          </w:tcPr>
          <w:p>
            <w:pPr>
              <w:spacing w:after="0"/>
              <w:rPr>
                <w:sz w:val="24"/>
                <w:szCs w:val="24"/>
                <w:color w:val="auto"/>
              </w:rPr>
            </w:pPr>
          </w:p>
        </w:tc>
        <w:tc>
          <w:tcPr>
            <w:tcW w:w="240" w:type="dxa"/>
            <w:vAlign w:val="bottom"/>
            <w:gridSpan w:val="6"/>
          </w:tcPr>
          <w:p>
            <w:pPr>
              <w:jc w:val="right"/>
              <w:spacing w:after="0"/>
              <w:rPr>
                <w:sz w:val="20"/>
                <w:szCs w:val="20"/>
                <w:color w:val="auto"/>
              </w:rPr>
            </w:pPr>
            <w:r>
              <w:rPr>
                <w:rFonts w:ascii="Arial" w:cs="Arial" w:eastAsia="Arial" w:hAnsi="Arial"/>
                <w:sz w:val="20"/>
                <w:szCs w:val="20"/>
                <w:color w:val="FF0000"/>
                <w:strike w:val="1"/>
                <w:w w:val="98"/>
              </w:rPr>
              <w:t>50</w:t>
            </w:r>
          </w:p>
        </w:tc>
        <w:tc>
          <w:tcPr>
            <w:tcW w:w="200" w:type="dxa"/>
            <w:vAlign w:val="bottom"/>
            <w:gridSpan w:val="3"/>
          </w:tcPr>
          <w:p>
            <w:pPr>
              <w:jc w:val="right"/>
              <w:spacing w:after="0"/>
              <w:rPr>
                <w:sz w:val="20"/>
                <w:szCs w:val="20"/>
                <w:color w:val="auto"/>
              </w:rPr>
            </w:pPr>
            <w:r>
              <w:rPr>
                <w:rFonts w:ascii="Arial" w:cs="Arial" w:eastAsia="Arial" w:hAnsi="Arial"/>
                <w:sz w:val="20"/>
                <w:szCs w:val="20"/>
                <w:color w:val="0000FF"/>
                <w:w w:val="80"/>
              </w:rPr>
              <w:t>46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200" w:type="dxa"/>
            <w:vAlign w:val="bottom"/>
            <w:gridSpan w:val="2"/>
          </w:tcPr>
          <w:p>
            <w:pPr>
              <w:ind w:left="660"/>
              <w:spacing w:after="0"/>
              <w:rPr>
                <w:sz w:val="20"/>
                <w:szCs w:val="20"/>
                <w:color w:val="auto"/>
              </w:rPr>
            </w:pPr>
            <w:r>
              <w:rPr>
                <w:rFonts w:ascii="Arial" w:cs="Arial" w:eastAsia="Arial" w:hAnsi="Arial"/>
                <w:sz w:val="20"/>
                <w:szCs w:val="20"/>
                <w:color w:val="auto"/>
                <w:w w:val="92"/>
              </w:rPr>
              <w:t>3.13</w:t>
            </w:r>
          </w:p>
        </w:tc>
        <w:tc>
          <w:tcPr>
            <w:tcW w:w="1420" w:type="dxa"/>
            <w:vAlign w:val="bottom"/>
            <w:gridSpan w:val="9"/>
          </w:tcPr>
          <w:p>
            <w:pPr>
              <w:spacing w:after="0"/>
              <w:rPr>
                <w:sz w:val="20"/>
                <w:szCs w:val="20"/>
                <w:color w:val="auto"/>
              </w:rPr>
            </w:pPr>
            <w:r>
              <w:rPr>
                <w:rFonts w:ascii="Arial" w:cs="Arial" w:eastAsia="Arial" w:hAnsi="Arial"/>
                <w:sz w:val="20"/>
                <w:szCs w:val="20"/>
                <w:color w:val="auto"/>
              </w:rPr>
              <w:t>Cash Collateral</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50</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47</w:t>
            </w:r>
          </w:p>
        </w:tc>
        <w:tc>
          <w:tcPr>
            <w:tcW w:w="1040" w:type="dxa"/>
            <w:vAlign w:val="bottom"/>
            <w:gridSpan w:val="29"/>
          </w:tcPr>
          <w:p>
            <w:pPr>
              <w:spacing w:after="0"/>
              <w:rPr>
                <w:sz w:val="24"/>
                <w:szCs w:val="24"/>
                <w:color w:val="auto"/>
              </w:rPr>
            </w:pPr>
          </w:p>
        </w:tc>
        <w:tc>
          <w:tcPr>
            <w:tcW w:w="180" w:type="dxa"/>
            <w:vAlign w:val="bottom"/>
            <w:tcBorders>
              <w:top w:val="single" w:sz="8" w:color="0000FF"/>
            </w:tcBorders>
            <w:gridSpan w:val="2"/>
          </w:tcPr>
          <w:p>
            <w:pPr>
              <w:spacing w:after="0"/>
              <w:rPr>
                <w:sz w:val="24"/>
                <w:szCs w:val="24"/>
                <w:color w:val="auto"/>
              </w:rPr>
            </w:pPr>
          </w:p>
        </w:tc>
        <w:tc>
          <w:tcPr>
            <w:tcW w:w="2840" w:type="dxa"/>
            <w:vAlign w:val="bottom"/>
            <w:gridSpan w:val="24"/>
          </w:tcPr>
          <w:p>
            <w:pPr>
              <w:spacing w:after="0"/>
              <w:rPr>
                <w:sz w:val="24"/>
                <w:szCs w:val="24"/>
                <w:color w:val="auto"/>
              </w:rPr>
            </w:pPr>
          </w:p>
        </w:tc>
      </w:tr>
      <w:tr>
        <w:trPr>
          <w:trHeight w:val="277"/>
        </w:trPr>
        <w:tc>
          <w:tcPr>
            <w:tcW w:w="1040" w:type="dxa"/>
            <w:vAlign w:val="bottom"/>
          </w:tcPr>
          <w:p>
            <w:pPr>
              <w:spacing w:after="0"/>
              <w:rPr>
                <w:sz w:val="20"/>
                <w:szCs w:val="20"/>
                <w:color w:val="auto"/>
              </w:rPr>
            </w:pPr>
            <w:r>
              <w:rPr>
                <w:rFonts w:ascii="Arial" w:cs="Arial" w:eastAsia="Arial" w:hAnsi="Arial"/>
                <w:sz w:val="20"/>
                <w:szCs w:val="20"/>
                <w:color w:val="auto"/>
                <w:w w:val="96"/>
              </w:rPr>
              <w:t>SECTION 4</w:t>
            </w:r>
          </w:p>
        </w:tc>
        <w:tc>
          <w:tcPr>
            <w:tcW w:w="3980" w:type="dxa"/>
            <w:vAlign w:val="bottom"/>
            <w:gridSpan w:val="63"/>
          </w:tcPr>
          <w:p>
            <w:pPr>
              <w:ind w:left="140"/>
              <w:spacing w:after="0"/>
              <w:rPr>
                <w:sz w:val="20"/>
                <w:szCs w:val="20"/>
                <w:color w:val="auto"/>
              </w:rPr>
            </w:pPr>
            <w:r>
              <w:rPr>
                <w:rFonts w:ascii="Arial" w:cs="Arial" w:eastAsia="Arial" w:hAnsi="Arial"/>
                <w:sz w:val="20"/>
                <w:szCs w:val="20"/>
                <w:color w:val="auto"/>
                <w:w w:val="99"/>
              </w:rPr>
              <w:t>REPRESENTATIONS AND WARRANTIES</w:t>
            </w:r>
          </w:p>
        </w:tc>
        <w:tc>
          <w:tcPr>
            <w:tcW w:w="160" w:type="dxa"/>
            <w:vAlign w:val="bottom"/>
            <w:gridSpan w:val="5"/>
          </w:tcPr>
          <w:p>
            <w:pPr>
              <w:jc w:val="right"/>
              <w:spacing w:after="0"/>
              <w:rPr>
                <w:sz w:val="20"/>
                <w:szCs w:val="20"/>
                <w:color w:val="auto"/>
              </w:rPr>
            </w:pPr>
            <w:r>
              <w:rPr>
                <w:rFonts w:ascii="Arial" w:cs="Arial" w:eastAsia="Arial" w:hAnsi="Arial"/>
                <w:sz w:val="16"/>
                <w:szCs w:val="16"/>
                <w:color w:val="FF0000"/>
                <w:strike w:val="1"/>
                <w:w w:val="78"/>
              </w:rPr>
              <w:t>51</w:t>
            </w:r>
          </w:p>
        </w:tc>
        <w:tc>
          <w:tcPr>
            <w:tcW w:w="1900" w:type="dxa"/>
            <w:vAlign w:val="bottom"/>
            <w:gridSpan w:val="5"/>
          </w:tcPr>
          <w:p>
            <w:pPr>
              <w:jc w:val="right"/>
              <w:ind w:right="1601"/>
              <w:spacing w:after="0"/>
              <w:rPr>
                <w:sz w:val="20"/>
                <w:szCs w:val="20"/>
                <w:color w:val="auto"/>
              </w:rPr>
            </w:pPr>
            <w:r>
              <w:rPr>
                <w:rFonts w:ascii="Arial" w:cs="Arial" w:eastAsia="Arial" w:hAnsi="Arial"/>
                <w:sz w:val="20"/>
                <w:szCs w:val="20"/>
                <w:color w:val="0000FF"/>
                <w:w w:val="80"/>
              </w:rPr>
              <w:t>47</w:t>
            </w: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4.1</w:t>
            </w:r>
          </w:p>
        </w:tc>
        <w:tc>
          <w:tcPr>
            <w:tcW w:w="1660" w:type="dxa"/>
            <w:vAlign w:val="bottom"/>
            <w:gridSpan w:val="11"/>
          </w:tcPr>
          <w:p>
            <w:pPr>
              <w:ind w:left="60"/>
              <w:spacing w:after="0"/>
              <w:rPr>
                <w:sz w:val="20"/>
                <w:szCs w:val="20"/>
                <w:color w:val="auto"/>
              </w:rPr>
            </w:pPr>
            <w:r>
              <w:rPr>
                <w:rFonts w:ascii="Arial" w:cs="Arial" w:eastAsia="Arial" w:hAnsi="Arial"/>
                <w:sz w:val="20"/>
                <w:szCs w:val="20"/>
                <w:color w:val="auto"/>
                <w:w w:val="92"/>
              </w:rPr>
              <w:t>Financial Condition</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51</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47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139"/>
          </w:cols>
          <w:pgMar w:left="320" w:top="1440" w:right="1440" w:bottom="1440" w:gutter="0" w:footer="0" w:header="0"/>
        </w:sectPr>
      </w:pPr>
    </w:p>
    <w:bookmarkStart w:id="52" w:name="page53"/>
    <w:bookmarkEnd w:id="52"/>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660"/>
              <w:spacing w:after="0"/>
              <w:rPr>
                <w:sz w:val="20"/>
                <w:szCs w:val="20"/>
                <w:color w:val="auto"/>
              </w:rPr>
            </w:pPr>
            <w:r>
              <w:rPr>
                <w:rFonts w:ascii="Arial" w:cs="Arial" w:eastAsia="Arial" w:hAnsi="Arial"/>
                <w:sz w:val="20"/>
                <w:szCs w:val="20"/>
                <w:color w:val="auto"/>
              </w:rPr>
              <w:t>4.2</w:t>
            </w:r>
          </w:p>
        </w:tc>
        <w:tc>
          <w:tcPr>
            <w:tcW w:w="2460" w:type="dxa"/>
            <w:vAlign w:val="bottom"/>
            <w:gridSpan w:val="33"/>
          </w:tcPr>
          <w:p>
            <w:pPr>
              <w:ind w:left="60"/>
              <w:spacing w:after="0"/>
              <w:rPr>
                <w:sz w:val="20"/>
                <w:szCs w:val="20"/>
                <w:color w:val="auto"/>
              </w:rPr>
            </w:pPr>
            <w:r>
              <w:rPr>
                <w:rFonts w:ascii="Arial" w:cs="Arial" w:eastAsia="Arial" w:hAnsi="Arial"/>
                <w:sz w:val="20"/>
                <w:szCs w:val="20"/>
                <w:color w:val="auto"/>
              </w:rPr>
              <w:t>No Material Adverse Effect</w:t>
            </w: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51</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48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rPr>
              <w:t>4.3</w:t>
            </w:r>
          </w:p>
        </w:tc>
        <w:tc>
          <w:tcPr>
            <w:tcW w:w="2740" w:type="dxa"/>
            <w:vAlign w:val="bottom"/>
            <w:gridSpan w:val="39"/>
          </w:tcPr>
          <w:p>
            <w:pPr>
              <w:ind w:left="60"/>
              <w:spacing w:after="0"/>
              <w:rPr>
                <w:sz w:val="20"/>
                <w:szCs w:val="20"/>
                <w:color w:val="auto"/>
              </w:rPr>
            </w:pPr>
            <w:r>
              <w:rPr>
                <w:rFonts w:ascii="Arial" w:cs="Arial" w:eastAsia="Arial" w:hAnsi="Arial"/>
                <w:sz w:val="20"/>
                <w:szCs w:val="20"/>
                <w:color w:val="auto"/>
                <w:w w:val="91"/>
              </w:rPr>
              <w:t>Existence; Compliance With Law</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51</w:t>
            </w:r>
          </w:p>
        </w:tc>
        <w:tc>
          <w:tcPr>
            <w:tcW w:w="240" w:type="dxa"/>
            <w:vAlign w:val="bottom"/>
            <w:gridSpan w:val="5"/>
          </w:tcPr>
          <w:p>
            <w:pPr>
              <w:jc w:val="right"/>
              <w:spacing w:after="0"/>
              <w:rPr>
                <w:sz w:val="20"/>
                <w:szCs w:val="20"/>
                <w:color w:val="auto"/>
              </w:rPr>
            </w:pPr>
            <w:r>
              <w:rPr>
                <w:rFonts w:ascii="Arial" w:cs="Arial" w:eastAsia="Arial" w:hAnsi="Arial"/>
                <w:sz w:val="20"/>
                <w:szCs w:val="20"/>
                <w:color w:val="0000FF"/>
                <w:w w:val="71"/>
              </w:rPr>
              <w:t>48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180" w:type="dxa"/>
            <w:vAlign w:val="bottom"/>
            <w:tcBorders>
              <w:right w:val="single" w:sz="8" w:color="0000FF"/>
            </w:tcBorders>
            <w:gridSpan w:val="50"/>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4.4</w:t>
            </w:r>
          </w:p>
        </w:tc>
        <w:tc>
          <w:tcPr>
            <w:tcW w:w="3860" w:type="dxa"/>
            <w:vAlign w:val="bottom"/>
            <w:gridSpan w:val="59"/>
          </w:tcPr>
          <w:p>
            <w:pPr>
              <w:ind w:left="60"/>
              <w:spacing w:after="0"/>
              <w:rPr>
                <w:sz w:val="20"/>
                <w:szCs w:val="20"/>
                <w:color w:val="auto"/>
              </w:rPr>
            </w:pPr>
            <w:r>
              <w:rPr>
                <w:rFonts w:ascii="Arial" w:cs="Arial" w:eastAsia="Arial" w:hAnsi="Arial"/>
                <w:sz w:val="20"/>
                <w:szCs w:val="20"/>
                <w:color w:val="auto"/>
                <w:w w:val="92"/>
              </w:rPr>
              <w:t>Power; Authorization; Enforceable Obligations</w:t>
            </w:r>
          </w:p>
        </w:tc>
        <w:tc>
          <w:tcPr>
            <w:tcW w:w="340" w:type="dxa"/>
            <w:vAlign w:val="bottom"/>
            <w:gridSpan w:val="3"/>
          </w:tcPr>
          <w:p>
            <w:pPr>
              <w:jc w:val="right"/>
              <w:spacing w:after="0"/>
              <w:rPr>
                <w:sz w:val="20"/>
                <w:szCs w:val="20"/>
                <w:color w:val="auto"/>
              </w:rPr>
            </w:pPr>
            <w:r>
              <w:rPr>
                <w:rFonts w:ascii="Arial" w:cs="Arial" w:eastAsia="Arial" w:hAnsi="Arial"/>
                <w:sz w:val="20"/>
                <w:szCs w:val="20"/>
                <w:color w:val="FF0000"/>
                <w:strike w:val="1"/>
              </w:rPr>
              <w:t>51</w:t>
            </w:r>
          </w:p>
        </w:tc>
        <w:tc>
          <w:tcPr>
            <w:tcW w:w="520" w:type="dxa"/>
            <w:vAlign w:val="bottom"/>
            <w:gridSpan w:val="3"/>
          </w:tcPr>
          <w:p>
            <w:pPr>
              <w:jc w:val="right"/>
              <w:ind w:right="320"/>
              <w:spacing w:after="0"/>
              <w:rPr>
                <w:sz w:val="20"/>
                <w:szCs w:val="20"/>
                <w:color w:val="auto"/>
              </w:rPr>
            </w:pPr>
            <w:r>
              <w:rPr>
                <w:rFonts w:ascii="Arial" w:cs="Arial" w:eastAsia="Arial" w:hAnsi="Arial"/>
                <w:sz w:val="20"/>
                <w:szCs w:val="20"/>
                <w:color w:val="0000FF"/>
                <w:w w:val="80"/>
              </w:rPr>
              <w:t>48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rPr>
              <w:t>4.5</w:t>
            </w:r>
          </w:p>
        </w:tc>
        <w:tc>
          <w:tcPr>
            <w:tcW w:w="1340" w:type="dxa"/>
            <w:vAlign w:val="bottom"/>
            <w:gridSpan w:val="11"/>
          </w:tcPr>
          <w:p>
            <w:pPr>
              <w:ind w:left="60"/>
              <w:spacing w:after="0"/>
              <w:rPr>
                <w:sz w:val="20"/>
                <w:szCs w:val="20"/>
                <w:color w:val="auto"/>
              </w:rPr>
            </w:pPr>
            <w:r>
              <w:rPr>
                <w:rFonts w:ascii="Arial" w:cs="Arial" w:eastAsia="Arial" w:hAnsi="Arial"/>
                <w:sz w:val="20"/>
                <w:szCs w:val="20"/>
                <w:color w:val="auto"/>
              </w:rPr>
              <w:t>No Legal Bar</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52</w:t>
            </w:r>
          </w:p>
        </w:tc>
        <w:tc>
          <w:tcPr>
            <w:tcW w:w="280" w:type="dxa"/>
            <w:vAlign w:val="bottom"/>
            <w:gridSpan w:val="4"/>
          </w:tcPr>
          <w:p>
            <w:pPr>
              <w:jc w:val="right"/>
              <w:ind w:right="80"/>
              <w:spacing w:after="0"/>
              <w:rPr>
                <w:sz w:val="20"/>
                <w:szCs w:val="20"/>
                <w:color w:val="auto"/>
              </w:rPr>
            </w:pPr>
            <w:r>
              <w:rPr>
                <w:rFonts w:ascii="Arial" w:cs="Arial" w:eastAsia="Arial" w:hAnsi="Arial"/>
                <w:sz w:val="20"/>
                <w:szCs w:val="20"/>
                <w:color w:val="0000FF"/>
                <w:w w:val="80"/>
              </w:rPr>
              <w:t>48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4.6</w:t>
            </w:r>
          </w:p>
        </w:tc>
        <w:tc>
          <w:tcPr>
            <w:tcW w:w="1040" w:type="dxa"/>
            <w:vAlign w:val="bottom"/>
            <w:gridSpan w:val="4"/>
          </w:tcPr>
          <w:p>
            <w:pPr>
              <w:ind w:left="60"/>
              <w:spacing w:after="0"/>
              <w:rPr>
                <w:sz w:val="20"/>
                <w:szCs w:val="20"/>
                <w:color w:val="auto"/>
              </w:rPr>
            </w:pPr>
            <w:r>
              <w:rPr>
                <w:rFonts w:ascii="Arial" w:cs="Arial" w:eastAsia="Arial" w:hAnsi="Arial"/>
                <w:sz w:val="20"/>
                <w:szCs w:val="20"/>
                <w:color w:val="auto"/>
                <w:w w:val="97"/>
              </w:rPr>
              <w:t>Litigation</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52</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49</w:t>
            </w:r>
          </w:p>
        </w:tc>
        <w:tc>
          <w:tcPr>
            <w:tcW w:w="100" w:type="dxa"/>
            <w:vAlign w:val="bottom"/>
            <w:gridSpan w:val="3"/>
          </w:tcPr>
          <w:p>
            <w:pPr>
              <w:spacing w:after="0"/>
              <w:rPr>
                <w:sz w:val="24"/>
                <w:szCs w:val="24"/>
                <w:color w:val="auto"/>
              </w:rPr>
            </w:pPr>
          </w:p>
        </w:tc>
        <w:tc>
          <w:tcPr>
            <w:tcW w:w="200" w:type="dxa"/>
            <w:vAlign w:val="bottom"/>
            <w:tcBorders>
              <w:top w:val="single" w:sz="8" w:color="0000FF"/>
            </w:tcBorders>
            <w:gridSpan w:val="3"/>
          </w:tcPr>
          <w:p>
            <w:pPr>
              <w:spacing w:after="0"/>
              <w:rPr>
                <w:sz w:val="24"/>
                <w:szCs w:val="24"/>
                <w:color w:val="auto"/>
              </w:rPr>
            </w:pPr>
          </w:p>
        </w:tc>
        <w:tc>
          <w:tcPr>
            <w:tcW w:w="3380" w:type="dxa"/>
            <w:vAlign w:val="bottom"/>
            <w:gridSpan w:val="49"/>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4.7</w:t>
            </w:r>
          </w:p>
        </w:tc>
        <w:tc>
          <w:tcPr>
            <w:tcW w:w="1120" w:type="dxa"/>
            <w:vAlign w:val="bottom"/>
            <w:gridSpan w:val="7"/>
          </w:tcPr>
          <w:p>
            <w:pPr>
              <w:ind w:left="60"/>
              <w:spacing w:after="0"/>
              <w:rPr>
                <w:sz w:val="20"/>
                <w:szCs w:val="20"/>
                <w:color w:val="auto"/>
              </w:rPr>
            </w:pPr>
            <w:r>
              <w:rPr>
                <w:rFonts w:ascii="Arial" w:cs="Arial" w:eastAsia="Arial" w:hAnsi="Arial"/>
                <w:sz w:val="20"/>
                <w:szCs w:val="20"/>
                <w:color w:val="auto"/>
              </w:rPr>
              <w:t>No Default</w:t>
            </w:r>
          </w:p>
        </w:tc>
        <w:tc>
          <w:tcPr>
            <w:tcW w:w="220" w:type="dxa"/>
            <w:vAlign w:val="bottom"/>
            <w:gridSpan w:val="4"/>
          </w:tcPr>
          <w:p>
            <w:pPr>
              <w:ind w:left="20"/>
              <w:spacing w:after="0"/>
              <w:rPr>
                <w:sz w:val="20"/>
                <w:szCs w:val="20"/>
                <w:color w:val="auto"/>
              </w:rPr>
            </w:pPr>
            <w:r>
              <w:rPr>
                <w:rFonts w:ascii="Arial" w:cs="Arial" w:eastAsia="Arial" w:hAnsi="Arial"/>
                <w:sz w:val="20"/>
                <w:szCs w:val="20"/>
                <w:color w:val="FF0000"/>
                <w:strike w:val="1"/>
                <w:w w:val="80"/>
              </w:rPr>
              <w:t>52</w:t>
            </w:r>
          </w:p>
        </w:tc>
        <w:tc>
          <w:tcPr>
            <w:tcW w:w="22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49</w:t>
            </w:r>
          </w:p>
        </w:tc>
        <w:tc>
          <w:tcPr>
            <w:tcW w:w="3560" w:type="dxa"/>
            <w:vAlign w:val="bottom"/>
            <w:gridSpan w:val="51"/>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rPr>
              <w:t>4.8</w:t>
            </w:r>
          </w:p>
        </w:tc>
        <w:tc>
          <w:tcPr>
            <w:tcW w:w="720" w:type="dxa"/>
            <w:vAlign w:val="bottom"/>
          </w:tcPr>
          <w:p>
            <w:pPr>
              <w:ind w:left="60"/>
              <w:spacing w:after="0"/>
              <w:rPr>
                <w:sz w:val="20"/>
                <w:szCs w:val="20"/>
                <w:color w:val="auto"/>
              </w:rPr>
            </w:pPr>
            <w:r>
              <w:rPr>
                <w:rFonts w:ascii="Arial" w:cs="Arial" w:eastAsia="Arial" w:hAnsi="Arial"/>
                <w:sz w:val="20"/>
                <w:szCs w:val="20"/>
                <w:color w:val="auto"/>
              </w:rPr>
              <w:t>Taxes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52</w:t>
            </w:r>
          </w:p>
        </w:tc>
        <w:tc>
          <w:tcPr>
            <w:tcW w:w="18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71"/>
              </w:rPr>
              <w:t>49</w:t>
            </w:r>
          </w:p>
        </w:tc>
        <w:tc>
          <w:tcPr>
            <w:tcW w:w="4020" w:type="dxa"/>
            <w:vAlign w:val="bottom"/>
            <w:gridSpan w:val="61"/>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rPr>
              <w:t>4.9</w:t>
            </w:r>
          </w:p>
        </w:tc>
        <w:tc>
          <w:tcPr>
            <w:tcW w:w="1820" w:type="dxa"/>
            <w:vAlign w:val="bottom"/>
            <w:gridSpan w:val="19"/>
          </w:tcPr>
          <w:p>
            <w:pPr>
              <w:ind w:left="60"/>
              <w:spacing w:after="0"/>
              <w:rPr>
                <w:sz w:val="20"/>
                <w:szCs w:val="20"/>
                <w:color w:val="auto"/>
              </w:rPr>
            </w:pPr>
            <w:r>
              <w:rPr>
                <w:rFonts w:ascii="Arial" w:cs="Arial" w:eastAsia="Arial" w:hAnsi="Arial"/>
                <w:sz w:val="20"/>
                <w:szCs w:val="20"/>
                <w:color w:val="auto"/>
                <w:w w:val="97"/>
              </w:rPr>
              <w:t>Federal Regulations</w:t>
            </w:r>
          </w:p>
        </w:tc>
        <w:tc>
          <w:tcPr>
            <w:tcW w:w="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52</w:t>
            </w:r>
          </w:p>
        </w:tc>
        <w:tc>
          <w:tcPr>
            <w:tcW w:w="240" w:type="dxa"/>
            <w:vAlign w:val="bottom"/>
            <w:gridSpan w:val="5"/>
          </w:tcPr>
          <w:p>
            <w:pPr>
              <w:spacing w:after="0"/>
              <w:rPr>
                <w:sz w:val="20"/>
                <w:szCs w:val="20"/>
                <w:color w:val="auto"/>
              </w:rPr>
            </w:pPr>
            <w:r>
              <w:rPr>
                <w:rFonts w:ascii="Arial" w:cs="Arial" w:eastAsia="Arial" w:hAnsi="Arial"/>
                <w:sz w:val="20"/>
                <w:szCs w:val="20"/>
                <w:color w:val="0000FF"/>
                <w:w w:val="98"/>
              </w:rPr>
              <w:t>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4.10</w:t>
            </w:r>
          </w:p>
        </w:tc>
        <w:tc>
          <w:tcPr>
            <w:tcW w:w="920" w:type="dxa"/>
            <w:vAlign w:val="bottom"/>
            <w:gridSpan w:val="3"/>
          </w:tcPr>
          <w:p>
            <w:pPr>
              <w:ind w:left="160"/>
              <w:spacing w:after="0"/>
              <w:rPr>
                <w:sz w:val="20"/>
                <w:szCs w:val="20"/>
                <w:color w:val="auto"/>
              </w:rPr>
            </w:pPr>
            <w:r>
              <w:rPr>
                <w:rFonts w:ascii="Arial" w:cs="Arial" w:eastAsia="Arial" w:hAnsi="Arial"/>
                <w:sz w:val="20"/>
                <w:szCs w:val="20"/>
                <w:color w:val="auto"/>
              </w:rPr>
              <w:t>ERISA</w:t>
            </w:r>
          </w:p>
        </w:tc>
        <w:tc>
          <w:tcPr>
            <w:tcW w:w="200" w:type="dxa"/>
            <w:vAlign w:val="bottom"/>
            <w:gridSpan w:val="4"/>
          </w:tcPr>
          <w:p>
            <w:pPr>
              <w:spacing w:after="0"/>
              <w:rPr>
                <w:sz w:val="20"/>
                <w:szCs w:val="20"/>
                <w:color w:val="auto"/>
              </w:rPr>
            </w:pPr>
            <w:r>
              <w:rPr>
                <w:rFonts w:ascii="Arial" w:cs="Arial" w:eastAsia="Arial" w:hAnsi="Arial"/>
                <w:sz w:val="20"/>
                <w:szCs w:val="20"/>
                <w:color w:val="FF0000"/>
                <w:strike w:val="1"/>
                <w:w w:val="80"/>
              </w:rPr>
              <w:t>53</w:t>
            </w:r>
          </w:p>
        </w:tc>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71"/>
              </w:rPr>
              <w:t>49</w:t>
            </w:r>
          </w:p>
        </w:tc>
        <w:tc>
          <w:tcPr>
            <w:tcW w:w="720" w:type="dxa"/>
            <w:vAlign w:val="bottom"/>
            <w:gridSpan w:val="13"/>
          </w:tcPr>
          <w:p>
            <w:pPr>
              <w:spacing w:after="0"/>
              <w:rPr>
                <w:sz w:val="24"/>
                <w:szCs w:val="24"/>
                <w:color w:val="auto"/>
              </w:rPr>
            </w:pPr>
          </w:p>
        </w:tc>
        <w:tc>
          <w:tcPr>
            <w:tcW w:w="200" w:type="dxa"/>
            <w:vAlign w:val="bottom"/>
            <w:tcBorders>
              <w:top w:val="single" w:sz="8" w:color="0000FF"/>
            </w:tcBorders>
            <w:gridSpan w:val="4"/>
          </w:tcPr>
          <w:p>
            <w:pPr>
              <w:spacing w:after="0"/>
              <w:rPr>
                <w:sz w:val="24"/>
                <w:szCs w:val="24"/>
                <w:color w:val="auto"/>
              </w:rPr>
            </w:pPr>
          </w:p>
        </w:tc>
        <w:tc>
          <w:tcPr>
            <w:tcW w:w="2880" w:type="dxa"/>
            <w:vAlign w:val="bottom"/>
            <w:gridSpan w:val="40"/>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4.11</w:t>
            </w:r>
          </w:p>
        </w:tc>
        <w:tc>
          <w:tcPr>
            <w:tcW w:w="3860" w:type="dxa"/>
            <w:vAlign w:val="bottom"/>
            <w:gridSpan w:val="59"/>
          </w:tcPr>
          <w:p>
            <w:pPr>
              <w:ind w:left="160"/>
              <w:spacing w:after="0"/>
              <w:rPr>
                <w:sz w:val="20"/>
                <w:szCs w:val="20"/>
                <w:color w:val="auto"/>
              </w:rPr>
            </w:pPr>
            <w:r>
              <w:rPr>
                <w:rFonts w:ascii="Arial" w:cs="Arial" w:eastAsia="Arial" w:hAnsi="Arial"/>
                <w:sz w:val="20"/>
                <w:szCs w:val="20"/>
                <w:color w:val="auto"/>
                <w:w w:val="92"/>
              </w:rPr>
              <w:t>Investment Company Act; Other Regulations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rPr>
              <w:t>53</w:t>
            </w:r>
          </w:p>
        </w:tc>
        <w:tc>
          <w:tcPr>
            <w:tcW w:w="260" w:type="dxa"/>
            <w:vAlign w:val="bottom"/>
            <w:gridSpan w:val="3"/>
          </w:tcPr>
          <w:p>
            <w:pPr>
              <w:jc w:val="right"/>
              <w:ind w:right="80"/>
              <w:spacing w:after="0"/>
              <w:rPr>
                <w:sz w:val="20"/>
                <w:szCs w:val="20"/>
                <w:color w:val="auto"/>
              </w:rPr>
            </w:pPr>
            <w:r>
              <w:rPr>
                <w:rFonts w:ascii="Arial" w:cs="Arial" w:eastAsia="Arial" w:hAnsi="Arial"/>
                <w:sz w:val="20"/>
                <w:szCs w:val="20"/>
                <w:color w:val="0000FF"/>
                <w:w w:val="71"/>
              </w:rPr>
              <w:t>50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4.12</w:t>
            </w:r>
          </w:p>
        </w:tc>
        <w:tc>
          <w:tcPr>
            <w:tcW w:w="2140" w:type="dxa"/>
            <w:vAlign w:val="bottom"/>
            <w:gridSpan w:val="25"/>
          </w:tcPr>
          <w:p>
            <w:pPr>
              <w:ind w:left="160"/>
              <w:spacing w:after="0"/>
              <w:rPr>
                <w:sz w:val="20"/>
                <w:szCs w:val="20"/>
                <w:color w:val="auto"/>
              </w:rPr>
            </w:pPr>
            <w:r>
              <w:rPr>
                <w:rFonts w:ascii="Arial" w:cs="Arial" w:eastAsia="Arial" w:hAnsi="Arial"/>
                <w:sz w:val="20"/>
                <w:szCs w:val="20"/>
                <w:color w:val="auto"/>
                <w:w w:val="96"/>
              </w:rPr>
              <w:t>Environmental Matters</w:t>
            </w:r>
          </w:p>
        </w:tc>
        <w:tc>
          <w:tcPr>
            <w:tcW w:w="240" w:type="dxa"/>
            <w:vAlign w:val="bottom"/>
            <w:gridSpan w:val="7"/>
          </w:tcPr>
          <w:p>
            <w:pPr>
              <w:jc w:val="right"/>
              <w:spacing w:after="0"/>
              <w:rPr>
                <w:sz w:val="20"/>
                <w:szCs w:val="20"/>
                <w:color w:val="auto"/>
              </w:rPr>
            </w:pPr>
            <w:r>
              <w:rPr>
                <w:rFonts w:ascii="Arial" w:cs="Arial" w:eastAsia="Arial" w:hAnsi="Arial"/>
                <w:sz w:val="20"/>
                <w:szCs w:val="20"/>
                <w:color w:val="FF0000"/>
                <w:strike w:val="1"/>
                <w:w w:val="98"/>
              </w:rPr>
              <w:t>53</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50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4.13</w:t>
            </w:r>
          </w:p>
        </w:tc>
        <w:tc>
          <w:tcPr>
            <w:tcW w:w="2660" w:type="dxa"/>
            <w:vAlign w:val="bottom"/>
            <w:gridSpan w:val="38"/>
          </w:tcPr>
          <w:p>
            <w:pPr>
              <w:ind w:left="140"/>
              <w:spacing w:after="0"/>
              <w:rPr>
                <w:sz w:val="20"/>
                <w:szCs w:val="20"/>
                <w:color w:val="auto"/>
              </w:rPr>
            </w:pPr>
            <w:r>
              <w:rPr>
                <w:rFonts w:ascii="Arial" w:cs="Arial" w:eastAsia="Arial" w:hAnsi="Arial"/>
                <w:sz w:val="20"/>
                <w:szCs w:val="20"/>
                <w:color w:val="auto"/>
                <w:w w:val="99"/>
              </w:rPr>
              <w:t>Accuracy of Information, Etc</w:t>
            </w:r>
          </w:p>
        </w:tc>
        <w:tc>
          <w:tcPr>
            <w:tcW w:w="2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54</w:t>
            </w:r>
          </w:p>
        </w:tc>
        <w:tc>
          <w:tcPr>
            <w:tcW w:w="220" w:type="dxa"/>
            <w:vAlign w:val="bottom"/>
            <w:gridSpan w:val="4"/>
          </w:tcPr>
          <w:p>
            <w:pPr>
              <w:jc w:val="right"/>
              <w:ind w:right="20"/>
              <w:spacing w:after="0"/>
              <w:rPr>
                <w:sz w:val="20"/>
                <w:szCs w:val="20"/>
                <w:color w:val="auto"/>
              </w:rPr>
            </w:pPr>
            <w:r>
              <w:rPr>
                <w:rFonts w:ascii="Arial" w:cs="Arial" w:eastAsia="Arial" w:hAnsi="Arial"/>
                <w:sz w:val="20"/>
                <w:szCs w:val="20"/>
                <w:color w:val="0000FF"/>
                <w:w w:val="80"/>
              </w:rPr>
              <w:t>50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4.14</w:t>
            </w:r>
          </w:p>
        </w:tc>
        <w:tc>
          <w:tcPr>
            <w:tcW w:w="1820" w:type="dxa"/>
            <w:vAlign w:val="bottom"/>
            <w:gridSpan w:val="19"/>
          </w:tcPr>
          <w:p>
            <w:pPr>
              <w:ind w:left="160"/>
              <w:spacing w:after="0"/>
              <w:rPr>
                <w:sz w:val="20"/>
                <w:szCs w:val="20"/>
                <w:color w:val="auto"/>
              </w:rPr>
            </w:pPr>
            <w:r>
              <w:rPr>
                <w:rFonts w:ascii="Arial" w:cs="Arial" w:eastAsia="Arial" w:hAnsi="Arial"/>
                <w:sz w:val="20"/>
                <w:szCs w:val="20"/>
                <w:color w:val="auto"/>
                <w:w w:val="97"/>
              </w:rPr>
              <w:t>Regulatory Matters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4"/>
          </w:tcPr>
          <w:p>
            <w:pPr>
              <w:jc w:val="right"/>
              <w:ind w:right="60"/>
              <w:spacing w:after="0"/>
              <w:rPr>
                <w:sz w:val="20"/>
                <w:szCs w:val="20"/>
                <w:color w:val="auto"/>
              </w:rPr>
            </w:pPr>
            <w:r>
              <w:rPr>
                <w:rFonts w:ascii="Arial" w:cs="Arial" w:eastAsia="Arial" w:hAnsi="Arial"/>
                <w:sz w:val="20"/>
                <w:szCs w:val="20"/>
                <w:color w:val="FF0000"/>
                <w:strike w:val="1"/>
                <w:w w:val="80"/>
              </w:rPr>
              <w:t>54</w:t>
            </w:r>
          </w:p>
        </w:tc>
        <w:tc>
          <w:tcPr>
            <w:tcW w:w="160" w:type="dxa"/>
            <w:vAlign w:val="bottom"/>
            <w:gridSpan w:val="4"/>
          </w:tcPr>
          <w:p>
            <w:pPr>
              <w:jc w:val="right"/>
              <w:ind w:right="20"/>
              <w:spacing w:after="0"/>
              <w:rPr>
                <w:sz w:val="20"/>
                <w:szCs w:val="20"/>
                <w:color w:val="auto"/>
              </w:rPr>
            </w:pPr>
            <w:r>
              <w:rPr>
                <w:rFonts w:ascii="Arial" w:cs="Arial" w:eastAsia="Arial" w:hAnsi="Arial"/>
                <w:sz w:val="15"/>
                <w:szCs w:val="15"/>
                <w:color w:val="0000FF"/>
                <w:w w:val="71"/>
              </w:rPr>
              <w:t>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4.15</w:t>
            </w:r>
          </w:p>
        </w:tc>
        <w:tc>
          <w:tcPr>
            <w:tcW w:w="3660" w:type="dxa"/>
            <w:vAlign w:val="bottom"/>
            <w:gridSpan w:val="57"/>
          </w:tcPr>
          <w:p>
            <w:pPr>
              <w:ind w:left="160"/>
              <w:spacing w:after="0"/>
              <w:rPr>
                <w:sz w:val="20"/>
                <w:szCs w:val="20"/>
                <w:color w:val="auto"/>
              </w:rPr>
            </w:pPr>
            <w:r>
              <w:rPr>
                <w:rFonts w:ascii="Arial" w:cs="Arial" w:eastAsia="Arial" w:hAnsi="Arial"/>
                <w:sz w:val="20"/>
                <w:szCs w:val="20"/>
                <w:color w:val="auto"/>
                <w:w w:val="94"/>
              </w:rPr>
              <w:t>Burdensome Contractual Obligations, Etc</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54</w:t>
            </w:r>
          </w:p>
        </w:tc>
        <w:tc>
          <w:tcPr>
            <w:tcW w:w="860" w:type="dxa"/>
            <w:vAlign w:val="bottom"/>
            <w:gridSpan w:val="6"/>
          </w:tcPr>
          <w:p>
            <w:pPr>
              <w:jc w:val="right"/>
              <w:ind w:right="660"/>
              <w:spacing w:after="0"/>
              <w:rPr>
                <w:sz w:val="20"/>
                <w:szCs w:val="20"/>
                <w:color w:val="auto"/>
              </w:rPr>
            </w:pPr>
            <w:r>
              <w:rPr>
                <w:rFonts w:ascii="Arial" w:cs="Arial" w:eastAsia="Arial" w:hAnsi="Arial"/>
                <w:sz w:val="20"/>
                <w:szCs w:val="20"/>
                <w:color w:val="0000FF"/>
                <w:w w:val="80"/>
              </w:rPr>
              <w:t>51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4.16</w:t>
            </w:r>
          </w:p>
        </w:tc>
        <w:tc>
          <w:tcPr>
            <w:tcW w:w="2460" w:type="dxa"/>
            <w:vAlign w:val="bottom"/>
            <w:gridSpan w:val="33"/>
          </w:tcPr>
          <w:p>
            <w:pPr>
              <w:ind w:left="160"/>
              <w:spacing w:after="0"/>
              <w:rPr>
                <w:sz w:val="20"/>
                <w:szCs w:val="20"/>
                <w:color w:val="auto"/>
              </w:rPr>
            </w:pPr>
            <w:r>
              <w:rPr>
                <w:rFonts w:ascii="Arial" w:cs="Arial" w:eastAsia="Arial" w:hAnsi="Arial"/>
                <w:sz w:val="20"/>
                <w:szCs w:val="20"/>
                <w:color w:val="auto"/>
                <w:w w:val="93"/>
              </w:rPr>
              <w:t>Foreign Assets Control, Etc</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54</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51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4.17</w:t>
            </w:r>
          </w:p>
        </w:tc>
        <w:tc>
          <w:tcPr>
            <w:tcW w:w="1060" w:type="dxa"/>
            <w:vAlign w:val="bottom"/>
            <w:gridSpan w:val="5"/>
          </w:tcPr>
          <w:p>
            <w:pPr>
              <w:ind w:left="160"/>
              <w:spacing w:after="0"/>
              <w:rPr>
                <w:sz w:val="20"/>
                <w:szCs w:val="20"/>
                <w:color w:val="auto"/>
              </w:rPr>
            </w:pPr>
            <w:r>
              <w:rPr>
                <w:rFonts w:ascii="Arial" w:cs="Arial" w:eastAsia="Arial" w:hAnsi="Arial"/>
                <w:sz w:val="20"/>
                <w:szCs w:val="20"/>
                <w:color w:val="auto"/>
              </w:rPr>
              <w:t>Solvency</w:t>
            </w:r>
          </w:p>
        </w:tc>
        <w:tc>
          <w:tcPr>
            <w:tcW w:w="260" w:type="dxa"/>
            <w:vAlign w:val="bottom"/>
            <w:gridSpan w:val="5"/>
          </w:tcPr>
          <w:p>
            <w:pPr>
              <w:jc w:val="right"/>
              <w:ind w:right="20"/>
              <w:spacing w:after="0"/>
              <w:rPr>
                <w:sz w:val="20"/>
                <w:szCs w:val="20"/>
                <w:color w:val="auto"/>
              </w:rPr>
            </w:pPr>
            <w:r>
              <w:rPr>
                <w:rFonts w:ascii="Arial" w:cs="Arial" w:eastAsia="Arial" w:hAnsi="Arial"/>
                <w:sz w:val="20"/>
                <w:szCs w:val="20"/>
                <w:color w:val="FF0000"/>
                <w:strike w:val="1"/>
                <w:w w:val="98"/>
              </w:rPr>
              <w:t>55</w:t>
            </w:r>
          </w:p>
        </w:tc>
        <w:tc>
          <w:tcPr>
            <w:tcW w:w="3800" w:type="dxa"/>
            <w:vAlign w:val="bottom"/>
            <w:gridSpan w:val="57"/>
          </w:tcPr>
          <w:p>
            <w:pPr>
              <w:jc w:val="right"/>
              <w:ind w:right="3521"/>
              <w:spacing w:after="0"/>
              <w:rPr>
                <w:sz w:val="20"/>
                <w:szCs w:val="20"/>
                <w:color w:val="auto"/>
              </w:rPr>
            </w:pPr>
            <w:r>
              <w:rPr>
                <w:rFonts w:ascii="Arial" w:cs="Arial" w:eastAsia="Arial" w:hAnsi="Arial"/>
                <w:sz w:val="20"/>
                <w:szCs w:val="20"/>
                <w:color w:val="0000FF"/>
                <w:w w:val="71"/>
              </w:rPr>
              <w:t>52</w:t>
            </w:r>
          </w:p>
        </w:tc>
      </w:tr>
      <w:tr>
        <w:trPr>
          <w:trHeight w:val="20"/>
        </w:trPr>
        <w:tc>
          <w:tcPr>
            <w:tcW w:w="2360" w:type="dxa"/>
            <w:vAlign w:val="bottom"/>
            <w:tcBorders>
              <w:right w:val="single" w:sz="8" w:color="0000FF"/>
            </w:tcBorders>
            <w:gridSpan w:val="11"/>
          </w:tcPr>
          <w:p>
            <w:pPr>
              <w:spacing w:after="0" w:line="20" w:lineRule="exact"/>
              <w:rPr>
                <w:sz w:val="1"/>
                <w:szCs w:val="1"/>
                <w:color w:val="auto"/>
              </w:rPr>
            </w:pPr>
          </w:p>
        </w:tc>
        <w:tc>
          <w:tcPr>
            <w:tcW w:w="3800" w:type="dxa"/>
            <w:vAlign w:val="bottom"/>
            <w:gridSpan w:val="57"/>
            <w:shd w:val="clear" w:color="auto" w:fill="0000FF"/>
          </w:tcPr>
          <w:p>
            <w:pPr>
              <w:spacing w:after="0" w:line="20" w:lineRule="exact"/>
              <w:rPr>
                <w:sz w:val="1"/>
                <w:szCs w:val="1"/>
                <w:color w:val="auto"/>
              </w:rPr>
            </w:pPr>
          </w:p>
        </w:tc>
      </w:tr>
      <w:tr>
        <w:trPr>
          <w:trHeight w:val="290"/>
        </w:trPr>
        <w:tc>
          <w:tcPr>
            <w:tcW w:w="2160" w:type="dxa"/>
            <w:vAlign w:val="bottom"/>
            <w:gridSpan w:val="8"/>
          </w:tcPr>
          <w:p>
            <w:pPr>
              <w:ind w:left="660"/>
              <w:spacing w:after="0"/>
              <w:rPr>
                <w:sz w:val="20"/>
                <w:szCs w:val="20"/>
                <w:color w:val="auto"/>
              </w:rPr>
            </w:pPr>
            <w:r>
              <w:rPr>
                <w:rFonts w:ascii="Arial" w:cs="Arial" w:eastAsia="Arial" w:hAnsi="Arial"/>
                <w:sz w:val="20"/>
                <w:szCs w:val="20"/>
                <w:color w:val="auto"/>
              </w:rPr>
              <w:t>4.18  Insurance</w:t>
            </w: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71"/>
              </w:rPr>
              <w:t>55</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52</w:t>
            </w:r>
          </w:p>
        </w:tc>
        <w:tc>
          <w:tcPr>
            <w:tcW w:w="1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spacing w:after="0"/>
              <w:rPr>
                <w:sz w:val="20"/>
                <w:szCs w:val="20"/>
                <w:color w:val="auto"/>
              </w:rPr>
            </w:pPr>
            <w:r>
              <w:rPr>
                <w:rFonts w:ascii="Arial" w:cs="Arial" w:eastAsia="Arial" w:hAnsi="Arial"/>
                <w:sz w:val="20"/>
                <w:szCs w:val="20"/>
                <w:color w:val="auto"/>
                <w:w w:val="96"/>
              </w:rPr>
              <w:t>SECTION 5</w:t>
            </w:r>
          </w:p>
        </w:tc>
        <w:tc>
          <w:tcPr>
            <w:tcW w:w="2660" w:type="dxa"/>
            <w:vAlign w:val="bottom"/>
            <w:gridSpan w:val="38"/>
          </w:tcPr>
          <w:p>
            <w:pPr>
              <w:ind w:left="140"/>
              <w:spacing w:after="0"/>
              <w:rPr>
                <w:sz w:val="20"/>
                <w:szCs w:val="20"/>
                <w:color w:val="auto"/>
              </w:rPr>
            </w:pPr>
            <w:r>
              <w:rPr>
                <w:rFonts w:ascii="Arial" w:cs="Arial" w:eastAsia="Arial" w:hAnsi="Arial"/>
                <w:sz w:val="20"/>
                <w:szCs w:val="20"/>
                <w:color w:val="auto"/>
                <w:w w:val="98"/>
              </w:rPr>
              <w:t>CONDITIONS PRECEDENT</w:t>
            </w:r>
          </w:p>
        </w:tc>
        <w:tc>
          <w:tcPr>
            <w:tcW w:w="80" w:type="dxa"/>
            <w:vAlign w:val="bottom"/>
          </w:tcPr>
          <w:p>
            <w:pPr>
              <w:spacing w:after="0"/>
              <w:rPr>
                <w:sz w:val="24"/>
                <w:szCs w:val="24"/>
                <w:color w:val="auto"/>
              </w:rPr>
            </w:pPr>
          </w:p>
        </w:tc>
        <w:tc>
          <w:tcPr>
            <w:tcW w:w="300" w:type="dxa"/>
            <w:vAlign w:val="bottom"/>
            <w:gridSpan w:val="7"/>
          </w:tcPr>
          <w:p>
            <w:pPr>
              <w:jc w:val="right"/>
              <w:ind w:right="1"/>
              <w:spacing w:after="0"/>
              <w:rPr>
                <w:sz w:val="20"/>
                <w:szCs w:val="20"/>
                <w:color w:val="auto"/>
              </w:rPr>
            </w:pPr>
            <w:r>
              <w:rPr>
                <w:rFonts w:ascii="Arial" w:cs="Arial" w:eastAsia="Arial" w:hAnsi="Arial"/>
                <w:sz w:val="20"/>
                <w:szCs w:val="20"/>
                <w:color w:val="FF0000"/>
                <w:strike w:val="1"/>
                <w:w w:val="80"/>
              </w:rPr>
              <w:t>55</w:t>
            </w:r>
          </w:p>
        </w:tc>
        <w:tc>
          <w:tcPr>
            <w:tcW w:w="180" w:type="dxa"/>
            <w:vAlign w:val="bottom"/>
            <w:gridSpan w:val="4"/>
          </w:tcPr>
          <w:p>
            <w:pPr>
              <w:jc w:val="right"/>
              <w:spacing w:after="0"/>
              <w:rPr>
                <w:sz w:val="20"/>
                <w:szCs w:val="20"/>
                <w:color w:val="auto"/>
              </w:rPr>
            </w:pPr>
            <w:r>
              <w:rPr>
                <w:rFonts w:ascii="Arial" w:cs="Arial" w:eastAsia="Arial" w:hAnsi="Arial"/>
                <w:sz w:val="10"/>
                <w:szCs w:val="10"/>
                <w:color w:val="0000FF"/>
                <w:w w:val="71"/>
              </w:rPr>
              <w:t>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5.1</w:t>
            </w:r>
          </w:p>
        </w:tc>
        <w:tc>
          <w:tcPr>
            <w:tcW w:w="2660" w:type="dxa"/>
            <w:vAlign w:val="bottom"/>
            <w:gridSpan w:val="38"/>
          </w:tcPr>
          <w:p>
            <w:pPr>
              <w:ind w:left="60"/>
              <w:spacing w:after="0"/>
              <w:rPr>
                <w:sz w:val="20"/>
                <w:szCs w:val="20"/>
                <w:color w:val="auto"/>
              </w:rPr>
            </w:pPr>
            <w:r>
              <w:rPr>
                <w:rFonts w:ascii="Arial" w:cs="Arial" w:eastAsia="Arial" w:hAnsi="Arial"/>
                <w:sz w:val="20"/>
                <w:szCs w:val="20"/>
                <w:color w:val="auto"/>
                <w:w w:val="92"/>
              </w:rPr>
              <w:t>Conditions to the Effective Date</w:t>
            </w:r>
          </w:p>
        </w:tc>
        <w:tc>
          <w:tcPr>
            <w:tcW w:w="8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55</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71"/>
              </w:rPr>
              <w:t>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5.2</w:t>
            </w:r>
          </w:p>
        </w:tc>
        <w:tc>
          <w:tcPr>
            <w:tcW w:w="2660" w:type="dxa"/>
            <w:vAlign w:val="bottom"/>
            <w:gridSpan w:val="38"/>
          </w:tcPr>
          <w:p>
            <w:pPr>
              <w:ind w:left="60"/>
              <w:spacing w:after="0"/>
              <w:rPr>
                <w:sz w:val="20"/>
                <w:szCs w:val="20"/>
                <w:color w:val="auto"/>
              </w:rPr>
            </w:pPr>
            <w:r>
              <w:rPr>
                <w:rFonts w:ascii="Arial" w:cs="Arial" w:eastAsia="Arial" w:hAnsi="Arial"/>
                <w:sz w:val="20"/>
                <w:szCs w:val="20"/>
                <w:color w:val="auto"/>
                <w:w w:val="91"/>
              </w:rPr>
              <w:t>Conditions to Each Credit Event</w:t>
            </w:r>
          </w:p>
        </w:tc>
        <w:tc>
          <w:tcPr>
            <w:tcW w:w="8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56</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71"/>
              </w:rPr>
              <w:t>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20"/>
                <w:szCs w:val="20"/>
                <w:color w:val="auto"/>
                <w:w w:val="96"/>
              </w:rPr>
              <w:t>SECTION 6</w:t>
            </w:r>
          </w:p>
        </w:tc>
        <w:tc>
          <w:tcPr>
            <w:tcW w:w="2740" w:type="dxa"/>
            <w:vAlign w:val="bottom"/>
            <w:gridSpan w:val="39"/>
          </w:tcPr>
          <w:p>
            <w:pPr>
              <w:ind w:left="140"/>
              <w:spacing w:after="0"/>
              <w:rPr>
                <w:sz w:val="20"/>
                <w:szCs w:val="20"/>
                <w:color w:val="auto"/>
              </w:rPr>
            </w:pPr>
            <w:r>
              <w:rPr>
                <w:rFonts w:ascii="Arial" w:cs="Arial" w:eastAsia="Arial" w:hAnsi="Arial"/>
                <w:sz w:val="20"/>
                <w:szCs w:val="20"/>
                <w:color w:val="auto"/>
                <w:w w:val="98"/>
              </w:rPr>
              <w:t>AFFIRMATIVE COVENANTS</w:t>
            </w: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57</w:t>
            </w:r>
          </w:p>
        </w:tc>
        <w:tc>
          <w:tcPr>
            <w:tcW w:w="220" w:type="dxa"/>
            <w:vAlign w:val="bottom"/>
            <w:gridSpan w:val="5"/>
          </w:tcPr>
          <w:p>
            <w:pPr>
              <w:spacing w:after="0"/>
              <w:rPr>
                <w:sz w:val="20"/>
                <w:szCs w:val="20"/>
                <w:color w:val="auto"/>
              </w:rPr>
            </w:pPr>
            <w:r>
              <w:rPr>
                <w:rFonts w:ascii="Arial" w:cs="Arial" w:eastAsia="Arial" w:hAnsi="Arial"/>
                <w:sz w:val="20"/>
                <w:szCs w:val="20"/>
                <w:color w:val="0000FF"/>
                <w:w w:val="80"/>
              </w:rPr>
              <w:t>54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6.1</w:t>
            </w:r>
          </w:p>
        </w:tc>
        <w:tc>
          <w:tcPr>
            <w:tcW w:w="1820" w:type="dxa"/>
            <w:vAlign w:val="bottom"/>
            <w:gridSpan w:val="19"/>
          </w:tcPr>
          <w:p>
            <w:pPr>
              <w:ind w:left="60"/>
              <w:spacing w:after="0"/>
              <w:rPr>
                <w:sz w:val="20"/>
                <w:szCs w:val="20"/>
                <w:color w:val="auto"/>
              </w:rPr>
            </w:pPr>
            <w:r>
              <w:rPr>
                <w:rFonts w:ascii="Arial" w:cs="Arial" w:eastAsia="Arial" w:hAnsi="Arial"/>
                <w:sz w:val="20"/>
                <w:szCs w:val="20"/>
                <w:color w:val="auto"/>
                <w:w w:val="93"/>
              </w:rPr>
              <w:t>Financial Statements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4"/>
          </w:tcPr>
          <w:p>
            <w:pPr>
              <w:ind w:left="40"/>
              <w:spacing w:after="0"/>
              <w:rPr>
                <w:sz w:val="20"/>
                <w:szCs w:val="20"/>
                <w:color w:val="auto"/>
              </w:rPr>
            </w:pPr>
            <w:r>
              <w:rPr>
                <w:rFonts w:ascii="Arial" w:cs="Arial" w:eastAsia="Arial" w:hAnsi="Arial"/>
                <w:sz w:val="20"/>
                <w:szCs w:val="20"/>
                <w:color w:val="FF0000"/>
                <w:strike w:val="1"/>
                <w:w w:val="80"/>
              </w:rPr>
              <w:t>57</w:t>
            </w:r>
          </w:p>
        </w:tc>
        <w:tc>
          <w:tcPr>
            <w:tcW w:w="1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78"/>
              </w:rPr>
              <w:t>54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6.2</w:t>
            </w:r>
          </w:p>
        </w:tc>
        <w:tc>
          <w:tcPr>
            <w:tcW w:w="2660" w:type="dxa"/>
            <w:vAlign w:val="bottom"/>
            <w:gridSpan w:val="38"/>
          </w:tcPr>
          <w:p>
            <w:pPr>
              <w:ind w:left="60"/>
              <w:spacing w:after="0"/>
              <w:rPr>
                <w:sz w:val="20"/>
                <w:szCs w:val="20"/>
                <w:color w:val="auto"/>
              </w:rPr>
            </w:pPr>
            <w:r>
              <w:rPr>
                <w:rFonts w:ascii="Arial" w:cs="Arial" w:eastAsia="Arial" w:hAnsi="Arial"/>
                <w:sz w:val="20"/>
                <w:szCs w:val="20"/>
                <w:color w:val="auto"/>
                <w:w w:val="96"/>
              </w:rPr>
              <w:t>Certificates; Other Information</w:t>
            </w:r>
          </w:p>
        </w:tc>
        <w:tc>
          <w:tcPr>
            <w:tcW w:w="260" w:type="dxa"/>
            <w:vAlign w:val="bottom"/>
            <w:gridSpan w:val="7"/>
          </w:tcPr>
          <w:p>
            <w:pPr>
              <w:jc w:val="right"/>
              <w:spacing w:after="0"/>
              <w:rPr>
                <w:sz w:val="20"/>
                <w:szCs w:val="20"/>
                <w:color w:val="auto"/>
              </w:rPr>
            </w:pPr>
            <w:r>
              <w:rPr>
                <w:rFonts w:ascii="Arial" w:cs="Arial" w:eastAsia="Arial" w:hAnsi="Arial"/>
                <w:sz w:val="20"/>
                <w:szCs w:val="20"/>
                <w:color w:val="FF0000"/>
                <w:strike w:val="1"/>
              </w:rPr>
              <w:t>58</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6.3</w:t>
            </w:r>
          </w:p>
        </w:tc>
        <w:tc>
          <w:tcPr>
            <w:tcW w:w="1640" w:type="dxa"/>
            <w:vAlign w:val="bottom"/>
            <w:gridSpan w:val="17"/>
          </w:tcPr>
          <w:p>
            <w:pPr>
              <w:ind w:left="60"/>
              <w:spacing w:after="0"/>
              <w:rPr>
                <w:sz w:val="20"/>
                <w:szCs w:val="20"/>
                <w:color w:val="auto"/>
              </w:rPr>
            </w:pPr>
            <w:r>
              <w:rPr>
                <w:rFonts w:ascii="Arial" w:cs="Arial" w:eastAsia="Arial" w:hAnsi="Arial"/>
                <w:sz w:val="20"/>
                <w:szCs w:val="20"/>
                <w:color w:val="auto"/>
                <w:w w:val="96"/>
              </w:rPr>
              <w:t>Payment of Taxes</w:t>
            </w: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58</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1"/>
              </w:rPr>
              <w:t>55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6.4</w:t>
            </w:r>
          </w:p>
        </w:tc>
        <w:tc>
          <w:tcPr>
            <w:tcW w:w="3380" w:type="dxa"/>
            <w:vAlign w:val="bottom"/>
            <w:gridSpan w:val="54"/>
          </w:tcPr>
          <w:p>
            <w:pPr>
              <w:ind w:left="60"/>
              <w:spacing w:after="0"/>
              <w:rPr>
                <w:sz w:val="20"/>
                <w:szCs w:val="20"/>
                <w:color w:val="auto"/>
              </w:rPr>
            </w:pPr>
            <w:r>
              <w:rPr>
                <w:rFonts w:ascii="Arial" w:cs="Arial" w:eastAsia="Arial" w:hAnsi="Arial"/>
                <w:sz w:val="20"/>
                <w:szCs w:val="20"/>
                <w:color w:val="auto"/>
                <w:w w:val="95"/>
              </w:rPr>
              <w:t>Maintenance of Existence; Compliance</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59</w:t>
            </w:r>
          </w:p>
        </w:tc>
        <w:tc>
          <w:tcPr>
            <w:tcW w:w="280" w:type="dxa"/>
            <w:vAlign w:val="bottom"/>
            <w:gridSpan w:val="3"/>
          </w:tcPr>
          <w:p>
            <w:pPr>
              <w:jc w:val="right"/>
              <w:ind w:right="100"/>
              <w:spacing w:after="0"/>
              <w:rPr>
                <w:sz w:val="20"/>
                <w:szCs w:val="20"/>
                <w:color w:val="auto"/>
              </w:rPr>
            </w:pPr>
            <w:r>
              <w:rPr>
                <w:rFonts w:ascii="Arial" w:cs="Arial" w:eastAsia="Arial" w:hAnsi="Arial"/>
                <w:sz w:val="20"/>
                <w:szCs w:val="20"/>
                <w:color w:val="0000FF"/>
                <w:w w:val="71"/>
              </w:rPr>
              <w:t>55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6.5</w:t>
            </w:r>
          </w:p>
        </w:tc>
        <w:tc>
          <w:tcPr>
            <w:tcW w:w="3100" w:type="dxa"/>
            <w:vAlign w:val="bottom"/>
            <w:gridSpan w:val="48"/>
          </w:tcPr>
          <w:p>
            <w:pPr>
              <w:ind w:left="60"/>
              <w:spacing w:after="0"/>
              <w:rPr>
                <w:sz w:val="20"/>
                <w:szCs w:val="20"/>
                <w:color w:val="auto"/>
              </w:rPr>
            </w:pPr>
            <w:r>
              <w:rPr>
                <w:rFonts w:ascii="Arial" w:cs="Arial" w:eastAsia="Arial" w:hAnsi="Arial"/>
                <w:sz w:val="20"/>
                <w:szCs w:val="20"/>
                <w:color w:val="auto"/>
                <w:w w:val="95"/>
              </w:rPr>
              <w:t>Maintenance of Property; Insurance</w:t>
            </w:r>
          </w:p>
        </w:tc>
        <w:tc>
          <w:tcPr>
            <w:tcW w:w="220" w:type="dxa"/>
            <w:vAlign w:val="bottom"/>
            <w:gridSpan w:val="5"/>
          </w:tcPr>
          <w:p>
            <w:pPr>
              <w:spacing w:after="0"/>
              <w:rPr>
                <w:sz w:val="20"/>
                <w:szCs w:val="20"/>
                <w:color w:val="auto"/>
              </w:rPr>
            </w:pPr>
            <w:r>
              <w:rPr>
                <w:rFonts w:ascii="Arial" w:cs="Arial" w:eastAsia="Arial" w:hAnsi="Arial"/>
                <w:sz w:val="20"/>
                <w:szCs w:val="20"/>
                <w:color w:val="FF0000"/>
                <w:strike w:val="1"/>
                <w:w w:val="80"/>
              </w:rPr>
              <w:t>59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1"/>
              </w:rPr>
              <w:t>55</w:t>
            </w:r>
          </w:p>
        </w:tc>
        <w:tc>
          <w:tcPr>
            <w:tcW w:w="80" w:type="dxa"/>
            <w:vAlign w:val="bottom"/>
          </w:tcPr>
          <w:p>
            <w:pPr>
              <w:spacing w:after="0"/>
              <w:rPr>
                <w:sz w:val="24"/>
                <w:szCs w:val="24"/>
                <w:color w:val="auto"/>
              </w:rPr>
            </w:pPr>
          </w:p>
        </w:tc>
        <w:tc>
          <w:tcPr>
            <w:tcW w:w="180" w:type="dxa"/>
            <w:vAlign w:val="bottom"/>
            <w:tcBorders>
              <w:top w:val="single" w:sz="8" w:color="0000FF"/>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6.6</w:t>
            </w:r>
          </w:p>
        </w:tc>
        <w:tc>
          <w:tcPr>
            <w:tcW w:w="4720" w:type="dxa"/>
            <w:vAlign w:val="bottom"/>
            <w:gridSpan w:val="65"/>
          </w:tcPr>
          <w:p>
            <w:pPr>
              <w:ind w:left="60"/>
              <w:spacing w:after="0"/>
              <w:rPr>
                <w:sz w:val="20"/>
                <w:szCs w:val="20"/>
                <w:color w:val="auto"/>
              </w:rPr>
            </w:pPr>
            <w:r>
              <w:rPr>
                <w:rFonts w:ascii="Arial" w:cs="Arial" w:eastAsia="Arial" w:hAnsi="Arial"/>
                <w:sz w:val="20"/>
                <w:szCs w:val="20"/>
                <w:color w:val="auto"/>
                <w:w w:val="93"/>
              </w:rPr>
              <w:t>Inspection of Property; Books and Records; Discussions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56</w:t>
            </w: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6.7</w:t>
            </w:r>
          </w:p>
        </w:tc>
        <w:tc>
          <w:tcPr>
            <w:tcW w:w="860" w:type="dxa"/>
            <w:vAlign w:val="bottom"/>
            <w:gridSpan w:val="2"/>
          </w:tcPr>
          <w:p>
            <w:pPr>
              <w:ind w:left="60"/>
              <w:spacing w:after="0"/>
              <w:rPr>
                <w:sz w:val="20"/>
                <w:szCs w:val="20"/>
                <w:color w:val="auto"/>
              </w:rPr>
            </w:pPr>
            <w:r>
              <w:rPr>
                <w:rFonts w:ascii="Arial" w:cs="Arial" w:eastAsia="Arial" w:hAnsi="Arial"/>
                <w:sz w:val="20"/>
                <w:szCs w:val="20"/>
                <w:color w:val="auto"/>
              </w:rPr>
              <w:t>Notices</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59</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56</w:t>
            </w:r>
          </w:p>
        </w:tc>
        <w:tc>
          <w:tcPr>
            <w:tcW w:w="3860" w:type="dxa"/>
            <w:vAlign w:val="bottom"/>
            <w:gridSpan w:val="58"/>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6.8</w:t>
            </w:r>
          </w:p>
        </w:tc>
        <w:tc>
          <w:tcPr>
            <w:tcW w:w="2460" w:type="dxa"/>
            <w:vAlign w:val="bottom"/>
            <w:gridSpan w:val="33"/>
          </w:tcPr>
          <w:p>
            <w:pPr>
              <w:ind w:left="60"/>
              <w:spacing w:after="0"/>
              <w:rPr>
                <w:sz w:val="20"/>
                <w:szCs w:val="20"/>
                <w:color w:val="auto"/>
              </w:rPr>
            </w:pPr>
            <w:r>
              <w:rPr>
                <w:rFonts w:ascii="Arial" w:cs="Arial" w:eastAsia="Arial" w:hAnsi="Arial"/>
                <w:sz w:val="20"/>
                <w:szCs w:val="20"/>
                <w:color w:val="auto"/>
                <w:w w:val="91"/>
              </w:rPr>
              <w:t>Maintenance of Licenses, Etc</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60</w:t>
            </w:r>
          </w:p>
        </w:tc>
        <w:tc>
          <w:tcPr>
            <w:tcW w:w="24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6.9</w:t>
            </w:r>
          </w:p>
        </w:tc>
        <w:tc>
          <w:tcPr>
            <w:tcW w:w="2660" w:type="dxa"/>
            <w:vAlign w:val="bottom"/>
            <w:gridSpan w:val="38"/>
          </w:tcPr>
          <w:p>
            <w:pPr>
              <w:ind w:left="60"/>
              <w:spacing w:after="0"/>
              <w:rPr>
                <w:sz w:val="20"/>
                <w:szCs w:val="20"/>
                <w:color w:val="auto"/>
              </w:rPr>
            </w:pPr>
            <w:r>
              <w:rPr>
                <w:rFonts w:ascii="Arial" w:cs="Arial" w:eastAsia="Arial" w:hAnsi="Arial"/>
                <w:sz w:val="20"/>
                <w:szCs w:val="20"/>
                <w:color w:val="auto"/>
                <w:w w:val="89"/>
              </w:rPr>
              <w:t>More Favorable Debt Covenants</w:t>
            </w:r>
          </w:p>
        </w:tc>
        <w:tc>
          <w:tcPr>
            <w:tcW w:w="8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60</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56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w w:val="92"/>
              </w:rPr>
              <w:t>6.10</w:t>
            </w:r>
          </w:p>
        </w:tc>
        <w:tc>
          <w:tcPr>
            <w:tcW w:w="1640" w:type="dxa"/>
            <w:vAlign w:val="bottom"/>
            <w:gridSpan w:val="17"/>
          </w:tcPr>
          <w:p>
            <w:pPr>
              <w:ind w:left="160"/>
              <w:spacing w:after="0"/>
              <w:rPr>
                <w:sz w:val="20"/>
                <w:szCs w:val="20"/>
                <w:color w:val="auto"/>
              </w:rPr>
            </w:pPr>
            <w:r>
              <w:rPr>
                <w:rFonts w:ascii="Arial" w:cs="Arial" w:eastAsia="Arial" w:hAnsi="Arial"/>
                <w:sz w:val="20"/>
                <w:szCs w:val="20"/>
                <w:color w:val="auto"/>
                <w:w w:val="98"/>
              </w:rPr>
              <w:t>Use of Proceeds</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60</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57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w w:val="92"/>
              </w:rPr>
              <w:t>6.11</w:t>
            </w:r>
          </w:p>
        </w:tc>
        <w:tc>
          <w:tcPr>
            <w:tcW w:w="2140" w:type="dxa"/>
            <w:vAlign w:val="bottom"/>
            <w:gridSpan w:val="25"/>
          </w:tcPr>
          <w:p>
            <w:pPr>
              <w:ind w:left="160"/>
              <w:spacing w:after="0"/>
              <w:rPr>
                <w:sz w:val="20"/>
                <w:szCs w:val="20"/>
                <w:color w:val="auto"/>
              </w:rPr>
            </w:pPr>
            <w:r>
              <w:rPr>
                <w:rFonts w:ascii="Arial" w:cs="Arial" w:eastAsia="Arial" w:hAnsi="Arial"/>
                <w:sz w:val="20"/>
                <w:szCs w:val="20"/>
                <w:color w:val="auto"/>
                <w:w w:val="97"/>
              </w:rPr>
              <w:t>Subsidiary Guarantors</w:t>
            </w:r>
          </w:p>
        </w:tc>
        <w:tc>
          <w:tcPr>
            <w:tcW w:w="180" w:type="dxa"/>
            <w:vAlign w:val="bottom"/>
            <w:gridSpan w:val="5"/>
          </w:tcPr>
          <w:p>
            <w:pPr>
              <w:spacing w:after="0"/>
              <w:rPr>
                <w:sz w:val="20"/>
                <w:szCs w:val="20"/>
                <w:color w:val="auto"/>
              </w:rPr>
            </w:pPr>
            <w:r>
              <w:rPr>
                <w:rFonts w:ascii="Arial" w:cs="Arial" w:eastAsia="Arial" w:hAnsi="Arial"/>
                <w:sz w:val="20"/>
                <w:szCs w:val="20"/>
                <w:color w:val="FF0000"/>
                <w:strike w:val="1"/>
                <w:w w:val="71"/>
              </w:rPr>
              <w:t>60</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20"/>
                <w:szCs w:val="20"/>
                <w:color w:val="auto"/>
                <w:w w:val="96"/>
              </w:rPr>
              <w:t>SECTION 7</w:t>
            </w:r>
          </w:p>
        </w:tc>
        <w:tc>
          <w:tcPr>
            <w:tcW w:w="2460" w:type="dxa"/>
            <w:vAlign w:val="bottom"/>
            <w:gridSpan w:val="33"/>
          </w:tcPr>
          <w:p>
            <w:pPr>
              <w:ind w:left="140"/>
              <w:spacing w:after="0"/>
              <w:rPr>
                <w:sz w:val="20"/>
                <w:szCs w:val="20"/>
                <w:color w:val="auto"/>
              </w:rPr>
            </w:pPr>
            <w:r>
              <w:rPr>
                <w:rFonts w:ascii="Arial" w:cs="Arial" w:eastAsia="Arial" w:hAnsi="Arial"/>
                <w:sz w:val="20"/>
                <w:szCs w:val="20"/>
                <w:color w:val="auto"/>
                <w:w w:val="99"/>
              </w:rPr>
              <w:t>NEGATIVE COVENANTS</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61</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71"/>
              </w:rPr>
              <w:t>57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040" w:type="dxa"/>
            <w:vAlign w:val="bottom"/>
          </w:tcPr>
          <w:p>
            <w:pPr>
              <w:ind w:left="660"/>
              <w:spacing w:after="0"/>
              <w:rPr>
                <w:sz w:val="20"/>
                <w:szCs w:val="20"/>
                <w:color w:val="auto"/>
              </w:rPr>
            </w:pPr>
            <w:r>
              <w:rPr>
                <w:rFonts w:ascii="Arial" w:cs="Arial" w:eastAsia="Arial" w:hAnsi="Arial"/>
                <w:sz w:val="20"/>
                <w:szCs w:val="20"/>
                <w:color w:val="auto"/>
              </w:rPr>
              <w:t>7.1</w:t>
            </w:r>
          </w:p>
        </w:tc>
        <w:tc>
          <w:tcPr>
            <w:tcW w:w="1820" w:type="dxa"/>
            <w:vAlign w:val="bottom"/>
            <w:gridSpan w:val="19"/>
          </w:tcPr>
          <w:p>
            <w:pPr>
              <w:ind w:left="60"/>
              <w:spacing w:after="0"/>
              <w:rPr>
                <w:sz w:val="20"/>
                <w:szCs w:val="20"/>
                <w:color w:val="auto"/>
              </w:rPr>
            </w:pPr>
            <w:r>
              <w:rPr>
                <w:rFonts w:ascii="Arial" w:cs="Arial" w:eastAsia="Arial" w:hAnsi="Arial"/>
                <w:sz w:val="20"/>
                <w:szCs w:val="20"/>
                <w:color w:val="auto"/>
                <w:w w:val="93"/>
              </w:rPr>
              <w:t>Total Leverage Ratio</w:t>
            </w:r>
          </w:p>
        </w:tc>
        <w:tc>
          <w:tcPr>
            <w:tcW w:w="60" w:type="dxa"/>
            <w:vAlign w:val="bottom"/>
            <w:gridSpan w:val="2"/>
          </w:tcPr>
          <w:p>
            <w:pPr>
              <w:spacing w:after="0"/>
              <w:rPr>
                <w:sz w:val="24"/>
                <w:szCs w:val="24"/>
                <w:color w:val="auto"/>
              </w:rPr>
            </w:pPr>
          </w:p>
        </w:tc>
        <w:tc>
          <w:tcPr>
            <w:tcW w:w="260" w:type="dxa"/>
            <w:vAlign w:val="bottom"/>
            <w:gridSpan w:val="4"/>
          </w:tcPr>
          <w:p>
            <w:pPr>
              <w:ind w:left="40"/>
              <w:spacing w:after="0"/>
              <w:rPr>
                <w:sz w:val="20"/>
                <w:szCs w:val="20"/>
                <w:color w:val="auto"/>
              </w:rPr>
            </w:pPr>
            <w:r>
              <w:rPr>
                <w:rFonts w:ascii="Arial" w:cs="Arial" w:eastAsia="Arial" w:hAnsi="Arial"/>
                <w:sz w:val="20"/>
                <w:szCs w:val="20"/>
                <w:color w:val="FF0000"/>
                <w:strike w:val="1"/>
                <w:w w:val="80"/>
              </w:rPr>
              <w:t>61</w:t>
            </w:r>
          </w:p>
        </w:tc>
        <w:tc>
          <w:tcPr>
            <w:tcW w:w="18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71"/>
              </w:rPr>
              <w:t>57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040" w:type="dxa"/>
            <w:vAlign w:val="bottom"/>
          </w:tcPr>
          <w:p>
            <w:pPr>
              <w:ind w:left="660"/>
              <w:spacing w:after="0"/>
              <w:rPr>
                <w:sz w:val="20"/>
                <w:szCs w:val="20"/>
                <w:color w:val="auto"/>
              </w:rPr>
            </w:pPr>
            <w:r>
              <w:rPr>
                <w:rFonts w:ascii="Arial" w:cs="Arial" w:eastAsia="Arial" w:hAnsi="Arial"/>
                <w:sz w:val="20"/>
                <w:szCs w:val="20"/>
                <w:color w:val="auto"/>
              </w:rPr>
              <w:t>7.2</w:t>
            </w:r>
          </w:p>
        </w:tc>
        <w:tc>
          <w:tcPr>
            <w:tcW w:w="2140" w:type="dxa"/>
            <w:vAlign w:val="bottom"/>
            <w:gridSpan w:val="25"/>
          </w:tcPr>
          <w:p>
            <w:pPr>
              <w:ind w:left="60"/>
              <w:spacing w:after="0"/>
              <w:rPr>
                <w:sz w:val="20"/>
                <w:szCs w:val="20"/>
                <w:color w:val="auto"/>
              </w:rPr>
            </w:pPr>
            <w:r>
              <w:rPr>
                <w:rFonts w:ascii="Arial" w:cs="Arial" w:eastAsia="Arial" w:hAnsi="Arial"/>
                <w:sz w:val="20"/>
                <w:szCs w:val="20"/>
                <w:color w:val="auto"/>
                <w:w w:val="96"/>
              </w:rPr>
              <w:t>Interest Coverage Ratio</w:t>
            </w: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61</w:t>
            </w:r>
          </w:p>
        </w:tc>
        <w:tc>
          <w:tcPr>
            <w:tcW w:w="220" w:type="dxa"/>
            <w:vAlign w:val="bottom"/>
            <w:gridSpan w:val="5"/>
          </w:tcPr>
          <w:p>
            <w:pPr>
              <w:jc w:val="right"/>
              <w:ind w:right="20"/>
              <w:spacing w:after="0"/>
              <w:rPr>
                <w:sz w:val="20"/>
                <w:szCs w:val="20"/>
                <w:color w:val="auto"/>
              </w:rPr>
            </w:pPr>
            <w:r>
              <w:rPr>
                <w:rFonts w:ascii="Arial" w:cs="Arial" w:eastAsia="Arial" w:hAnsi="Arial"/>
                <w:sz w:val="20"/>
                <w:szCs w:val="20"/>
                <w:color w:val="0000FF"/>
                <w:w w:val="80"/>
              </w:rPr>
              <w:t>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040" w:type="dxa"/>
            <w:vAlign w:val="bottom"/>
          </w:tcPr>
          <w:p>
            <w:pPr>
              <w:ind w:left="660"/>
              <w:spacing w:after="0"/>
              <w:rPr>
                <w:sz w:val="20"/>
                <w:szCs w:val="20"/>
                <w:color w:val="auto"/>
              </w:rPr>
            </w:pPr>
            <w:r>
              <w:rPr>
                <w:rFonts w:ascii="Arial" w:cs="Arial" w:eastAsia="Arial" w:hAnsi="Arial"/>
                <w:sz w:val="20"/>
                <w:szCs w:val="20"/>
                <w:color w:val="auto"/>
              </w:rPr>
              <w:t>7.3</w:t>
            </w:r>
          </w:p>
        </w:tc>
        <w:tc>
          <w:tcPr>
            <w:tcW w:w="1640" w:type="dxa"/>
            <w:vAlign w:val="bottom"/>
            <w:gridSpan w:val="17"/>
          </w:tcPr>
          <w:p>
            <w:pPr>
              <w:ind w:left="60"/>
              <w:spacing w:after="0"/>
              <w:rPr>
                <w:sz w:val="20"/>
                <w:szCs w:val="20"/>
                <w:color w:val="auto"/>
              </w:rPr>
            </w:pPr>
            <w:r>
              <w:rPr>
                <w:rFonts w:ascii="Arial" w:cs="Arial" w:eastAsia="Arial" w:hAnsi="Arial"/>
                <w:sz w:val="20"/>
                <w:szCs w:val="20"/>
                <w:color w:val="auto"/>
                <w:w w:val="87"/>
              </w:rPr>
              <w:t>Change in Business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61</w:t>
            </w:r>
          </w:p>
        </w:tc>
        <w:tc>
          <w:tcPr>
            <w:tcW w:w="2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0"/>
              </w:rPr>
              <w:t>58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139"/>
          </w:cols>
          <w:pgMar w:left="320" w:top="1440" w:right="1440" w:bottom="1440" w:gutter="0" w:footer="0" w:header="0"/>
        </w:sectPr>
      </w:pPr>
    </w:p>
    <w:bookmarkStart w:id="53" w:name="page54"/>
    <w:bookmarkEnd w:id="53"/>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660"/>
              <w:spacing w:after="0"/>
              <w:rPr>
                <w:sz w:val="20"/>
                <w:szCs w:val="20"/>
                <w:color w:val="auto"/>
              </w:rPr>
            </w:pPr>
            <w:r>
              <w:rPr>
                <w:rFonts w:ascii="Arial" w:cs="Arial" w:eastAsia="Arial" w:hAnsi="Arial"/>
                <w:sz w:val="20"/>
                <w:szCs w:val="20"/>
                <w:color w:val="auto"/>
              </w:rPr>
              <w:t>7.4</w:t>
            </w:r>
          </w:p>
        </w:tc>
        <w:tc>
          <w:tcPr>
            <w:tcW w:w="2260" w:type="dxa"/>
            <w:vAlign w:val="bottom"/>
            <w:gridSpan w:val="27"/>
          </w:tcPr>
          <w:p>
            <w:pPr>
              <w:spacing w:after="0"/>
              <w:rPr>
                <w:sz w:val="20"/>
                <w:szCs w:val="20"/>
                <w:color w:val="auto"/>
              </w:rPr>
            </w:pPr>
            <w:r>
              <w:rPr>
                <w:rFonts w:ascii="Arial" w:cs="Arial" w:eastAsia="Arial" w:hAnsi="Arial"/>
                <w:sz w:val="20"/>
                <w:szCs w:val="20"/>
                <w:color w:val="auto"/>
                <w:w w:val="96"/>
              </w:rPr>
              <w:t>Mergers, Acquisitions, Etc</w:t>
            </w:r>
          </w:p>
        </w:tc>
        <w:tc>
          <w:tcPr>
            <w:tcW w:w="260" w:type="dxa"/>
            <w:vAlign w:val="bottom"/>
            <w:gridSpan w:val="7"/>
          </w:tcPr>
          <w:p>
            <w:pPr>
              <w:jc w:val="right"/>
              <w:spacing w:after="0"/>
              <w:rPr>
                <w:sz w:val="20"/>
                <w:szCs w:val="20"/>
                <w:color w:val="auto"/>
              </w:rPr>
            </w:pPr>
            <w:r>
              <w:rPr>
                <w:rFonts w:ascii="Arial" w:cs="Arial" w:eastAsia="Arial" w:hAnsi="Arial"/>
                <w:sz w:val="20"/>
                <w:szCs w:val="20"/>
                <w:color w:val="FF0000"/>
                <w:strike w:val="1"/>
              </w:rPr>
              <w:t>61</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91"/>
        </w:trPr>
        <w:tc>
          <w:tcPr>
            <w:tcW w:w="1100" w:type="dxa"/>
            <w:vAlign w:val="bottom"/>
          </w:tcPr>
          <w:p>
            <w:pPr>
              <w:ind w:left="660"/>
              <w:spacing w:after="0"/>
              <w:rPr>
                <w:sz w:val="20"/>
                <w:szCs w:val="20"/>
                <w:color w:val="auto"/>
              </w:rPr>
            </w:pPr>
            <w:r>
              <w:rPr>
                <w:rFonts w:ascii="Arial" w:cs="Arial" w:eastAsia="Arial" w:hAnsi="Arial"/>
                <w:sz w:val="20"/>
                <w:szCs w:val="20"/>
                <w:color w:val="auto"/>
              </w:rPr>
              <w:t>7.5</w:t>
            </w:r>
          </w:p>
        </w:tc>
        <w:tc>
          <w:tcPr>
            <w:tcW w:w="640" w:type="dxa"/>
            <w:vAlign w:val="bottom"/>
          </w:tcPr>
          <w:p>
            <w:pPr>
              <w:spacing w:after="0"/>
              <w:rPr>
                <w:sz w:val="20"/>
                <w:szCs w:val="20"/>
                <w:color w:val="auto"/>
              </w:rPr>
            </w:pPr>
            <w:r>
              <w:rPr>
                <w:rFonts w:ascii="Arial" w:cs="Arial" w:eastAsia="Arial" w:hAnsi="Arial"/>
                <w:sz w:val="20"/>
                <w:szCs w:val="20"/>
                <w:color w:val="auto"/>
              </w:rPr>
              <w:t>Liens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62</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59</w:t>
            </w:r>
          </w:p>
        </w:tc>
        <w:tc>
          <w:tcPr>
            <w:tcW w:w="4140" w:type="dxa"/>
            <w:vAlign w:val="bottom"/>
            <w:gridSpan w:val="61"/>
          </w:tcPr>
          <w:p>
            <w:pPr>
              <w:spacing w:after="0"/>
              <w:rPr>
                <w:sz w:val="24"/>
                <w:szCs w:val="24"/>
                <w:color w:val="auto"/>
              </w:rPr>
            </w:pP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7.6</w:t>
            </w:r>
          </w:p>
        </w:tc>
        <w:tc>
          <w:tcPr>
            <w:tcW w:w="1460" w:type="dxa"/>
            <w:vAlign w:val="bottom"/>
            <w:gridSpan w:val="12"/>
          </w:tcPr>
          <w:p>
            <w:pPr>
              <w:spacing w:after="0"/>
              <w:rPr>
                <w:sz w:val="20"/>
                <w:szCs w:val="20"/>
                <w:color w:val="auto"/>
              </w:rPr>
            </w:pPr>
            <w:r>
              <w:rPr>
                <w:rFonts w:ascii="Arial" w:cs="Arial" w:eastAsia="Arial" w:hAnsi="Arial"/>
                <w:sz w:val="20"/>
                <w:szCs w:val="20"/>
                <w:color w:val="auto"/>
              </w:rPr>
              <w:t>Subsidiary Debt</w:t>
            </w: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63</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100" w:type="dxa"/>
            <w:vAlign w:val="bottom"/>
          </w:tcPr>
          <w:p>
            <w:pPr>
              <w:ind w:left="660"/>
              <w:spacing w:after="0"/>
              <w:rPr>
                <w:sz w:val="20"/>
                <w:szCs w:val="20"/>
                <w:color w:val="auto"/>
              </w:rPr>
            </w:pPr>
            <w:r>
              <w:rPr>
                <w:rFonts w:ascii="Arial" w:cs="Arial" w:eastAsia="Arial" w:hAnsi="Arial"/>
                <w:sz w:val="20"/>
                <w:szCs w:val="20"/>
                <w:color w:val="auto"/>
              </w:rPr>
              <w:t>7.7</w:t>
            </w:r>
          </w:p>
        </w:tc>
        <w:tc>
          <w:tcPr>
            <w:tcW w:w="1100" w:type="dxa"/>
            <w:vAlign w:val="bottom"/>
            <w:gridSpan w:val="7"/>
          </w:tcPr>
          <w:p>
            <w:pPr>
              <w:spacing w:after="0"/>
              <w:rPr>
                <w:sz w:val="20"/>
                <w:szCs w:val="20"/>
                <w:color w:val="auto"/>
              </w:rPr>
            </w:pPr>
            <w:r>
              <w:rPr>
                <w:rFonts w:ascii="Arial" w:cs="Arial" w:eastAsia="Arial" w:hAnsi="Arial"/>
                <w:sz w:val="20"/>
                <w:szCs w:val="20"/>
                <w:color w:val="auto"/>
                <w:w w:val="94"/>
              </w:rPr>
              <w:t>Distributions</w:t>
            </w:r>
          </w:p>
        </w:tc>
        <w:tc>
          <w:tcPr>
            <w:tcW w:w="340" w:type="dxa"/>
            <w:vAlign w:val="bottom"/>
            <w:gridSpan w:val="4"/>
          </w:tcPr>
          <w:p>
            <w:pPr>
              <w:ind w:left="140"/>
              <w:spacing w:after="0"/>
              <w:rPr>
                <w:sz w:val="20"/>
                <w:szCs w:val="20"/>
                <w:color w:val="auto"/>
              </w:rPr>
            </w:pPr>
            <w:r>
              <w:rPr>
                <w:rFonts w:ascii="Arial" w:cs="Arial" w:eastAsia="Arial" w:hAnsi="Arial"/>
                <w:sz w:val="20"/>
                <w:szCs w:val="20"/>
                <w:color w:val="FF0000"/>
                <w:strike w:val="1"/>
                <w:w w:val="80"/>
              </w:rPr>
              <w:t>63</w:t>
            </w:r>
          </w:p>
        </w:tc>
        <w:tc>
          <w:tcPr>
            <w:tcW w:w="20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20"/>
                <w:szCs w:val="20"/>
                <w:color w:val="0000FF"/>
                <w:w w:val="71"/>
              </w:rPr>
              <w:t>60</w:t>
            </w:r>
          </w:p>
        </w:tc>
        <w:tc>
          <w:tcPr>
            <w:tcW w:w="3540" w:type="dxa"/>
            <w:vAlign w:val="bottom"/>
            <w:gridSpan w:val="52"/>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7.8</w:t>
            </w:r>
          </w:p>
        </w:tc>
        <w:tc>
          <w:tcPr>
            <w:tcW w:w="2260" w:type="dxa"/>
            <w:vAlign w:val="bottom"/>
            <w:gridSpan w:val="27"/>
          </w:tcPr>
          <w:p>
            <w:pPr>
              <w:spacing w:after="0"/>
              <w:rPr>
                <w:sz w:val="20"/>
                <w:szCs w:val="20"/>
                <w:color w:val="auto"/>
              </w:rPr>
            </w:pPr>
            <w:r>
              <w:rPr>
                <w:rFonts w:ascii="Arial" w:cs="Arial" w:eastAsia="Arial" w:hAnsi="Arial"/>
                <w:sz w:val="20"/>
                <w:szCs w:val="20"/>
                <w:color w:val="auto"/>
                <w:w w:val="92"/>
              </w:rPr>
              <w:t>Transactions With Affiliates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7"/>
          </w:tcPr>
          <w:p>
            <w:pPr>
              <w:jc w:val="right"/>
              <w:spacing w:after="0"/>
              <w:rPr>
                <w:sz w:val="20"/>
                <w:szCs w:val="20"/>
                <w:color w:val="auto"/>
              </w:rPr>
            </w:pPr>
            <w:r>
              <w:rPr>
                <w:rFonts w:ascii="Arial" w:cs="Arial" w:eastAsia="Arial" w:hAnsi="Arial"/>
                <w:sz w:val="20"/>
                <w:szCs w:val="20"/>
                <w:color w:val="FF0000"/>
                <w:strike w:val="1"/>
              </w:rPr>
              <w:t>63</w:t>
            </w:r>
          </w:p>
        </w:tc>
        <w:tc>
          <w:tcPr>
            <w:tcW w:w="220" w:type="dxa"/>
            <w:vAlign w:val="bottom"/>
            <w:gridSpan w:val="6"/>
          </w:tcPr>
          <w:p>
            <w:pPr>
              <w:jc w:val="right"/>
              <w:ind w:right="20"/>
              <w:spacing w:after="0"/>
              <w:rPr>
                <w:sz w:val="20"/>
                <w:szCs w:val="20"/>
                <w:color w:val="auto"/>
              </w:rPr>
            </w:pPr>
            <w:r>
              <w:rPr>
                <w:rFonts w:ascii="Arial" w:cs="Arial" w:eastAsia="Arial" w:hAnsi="Arial"/>
                <w:sz w:val="20"/>
                <w:szCs w:val="20"/>
                <w:color w:val="0000FF"/>
                <w:w w:val="80"/>
              </w:rPr>
              <w:t>60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7.9</w:t>
            </w:r>
          </w:p>
        </w:tc>
        <w:tc>
          <w:tcPr>
            <w:tcW w:w="1900" w:type="dxa"/>
            <w:vAlign w:val="bottom"/>
            <w:gridSpan w:val="21"/>
          </w:tcPr>
          <w:p>
            <w:pPr>
              <w:spacing w:after="0"/>
              <w:rPr>
                <w:sz w:val="20"/>
                <w:szCs w:val="20"/>
                <w:color w:val="auto"/>
              </w:rPr>
            </w:pPr>
            <w:r>
              <w:rPr>
                <w:rFonts w:ascii="Arial" w:cs="Arial" w:eastAsia="Arial" w:hAnsi="Arial"/>
                <w:sz w:val="20"/>
                <w:szCs w:val="20"/>
                <w:color w:val="auto"/>
                <w:w w:val="92"/>
              </w:rPr>
              <w:t>Subsidiary Restrictions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63</w:t>
            </w:r>
          </w:p>
        </w:tc>
        <w:tc>
          <w:tcPr>
            <w:tcW w:w="220" w:type="dxa"/>
            <w:vAlign w:val="bottom"/>
            <w:tcBorders>
              <w:bottom w:val="single" w:sz="8" w:color="0000FF"/>
            </w:tcBorders>
            <w:gridSpan w:val="6"/>
          </w:tcPr>
          <w:p>
            <w:pPr>
              <w:jc w:val="right"/>
              <w:ind w:right="20"/>
              <w:spacing w:after="0"/>
              <w:rPr>
                <w:sz w:val="20"/>
                <w:szCs w:val="20"/>
                <w:color w:val="auto"/>
              </w:rPr>
            </w:pPr>
            <w:r>
              <w:rPr>
                <w:rFonts w:ascii="Arial" w:cs="Arial" w:eastAsia="Arial" w:hAnsi="Arial"/>
                <w:sz w:val="20"/>
                <w:szCs w:val="20"/>
                <w:color w:val="0000FF"/>
                <w:w w:val="80"/>
              </w:rPr>
              <w:t>60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7.10</w:t>
            </w:r>
          </w:p>
        </w:tc>
        <w:tc>
          <w:tcPr>
            <w:tcW w:w="1900" w:type="dxa"/>
            <w:vAlign w:val="bottom"/>
            <w:gridSpan w:val="21"/>
          </w:tcPr>
          <w:p>
            <w:pPr>
              <w:ind w:left="80"/>
              <w:spacing w:after="0"/>
              <w:rPr>
                <w:sz w:val="20"/>
                <w:szCs w:val="20"/>
                <w:color w:val="auto"/>
              </w:rPr>
            </w:pPr>
            <w:r>
              <w:rPr>
                <w:rFonts w:ascii="Arial" w:cs="Arial" w:eastAsia="Arial" w:hAnsi="Arial"/>
                <w:sz w:val="20"/>
                <w:szCs w:val="20"/>
                <w:color w:val="auto"/>
                <w:w w:val="97"/>
              </w:rPr>
              <w:t>Accounting Changes</w:t>
            </w: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64</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60</w:t>
            </w:r>
          </w:p>
        </w:tc>
        <w:tc>
          <w:tcPr>
            <w:tcW w:w="20" w:type="dxa"/>
            <w:vAlign w:val="bottom"/>
            <w:tcBorders>
              <w:bottom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100" w:type="dxa"/>
            <w:vAlign w:val="bottom"/>
          </w:tcPr>
          <w:p>
            <w:pPr>
              <w:ind w:left="660"/>
              <w:spacing w:after="0"/>
              <w:rPr>
                <w:sz w:val="20"/>
                <w:szCs w:val="20"/>
                <w:color w:val="auto"/>
              </w:rPr>
            </w:pPr>
            <w:r>
              <w:rPr>
                <w:rFonts w:ascii="Arial" w:cs="Arial" w:eastAsia="Arial" w:hAnsi="Arial"/>
                <w:sz w:val="20"/>
                <w:szCs w:val="20"/>
                <w:color w:val="auto"/>
              </w:rPr>
              <w:t>7.11</w:t>
            </w:r>
          </w:p>
        </w:tc>
        <w:tc>
          <w:tcPr>
            <w:tcW w:w="2960" w:type="dxa"/>
            <w:vAlign w:val="bottom"/>
            <w:gridSpan w:val="46"/>
          </w:tcPr>
          <w:p>
            <w:pPr>
              <w:ind w:left="80"/>
              <w:spacing w:after="0"/>
              <w:rPr>
                <w:sz w:val="20"/>
                <w:szCs w:val="20"/>
                <w:color w:val="auto"/>
              </w:rPr>
            </w:pPr>
            <w:r>
              <w:rPr>
                <w:rFonts w:ascii="Arial" w:cs="Arial" w:eastAsia="Arial" w:hAnsi="Arial"/>
                <w:sz w:val="20"/>
                <w:szCs w:val="20"/>
                <w:color w:val="auto"/>
                <w:w w:val="91"/>
              </w:rPr>
              <w:t>Amendment of Material Documents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64</w:t>
            </w:r>
          </w:p>
        </w:tc>
        <w:tc>
          <w:tcPr>
            <w:tcW w:w="300" w:type="dxa"/>
            <w:vAlign w:val="bottom"/>
            <w:gridSpan w:val="4"/>
          </w:tcPr>
          <w:p>
            <w:pPr>
              <w:jc w:val="right"/>
              <w:ind w:right="100"/>
              <w:spacing w:after="0"/>
              <w:rPr>
                <w:sz w:val="20"/>
                <w:szCs w:val="20"/>
                <w:color w:val="auto"/>
              </w:rPr>
            </w:pPr>
            <w:r>
              <w:rPr>
                <w:rFonts w:ascii="Arial" w:cs="Arial" w:eastAsia="Arial" w:hAnsi="Arial"/>
                <w:sz w:val="20"/>
                <w:szCs w:val="20"/>
                <w:color w:val="0000FF"/>
                <w:w w:val="80"/>
              </w:rPr>
              <w:t>61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7.12</w:t>
            </w:r>
          </w:p>
        </w:tc>
        <w:tc>
          <w:tcPr>
            <w:tcW w:w="2500" w:type="dxa"/>
            <w:vAlign w:val="bottom"/>
            <w:gridSpan w:val="33"/>
          </w:tcPr>
          <w:p>
            <w:pPr>
              <w:ind w:left="100"/>
              <w:spacing w:after="0"/>
              <w:rPr>
                <w:sz w:val="20"/>
                <w:szCs w:val="20"/>
                <w:color w:val="auto"/>
              </w:rPr>
            </w:pPr>
            <w:r>
              <w:rPr>
                <w:rFonts w:ascii="Arial" w:cs="Arial" w:eastAsia="Arial" w:hAnsi="Arial"/>
                <w:sz w:val="20"/>
                <w:szCs w:val="20"/>
                <w:color w:val="auto"/>
                <w:w w:val="97"/>
              </w:rPr>
              <w:t>Foreign Assets Control, Etc</w:t>
            </w: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64</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61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960" w:type="dxa"/>
            <w:vAlign w:val="bottom"/>
            <w:gridSpan w:val="4"/>
          </w:tcPr>
          <w:p>
            <w:pPr>
              <w:ind w:left="660"/>
              <w:spacing w:after="0"/>
              <w:rPr>
                <w:sz w:val="20"/>
                <w:szCs w:val="20"/>
                <w:color w:val="auto"/>
              </w:rPr>
            </w:pPr>
            <w:r>
              <w:rPr>
                <w:rFonts w:ascii="Arial" w:cs="Arial" w:eastAsia="Arial" w:hAnsi="Arial"/>
                <w:sz w:val="20"/>
                <w:szCs w:val="20"/>
                <w:color w:val="auto"/>
              </w:rPr>
              <w:t>7.13  ERISA</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64</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61</w:t>
            </w:r>
          </w:p>
        </w:tc>
        <w:tc>
          <w:tcPr>
            <w:tcW w:w="3920" w:type="dxa"/>
            <w:vAlign w:val="bottom"/>
            <w:gridSpan w:val="58"/>
          </w:tcPr>
          <w:p>
            <w:pPr>
              <w:spacing w:after="0"/>
              <w:rPr>
                <w:sz w:val="24"/>
                <w:szCs w:val="24"/>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20"/>
                <w:szCs w:val="20"/>
                <w:color w:val="auto"/>
              </w:rPr>
              <w:t>SECTION 8</w:t>
            </w:r>
          </w:p>
        </w:tc>
        <w:tc>
          <w:tcPr>
            <w:tcW w:w="2260" w:type="dxa"/>
            <w:vAlign w:val="bottom"/>
            <w:gridSpan w:val="27"/>
          </w:tcPr>
          <w:p>
            <w:pPr>
              <w:ind w:left="80"/>
              <w:spacing w:after="0"/>
              <w:rPr>
                <w:sz w:val="20"/>
                <w:szCs w:val="20"/>
                <w:color w:val="auto"/>
              </w:rPr>
            </w:pPr>
            <w:r>
              <w:rPr>
                <w:rFonts w:ascii="Arial" w:cs="Arial" w:eastAsia="Arial" w:hAnsi="Arial"/>
                <w:sz w:val="20"/>
                <w:szCs w:val="20"/>
                <w:color w:val="auto"/>
              </w:rPr>
              <w:t>EVENTS OF DEFAULT</w:t>
            </w: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65</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62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20"/>
                <w:szCs w:val="20"/>
                <w:color w:val="auto"/>
              </w:rPr>
              <w:t>SECTION 9</w:t>
            </w:r>
          </w:p>
        </w:tc>
        <w:tc>
          <w:tcPr>
            <w:tcW w:w="1460" w:type="dxa"/>
            <w:vAlign w:val="bottom"/>
            <w:gridSpan w:val="12"/>
          </w:tcPr>
          <w:p>
            <w:pPr>
              <w:ind w:left="80"/>
              <w:spacing w:after="0"/>
              <w:rPr>
                <w:sz w:val="20"/>
                <w:szCs w:val="20"/>
                <w:color w:val="auto"/>
              </w:rPr>
            </w:pPr>
            <w:r>
              <w:rPr>
                <w:rFonts w:ascii="Arial" w:cs="Arial" w:eastAsia="Arial" w:hAnsi="Arial"/>
                <w:sz w:val="20"/>
                <w:szCs w:val="20"/>
                <w:color w:val="auto"/>
              </w:rPr>
              <w:t>THE AGENTS</w:t>
            </w: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67</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64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9.1</w:t>
            </w:r>
          </w:p>
        </w:tc>
        <w:tc>
          <w:tcPr>
            <w:tcW w:w="1100" w:type="dxa"/>
            <w:vAlign w:val="bottom"/>
            <w:gridSpan w:val="7"/>
          </w:tcPr>
          <w:p>
            <w:pPr>
              <w:spacing w:after="0"/>
              <w:rPr>
                <w:sz w:val="20"/>
                <w:szCs w:val="20"/>
                <w:color w:val="auto"/>
              </w:rPr>
            </w:pPr>
            <w:r>
              <w:rPr>
                <w:rFonts w:ascii="Arial" w:cs="Arial" w:eastAsia="Arial" w:hAnsi="Arial"/>
                <w:sz w:val="20"/>
                <w:szCs w:val="20"/>
                <w:color w:val="auto"/>
                <w:w w:val="92"/>
              </w:rPr>
              <w:t>Appointment</w:t>
            </w:r>
          </w:p>
        </w:tc>
        <w:tc>
          <w:tcPr>
            <w:tcW w:w="320" w:type="dxa"/>
            <w:vAlign w:val="bottom"/>
            <w:gridSpan w:val="3"/>
          </w:tcPr>
          <w:p>
            <w:pPr>
              <w:ind w:left="140"/>
              <w:spacing w:after="0"/>
              <w:rPr>
                <w:sz w:val="20"/>
                <w:szCs w:val="20"/>
                <w:color w:val="auto"/>
              </w:rPr>
            </w:pPr>
            <w:r>
              <w:rPr>
                <w:rFonts w:ascii="Arial" w:cs="Arial" w:eastAsia="Arial" w:hAnsi="Arial"/>
                <w:sz w:val="20"/>
                <w:szCs w:val="20"/>
                <w:color w:val="FF0000"/>
                <w:strike w:val="1"/>
                <w:w w:val="71"/>
              </w:rPr>
              <w:t>67</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64</w:t>
            </w:r>
          </w:p>
        </w:tc>
        <w:tc>
          <w:tcPr>
            <w:tcW w:w="3560" w:type="dxa"/>
            <w:vAlign w:val="bottom"/>
            <w:gridSpan w:val="53"/>
          </w:tcPr>
          <w:p>
            <w:pPr>
              <w:spacing w:after="0"/>
              <w:rPr>
                <w:sz w:val="24"/>
                <w:szCs w:val="24"/>
                <w:color w:val="auto"/>
              </w:rPr>
            </w:pPr>
          </w:p>
        </w:tc>
      </w:tr>
      <w:tr>
        <w:trPr>
          <w:trHeight w:val="291"/>
        </w:trPr>
        <w:tc>
          <w:tcPr>
            <w:tcW w:w="1100" w:type="dxa"/>
            <w:vAlign w:val="bottom"/>
          </w:tcPr>
          <w:p>
            <w:pPr>
              <w:ind w:left="660"/>
              <w:spacing w:after="0"/>
              <w:rPr>
                <w:sz w:val="20"/>
                <w:szCs w:val="20"/>
                <w:color w:val="auto"/>
              </w:rPr>
            </w:pPr>
            <w:r>
              <w:rPr>
                <w:rFonts w:ascii="Arial" w:cs="Arial" w:eastAsia="Arial" w:hAnsi="Arial"/>
                <w:sz w:val="20"/>
                <w:szCs w:val="20"/>
                <w:color w:val="auto"/>
              </w:rPr>
              <w:t>9.2</w:t>
            </w:r>
          </w:p>
        </w:tc>
        <w:tc>
          <w:tcPr>
            <w:tcW w:w="1840" w:type="dxa"/>
            <w:vAlign w:val="bottom"/>
            <w:gridSpan w:val="18"/>
          </w:tcPr>
          <w:p>
            <w:pPr>
              <w:spacing w:after="0"/>
              <w:rPr>
                <w:sz w:val="20"/>
                <w:szCs w:val="20"/>
                <w:color w:val="auto"/>
              </w:rPr>
            </w:pPr>
            <w:r>
              <w:rPr>
                <w:rFonts w:ascii="Arial" w:cs="Arial" w:eastAsia="Arial" w:hAnsi="Arial"/>
                <w:sz w:val="20"/>
                <w:szCs w:val="20"/>
                <w:color w:val="auto"/>
              </w:rPr>
              <w:t>Delegation of Duties</w:t>
            </w: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68</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64</w:t>
            </w:r>
          </w:p>
        </w:tc>
        <w:tc>
          <w:tcPr>
            <w:tcW w:w="20" w:type="dxa"/>
            <w:vAlign w:val="bottom"/>
            <w:tcBorders>
              <w:bottom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9.3</w:t>
            </w:r>
          </w:p>
        </w:tc>
        <w:tc>
          <w:tcPr>
            <w:tcW w:w="1900" w:type="dxa"/>
            <w:vAlign w:val="bottom"/>
            <w:gridSpan w:val="21"/>
          </w:tcPr>
          <w:p>
            <w:pPr>
              <w:spacing w:after="0"/>
              <w:rPr>
                <w:sz w:val="20"/>
                <w:szCs w:val="20"/>
                <w:color w:val="auto"/>
              </w:rPr>
            </w:pPr>
            <w:r>
              <w:rPr>
                <w:rFonts w:ascii="Arial" w:cs="Arial" w:eastAsia="Arial" w:hAnsi="Arial"/>
                <w:sz w:val="20"/>
                <w:szCs w:val="20"/>
                <w:color w:val="auto"/>
                <w:w w:val="92"/>
              </w:rPr>
              <w:t>Exculpatory Provisions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68</w:t>
            </w:r>
          </w:p>
        </w:tc>
        <w:tc>
          <w:tcPr>
            <w:tcW w:w="20" w:type="dxa"/>
            <w:vAlign w:val="bottom"/>
          </w:tcPr>
          <w:p>
            <w:pPr>
              <w:spacing w:after="0"/>
              <w:rPr>
                <w:sz w:val="24"/>
                <w:szCs w:val="24"/>
                <w:color w:val="auto"/>
              </w:rPr>
            </w:pPr>
          </w:p>
        </w:tc>
        <w:tc>
          <w:tcPr>
            <w:tcW w:w="200" w:type="dxa"/>
            <w:vAlign w:val="bottom"/>
            <w:tcBorders>
              <w:bottom w:val="single" w:sz="8" w:color="0000FF"/>
            </w:tcBorders>
            <w:gridSpan w:val="5"/>
          </w:tcPr>
          <w:p>
            <w:pPr>
              <w:jc w:val="right"/>
              <w:ind w:right="20"/>
              <w:spacing w:after="0"/>
              <w:rPr>
                <w:sz w:val="20"/>
                <w:szCs w:val="20"/>
                <w:color w:val="auto"/>
              </w:rPr>
            </w:pPr>
            <w:r>
              <w:rPr>
                <w:rFonts w:ascii="Arial" w:cs="Arial" w:eastAsia="Arial" w:hAnsi="Arial"/>
                <w:sz w:val="20"/>
                <w:szCs w:val="20"/>
                <w:color w:val="0000FF"/>
                <w:w w:val="71"/>
              </w:rPr>
              <w:t>64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100" w:type="dxa"/>
            <w:vAlign w:val="bottom"/>
          </w:tcPr>
          <w:p>
            <w:pPr>
              <w:ind w:left="660"/>
              <w:spacing w:after="0"/>
              <w:rPr>
                <w:sz w:val="20"/>
                <w:szCs w:val="20"/>
                <w:color w:val="auto"/>
              </w:rPr>
            </w:pPr>
            <w:r>
              <w:rPr>
                <w:rFonts w:ascii="Arial" w:cs="Arial" w:eastAsia="Arial" w:hAnsi="Arial"/>
                <w:sz w:val="20"/>
                <w:szCs w:val="20"/>
                <w:color w:val="auto"/>
              </w:rPr>
              <w:t>9.4</w:t>
            </w:r>
          </w:p>
        </w:tc>
        <w:tc>
          <w:tcPr>
            <w:tcW w:w="2720" w:type="dxa"/>
            <w:vAlign w:val="bottom"/>
            <w:gridSpan w:val="40"/>
          </w:tcPr>
          <w:p>
            <w:pPr>
              <w:spacing w:after="0"/>
              <w:rPr>
                <w:sz w:val="20"/>
                <w:szCs w:val="20"/>
                <w:color w:val="auto"/>
              </w:rPr>
            </w:pPr>
            <w:r>
              <w:rPr>
                <w:rFonts w:ascii="Arial" w:cs="Arial" w:eastAsia="Arial" w:hAnsi="Arial"/>
                <w:sz w:val="20"/>
                <w:szCs w:val="20"/>
                <w:color w:val="auto"/>
                <w:w w:val="91"/>
              </w:rPr>
              <w:t>Reliance by Administrative Agent</w:t>
            </w:r>
          </w:p>
        </w:tc>
        <w:tc>
          <w:tcPr>
            <w:tcW w:w="4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68</w:t>
            </w:r>
          </w:p>
        </w:tc>
        <w:tc>
          <w:tcPr>
            <w:tcW w:w="240" w:type="dxa"/>
            <w:vAlign w:val="bottom"/>
            <w:gridSpan w:val="6"/>
          </w:tcPr>
          <w:p>
            <w:pPr>
              <w:jc w:val="right"/>
              <w:ind w:right="40"/>
              <w:spacing w:after="0"/>
              <w:rPr>
                <w:sz w:val="20"/>
                <w:szCs w:val="20"/>
                <w:color w:val="auto"/>
              </w:rPr>
            </w:pPr>
            <w:r>
              <w:rPr>
                <w:rFonts w:ascii="Arial" w:cs="Arial" w:eastAsia="Arial" w:hAnsi="Arial"/>
                <w:sz w:val="20"/>
                <w:szCs w:val="20"/>
                <w:color w:val="0000FF"/>
                <w:w w:val="80"/>
              </w:rPr>
              <w:t>65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9.5</w:t>
            </w:r>
          </w:p>
        </w:tc>
        <w:tc>
          <w:tcPr>
            <w:tcW w:w="1460" w:type="dxa"/>
            <w:vAlign w:val="bottom"/>
            <w:gridSpan w:val="12"/>
          </w:tcPr>
          <w:p>
            <w:pPr>
              <w:spacing w:after="0"/>
              <w:rPr>
                <w:sz w:val="20"/>
                <w:szCs w:val="20"/>
                <w:color w:val="auto"/>
              </w:rPr>
            </w:pPr>
            <w:r>
              <w:rPr>
                <w:rFonts w:ascii="Arial" w:cs="Arial" w:eastAsia="Arial" w:hAnsi="Arial"/>
                <w:sz w:val="20"/>
                <w:szCs w:val="20"/>
                <w:color w:val="auto"/>
                <w:w w:val="97"/>
              </w:rPr>
              <w:t>Notice of Default</w:t>
            </w:r>
          </w:p>
        </w:tc>
        <w:tc>
          <w:tcPr>
            <w:tcW w:w="320" w:type="dxa"/>
            <w:vAlign w:val="bottom"/>
            <w:gridSpan w:val="5"/>
          </w:tcPr>
          <w:p>
            <w:pPr>
              <w:jc w:val="right"/>
              <w:spacing w:after="0"/>
              <w:rPr>
                <w:sz w:val="20"/>
                <w:szCs w:val="20"/>
                <w:color w:val="auto"/>
              </w:rPr>
            </w:pPr>
            <w:r>
              <w:rPr>
                <w:rFonts w:ascii="Arial" w:cs="Arial" w:eastAsia="Arial" w:hAnsi="Arial"/>
                <w:sz w:val="20"/>
                <w:szCs w:val="20"/>
                <w:color w:val="FF0000"/>
                <w:strike w:val="1"/>
              </w:rPr>
              <w:t>68</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65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9.6</w:t>
            </w:r>
          </w:p>
        </w:tc>
        <w:tc>
          <w:tcPr>
            <w:tcW w:w="3640" w:type="dxa"/>
            <w:vAlign w:val="bottom"/>
            <w:gridSpan w:val="59"/>
          </w:tcPr>
          <w:p>
            <w:pPr>
              <w:spacing w:after="0"/>
              <w:rPr>
                <w:sz w:val="20"/>
                <w:szCs w:val="20"/>
                <w:color w:val="auto"/>
              </w:rPr>
            </w:pPr>
            <w:r>
              <w:rPr>
                <w:rFonts w:ascii="Arial" w:cs="Arial" w:eastAsia="Arial" w:hAnsi="Arial"/>
                <w:sz w:val="20"/>
                <w:szCs w:val="20"/>
                <w:color w:val="auto"/>
                <w:w w:val="93"/>
              </w:rPr>
              <w:t>Non-Reliance on Agents and Other Lenders</w:t>
            </w:r>
          </w:p>
        </w:tc>
        <w:tc>
          <w:tcPr>
            <w:tcW w:w="240" w:type="dxa"/>
            <w:vAlign w:val="bottom"/>
          </w:tcPr>
          <w:p>
            <w:pPr>
              <w:jc w:val="right"/>
              <w:spacing w:after="0"/>
              <w:rPr>
                <w:sz w:val="20"/>
                <w:szCs w:val="20"/>
                <w:color w:val="auto"/>
              </w:rPr>
            </w:pPr>
            <w:r>
              <w:rPr>
                <w:rFonts w:ascii="Arial" w:cs="Arial" w:eastAsia="Arial" w:hAnsi="Arial"/>
                <w:sz w:val="20"/>
                <w:szCs w:val="20"/>
                <w:color w:val="FF0000"/>
                <w:strike w:val="1"/>
                <w:w w:val="98"/>
              </w:rPr>
              <w:t>69</w:t>
            </w:r>
          </w:p>
        </w:tc>
        <w:tc>
          <w:tcPr>
            <w:tcW w:w="240" w:type="dxa"/>
            <w:vAlign w:val="bottom"/>
            <w:gridSpan w:val="3"/>
          </w:tcPr>
          <w:p>
            <w:pPr>
              <w:jc w:val="right"/>
              <w:ind w:right="40"/>
              <w:spacing w:after="0"/>
              <w:rPr>
                <w:sz w:val="20"/>
                <w:szCs w:val="20"/>
                <w:color w:val="auto"/>
              </w:rPr>
            </w:pPr>
            <w:r>
              <w:rPr>
                <w:rFonts w:ascii="Arial" w:cs="Arial" w:eastAsia="Arial" w:hAnsi="Arial"/>
                <w:sz w:val="20"/>
                <w:szCs w:val="20"/>
                <w:color w:val="0000FF"/>
                <w:w w:val="80"/>
              </w:rPr>
              <w:t>65</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9.7</w:t>
            </w:r>
          </w:p>
        </w:tc>
        <w:tc>
          <w:tcPr>
            <w:tcW w:w="1460" w:type="dxa"/>
            <w:vAlign w:val="bottom"/>
            <w:gridSpan w:val="12"/>
          </w:tcPr>
          <w:p>
            <w:pPr>
              <w:spacing w:after="0"/>
              <w:rPr>
                <w:sz w:val="20"/>
                <w:szCs w:val="20"/>
                <w:color w:val="auto"/>
              </w:rPr>
            </w:pPr>
            <w:r>
              <w:rPr>
                <w:rFonts w:ascii="Arial" w:cs="Arial" w:eastAsia="Arial" w:hAnsi="Arial"/>
                <w:sz w:val="20"/>
                <w:szCs w:val="20"/>
                <w:color w:val="auto"/>
              </w:rPr>
              <w:t>Indemnification</w:t>
            </w:r>
          </w:p>
        </w:tc>
        <w:tc>
          <w:tcPr>
            <w:tcW w:w="180" w:type="dxa"/>
            <w:vAlign w:val="bottom"/>
            <w:gridSpan w:val="2"/>
          </w:tcPr>
          <w:p>
            <w:pPr>
              <w:spacing w:after="0"/>
              <w:rPr>
                <w:sz w:val="20"/>
                <w:szCs w:val="20"/>
                <w:color w:val="auto"/>
              </w:rPr>
            </w:pPr>
            <w:r>
              <w:rPr>
                <w:rFonts w:ascii="Arial" w:cs="Arial" w:eastAsia="Arial" w:hAnsi="Arial"/>
                <w:sz w:val="16"/>
                <w:szCs w:val="16"/>
                <w:color w:val="FF0000"/>
                <w:strike w:val="1"/>
                <w:w w:val="78"/>
              </w:rPr>
              <w:t>69</w:t>
            </w:r>
          </w:p>
        </w:tc>
        <w:tc>
          <w:tcPr>
            <w:tcW w:w="22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9"/>
              </w:rPr>
              <w:t>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9.8</w:t>
            </w:r>
          </w:p>
        </w:tc>
        <w:tc>
          <w:tcPr>
            <w:tcW w:w="2720" w:type="dxa"/>
            <w:vAlign w:val="bottom"/>
            <w:gridSpan w:val="40"/>
          </w:tcPr>
          <w:p>
            <w:pPr>
              <w:spacing w:after="0"/>
              <w:rPr>
                <w:sz w:val="20"/>
                <w:szCs w:val="20"/>
                <w:color w:val="auto"/>
              </w:rPr>
            </w:pPr>
            <w:r>
              <w:rPr>
                <w:rFonts w:ascii="Arial" w:cs="Arial" w:eastAsia="Arial" w:hAnsi="Arial"/>
                <w:sz w:val="20"/>
                <w:szCs w:val="20"/>
                <w:color w:val="auto"/>
                <w:w w:val="98"/>
              </w:rPr>
              <w:t>Agent in Its Individual Capacity</w:t>
            </w:r>
          </w:p>
        </w:tc>
        <w:tc>
          <w:tcPr>
            <w:tcW w:w="2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69</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9.9</w:t>
            </w:r>
          </w:p>
        </w:tc>
        <w:tc>
          <w:tcPr>
            <w:tcW w:w="2720" w:type="dxa"/>
            <w:vAlign w:val="bottom"/>
            <w:gridSpan w:val="40"/>
          </w:tcPr>
          <w:p>
            <w:pPr>
              <w:spacing w:after="0"/>
              <w:rPr>
                <w:sz w:val="20"/>
                <w:szCs w:val="20"/>
                <w:color w:val="auto"/>
              </w:rPr>
            </w:pPr>
            <w:r>
              <w:rPr>
                <w:rFonts w:ascii="Arial" w:cs="Arial" w:eastAsia="Arial" w:hAnsi="Arial"/>
                <w:sz w:val="20"/>
                <w:szCs w:val="20"/>
                <w:color w:val="auto"/>
                <w:w w:val="95"/>
              </w:rPr>
              <w:t>Successor Administrative Agent</w:t>
            </w:r>
          </w:p>
        </w:tc>
        <w:tc>
          <w:tcPr>
            <w:tcW w:w="240" w:type="dxa"/>
            <w:vAlign w:val="bottom"/>
            <w:gridSpan w:val="6"/>
          </w:tcPr>
          <w:p>
            <w:pPr>
              <w:jc w:val="right"/>
              <w:spacing w:after="0"/>
              <w:rPr>
                <w:sz w:val="20"/>
                <w:szCs w:val="20"/>
                <w:color w:val="auto"/>
              </w:rPr>
            </w:pPr>
            <w:r>
              <w:rPr>
                <w:rFonts w:ascii="Arial" w:cs="Arial" w:eastAsia="Arial" w:hAnsi="Arial"/>
                <w:sz w:val="20"/>
                <w:szCs w:val="20"/>
                <w:color w:val="FF0000"/>
                <w:strike w:val="1"/>
                <w:w w:val="98"/>
              </w:rPr>
              <w:t>69</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9.10</w:t>
            </w:r>
          </w:p>
        </w:tc>
        <w:tc>
          <w:tcPr>
            <w:tcW w:w="2720" w:type="dxa"/>
            <w:vAlign w:val="bottom"/>
            <w:gridSpan w:val="40"/>
          </w:tcPr>
          <w:p>
            <w:pPr>
              <w:ind w:left="100"/>
              <w:spacing w:after="0"/>
              <w:rPr>
                <w:sz w:val="20"/>
                <w:szCs w:val="20"/>
                <w:color w:val="auto"/>
              </w:rPr>
            </w:pPr>
            <w:r>
              <w:rPr>
                <w:rFonts w:ascii="Arial" w:cs="Arial" w:eastAsia="Arial" w:hAnsi="Arial"/>
                <w:sz w:val="20"/>
                <w:szCs w:val="20"/>
                <w:color w:val="auto"/>
                <w:w w:val="94"/>
              </w:rPr>
              <w:t>Lead Arranger and Bookrunner</w:t>
            </w:r>
          </w:p>
        </w:tc>
        <w:tc>
          <w:tcPr>
            <w:tcW w:w="40" w:type="dxa"/>
            <w:vAlign w:val="bottom"/>
          </w:tcPr>
          <w:p>
            <w:pPr>
              <w:spacing w:after="0"/>
              <w:rPr>
                <w:sz w:val="24"/>
                <w:szCs w:val="24"/>
                <w:color w:val="auto"/>
              </w:rPr>
            </w:pPr>
          </w:p>
        </w:tc>
        <w:tc>
          <w:tcPr>
            <w:tcW w:w="2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70</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9.11</w:t>
            </w:r>
          </w:p>
        </w:tc>
        <w:tc>
          <w:tcPr>
            <w:tcW w:w="2140" w:type="dxa"/>
            <w:vAlign w:val="bottom"/>
            <w:gridSpan w:val="25"/>
          </w:tcPr>
          <w:p>
            <w:pPr>
              <w:ind w:left="100"/>
              <w:spacing w:after="0"/>
              <w:rPr>
                <w:sz w:val="20"/>
                <w:szCs w:val="20"/>
                <w:color w:val="auto"/>
              </w:rPr>
            </w:pPr>
            <w:r>
              <w:rPr>
                <w:rFonts w:ascii="Arial" w:cs="Arial" w:eastAsia="Arial" w:hAnsi="Arial"/>
                <w:sz w:val="20"/>
                <w:szCs w:val="20"/>
                <w:color w:val="auto"/>
                <w:w w:val="99"/>
              </w:rPr>
              <w:t>Certain ERISA Matters</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70</w:t>
            </w:r>
          </w:p>
        </w:tc>
        <w:tc>
          <w:tcPr>
            <w:tcW w:w="220" w:type="dxa"/>
            <w:vAlign w:val="bottom"/>
            <w:gridSpan w:val="7"/>
          </w:tcPr>
          <w:p>
            <w:pPr>
              <w:jc w:val="right"/>
              <w:ind w:right="20"/>
              <w:spacing w:after="0"/>
              <w:rPr>
                <w:sz w:val="20"/>
                <w:szCs w:val="20"/>
                <w:color w:val="auto"/>
              </w:rPr>
            </w:pPr>
            <w:r>
              <w:rPr>
                <w:rFonts w:ascii="Arial" w:cs="Arial" w:eastAsia="Arial" w:hAnsi="Arial"/>
                <w:sz w:val="20"/>
                <w:szCs w:val="20"/>
                <w:color w:val="0000FF"/>
                <w:w w:val="80"/>
              </w:rPr>
              <w:t>67</w:t>
            </w:r>
          </w:p>
        </w:tc>
        <w:tc>
          <w:tcPr>
            <w:tcW w:w="16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9.12</w:t>
            </w:r>
          </w:p>
        </w:tc>
        <w:tc>
          <w:tcPr>
            <w:tcW w:w="1900" w:type="dxa"/>
            <w:vAlign w:val="bottom"/>
            <w:gridSpan w:val="21"/>
          </w:tcPr>
          <w:p>
            <w:pPr>
              <w:ind w:left="100"/>
              <w:spacing w:after="0"/>
              <w:rPr>
                <w:sz w:val="20"/>
                <w:szCs w:val="20"/>
                <w:color w:val="auto"/>
              </w:rPr>
            </w:pPr>
            <w:r>
              <w:rPr>
                <w:rFonts w:ascii="Arial" w:cs="Arial" w:eastAsia="Arial" w:hAnsi="Arial"/>
                <w:sz w:val="20"/>
                <w:szCs w:val="20"/>
                <w:color w:val="auto"/>
                <w:w w:val="95"/>
              </w:rPr>
              <w:t>Erroneous Payments</w:t>
            </w: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71</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68</w:t>
            </w: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20"/>
                <w:szCs w:val="20"/>
                <w:color w:val="auto"/>
                <w:w w:val="92"/>
              </w:rPr>
              <w:t>SECTION 10</w:t>
            </w:r>
          </w:p>
        </w:tc>
        <w:tc>
          <w:tcPr>
            <w:tcW w:w="1900" w:type="dxa"/>
            <w:vAlign w:val="bottom"/>
            <w:gridSpan w:val="21"/>
          </w:tcPr>
          <w:p>
            <w:pPr>
              <w:jc w:val="center"/>
              <w:ind w:left="21"/>
              <w:spacing w:after="0"/>
              <w:rPr>
                <w:sz w:val="20"/>
                <w:szCs w:val="20"/>
                <w:color w:val="auto"/>
              </w:rPr>
            </w:pPr>
            <w:r>
              <w:rPr>
                <w:rFonts w:ascii="Arial" w:cs="Arial" w:eastAsia="Arial" w:hAnsi="Arial"/>
                <w:sz w:val="20"/>
                <w:szCs w:val="20"/>
                <w:color w:val="auto"/>
                <w:w w:val="97"/>
              </w:rPr>
              <w:t>MISCELLANEOUS</w:t>
            </w:r>
          </w:p>
        </w:tc>
        <w:tc>
          <w:tcPr>
            <w:tcW w:w="140" w:type="dxa"/>
            <w:vAlign w:val="bottom"/>
            <w:gridSpan w:val="2"/>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73</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70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10.1</w:t>
            </w:r>
          </w:p>
        </w:tc>
        <w:tc>
          <w:tcPr>
            <w:tcW w:w="2260" w:type="dxa"/>
            <w:vAlign w:val="bottom"/>
            <w:gridSpan w:val="27"/>
          </w:tcPr>
          <w:p>
            <w:pPr>
              <w:ind w:left="80"/>
              <w:spacing w:after="0"/>
              <w:rPr>
                <w:sz w:val="20"/>
                <w:szCs w:val="20"/>
                <w:color w:val="auto"/>
              </w:rPr>
            </w:pPr>
            <w:r>
              <w:rPr>
                <w:rFonts w:ascii="Arial" w:cs="Arial" w:eastAsia="Arial" w:hAnsi="Arial"/>
                <w:sz w:val="20"/>
                <w:szCs w:val="20"/>
                <w:color w:val="auto"/>
                <w:w w:val="92"/>
              </w:rPr>
              <w:t>Amendments and Waivers</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73</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2000" w:type="dxa"/>
            <w:vAlign w:val="bottom"/>
            <w:gridSpan w:val="5"/>
          </w:tcPr>
          <w:p>
            <w:pPr>
              <w:ind w:left="660"/>
              <w:spacing w:after="0"/>
              <w:rPr>
                <w:sz w:val="20"/>
                <w:szCs w:val="20"/>
                <w:color w:val="auto"/>
              </w:rPr>
            </w:pPr>
            <w:r>
              <w:rPr>
                <w:rFonts w:ascii="Arial" w:cs="Arial" w:eastAsia="Arial" w:hAnsi="Arial"/>
                <w:sz w:val="20"/>
                <w:szCs w:val="20"/>
                <w:color w:val="auto"/>
              </w:rPr>
              <w:t>10.2  Notices</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75</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71</w:t>
            </w:r>
          </w:p>
        </w:tc>
        <w:tc>
          <w:tcPr>
            <w:tcW w:w="3880" w:type="dxa"/>
            <w:vAlign w:val="bottom"/>
            <w:gridSpan w:val="57"/>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10.3</w:t>
            </w:r>
          </w:p>
        </w:tc>
        <w:tc>
          <w:tcPr>
            <w:tcW w:w="2960" w:type="dxa"/>
            <w:vAlign w:val="bottom"/>
            <w:gridSpan w:val="46"/>
          </w:tcPr>
          <w:p>
            <w:pPr>
              <w:ind w:left="100"/>
              <w:spacing w:after="0"/>
              <w:rPr>
                <w:sz w:val="20"/>
                <w:szCs w:val="20"/>
                <w:color w:val="auto"/>
              </w:rPr>
            </w:pPr>
            <w:r>
              <w:rPr>
                <w:rFonts w:ascii="Arial" w:cs="Arial" w:eastAsia="Arial" w:hAnsi="Arial"/>
                <w:sz w:val="20"/>
                <w:szCs w:val="20"/>
                <w:color w:val="auto"/>
                <w:w w:val="94"/>
              </w:rPr>
              <w:t>No Waiver; Cumulative Remedies</w:t>
            </w:r>
          </w:p>
        </w:tc>
        <w:tc>
          <w:tcPr>
            <w:tcW w:w="20" w:type="dxa"/>
            <w:vAlign w:val="bottom"/>
          </w:tcPr>
          <w:p>
            <w:pPr>
              <w:spacing w:after="0"/>
              <w:rPr>
                <w:sz w:val="24"/>
                <w:szCs w:val="24"/>
                <w:color w:val="auto"/>
              </w:rPr>
            </w:pPr>
          </w:p>
        </w:tc>
        <w:tc>
          <w:tcPr>
            <w:tcW w:w="300" w:type="dxa"/>
            <w:vAlign w:val="bottom"/>
            <w:gridSpan w:val="6"/>
          </w:tcPr>
          <w:p>
            <w:pPr>
              <w:jc w:val="right"/>
              <w:ind w:right="60"/>
              <w:spacing w:after="0"/>
              <w:rPr>
                <w:sz w:val="20"/>
                <w:szCs w:val="20"/>
                <w:color w:val="auto"/>
              </w:rPr>
            </w:pPr>
            <w:r>
              <w:rPr>
                <w:rFonts w:ascii="Arial" w:cs="Arial" w:eastAsia="Arial" w:hAnsi="Arial"/>
                <w:sz w:val="20"/>
                <w:szCs w:val="20"/>
                <w:color w:val="FF0000"/>
                <w:strike w:val="1"/>
                <w:w w:val="98"/>
              </w:rPr>
              <w:t>76</w:t>
            </w:r>
          </w:p>
        </w:tc>
        <w:tc>
          <w:tcPr>
            <w:tcW w:w="200" w:type="dxa"/>
            <w:vAlign w:val="bottom"/>
            <w:gridSpan w:val="4"/>
          </w:tcPr>
          <w:p>
            <w:pPr>
              <w:jc w:val="right"/>
              <w:ind w:right="80"/>
              <w:spacing w:after="0"/>
              <w:rPr>
                <w:sz w:val="20"/>
                <w:szCs w:val="20"/>
                <w:color w:val="auto"/>
              </w:rPr>
            </w:pPr>
            <w:r>
              <w:rPr>
                <w:rFonts w:ascii="Arial" w:cs="Arial" w:eastAsia="Arial" w:hAnsi="Arial"/>
                <w:sz w:val="12"/>
                <w:szCs w:val="12"/>
                <w:color w:val="0000FF"/>
                <w:w w:val="74"/>
              </w:rPr>
              <w:t>73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FF"/>
            </w:tcBorders>
            <w:gridSpan w:val="5"/>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10.4</w:t>
            </w:r>
          </w:p>
        </w:tc>
        <w:tc>
          <w:tcPr>
            <w:tcW w:w="3640" w:type="dxa"/>
            <w:vAlign w:val="bottom"/>
            <w:gridSpan w:val="59"/>
          </w:tcPr>
          <w:p>
            <w:pPr>
              <w:ind w:left="100"/>
              <w:spacing w:after="0"/>
              <w:rPr>
                <w:sz w:val="20"/>
                <w:szCs w:val="20"/>
                <w:color w:val="auto"/>
              </w:rPr>
            </w:pPr>
            <w:r>
              <w:rPr>
                <w:rFonts w:ascii="Arial" w:cs="Arial" w:eastAsia="Arial" w:hAnsi="Arial"/>
                <w:sz w:val="20"/>
                <w:szCs w:val="20"/>
                <w:color w:val="auto"/>
                <w:w w:val="91"/>
              </w:rPr>
              <w:t>Survival of Representations and Warranties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rPr>
              <w:t>77</w:t>
            </w:r>
          </w:p>
        </w:tc>
        <w:tc>
          <w:tcPr>
            <w:tcW w:w="840" w:type="dxa"/>
            <w:vAlign w:val="bottom"/>
            <w:gridSpan w:val="3"/>
          </w:tcPr>
          <w:p>
            <w:pPr>
              <w:jc w:val="right"/>
              <w:ind w:right="660"/>
              <w:spacing w:after="0"/>
              <w:rPr>
                <w:sz w:val="20"/>
                <w:szCs w:val="20"/>
                <w:color w:val="auto"/>
              </w:rPr>
            </w:pPr>
            <w:r>
              <w:rPr>
                <w:rFonts w:ascii="Arial" w:cs="Arial" w:eastAsia="Arial" w:hAnsi="Arial"/>
                <w:sz w:val="20"/>
                <w:szCs w:val="20"/>
                <w:color w:val="0000FF"/>
                <w:w w:val="71"/>
              </w:rPr>
              <w:t>73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10.5</w:t>
            </w:r>
          </w:p>
        </w:tc>
        <w:tc>
          <w:tcPr>
            <w:tcW w:w="2720" w:type="dxa"/>
            <w:vAlign w:val="bottom"/>
            <w:gridSpan w:val="40"/>
          </w:tcPr>
          <w:p>
            <w:pPr>
              <w:ind w:left="100"/>
              <w:spacing w:after="0"/>
              <w:rPr>
                <w:sz w:val="20"/>
                <w:szCs w:val="20"/>
                <w:color w:val="auto"/>
              </w:rPr>
            </w:pPr>
            <w:r>
              <w:rPr>
                <w:rFonts w:ascii="Arial" w:cs="Arial" w:eastAsia="Arial" w:hAnsi="Arial"/>
                <w:sz w:val="20"/>
                <w:szCs w:val="20"/>
                <w:color w:val="auto"/>
                <w:w w:val="88"/>
              </w:rPr>
              <w:t>Payment of Expenses and Taxes</w:t>
            </w:r>
          </w:p>
        </w:tc>
        <w:tc>
          <w:tcPr>
            <w:tcW w:w="120" w:type="dxa"/>
            <w:vAlign w:val="bottom"/>
            <w:gridSpan w:val="3"/>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77</w:t>
            </w:r>
          </w:p>
        </w:tc>
        <w:tc>
          <w:tcPr>
            <w:tcW w:w="240" w:type="dxa"/>
            <w:vAlign w:val="bottom"/>
            <w:tcBorders>
              <w:bottom w:val="single" w:sz="8" w:color="0000FF"/>
            </w:tcBorders>
            <w:gridSpan w:val="5"/>
          </w:tcPr>
          <w:p>
            <w:pPr>
              <w:jc w:val="right"/>
              <w:ind w:right="40"/>
              <w:spacing w:after="0"/>
              <w:rPr>
                <w:sz w:val="20"/>
                <w:szCs w:val="20"/>
                <w:color w:val="auto"/>
              </w:rPr>
            </w:pPr>
            <w:r>
              <w:rPr>
                <w:rFonts w:ascii="Arial" w:cs="Arial" w:eastAsia="Arial" w:hAnsi="Arial"/>
                <w:sz w:val="20"/>
                <w:szCs w:val="20"/>
                <w:color w:val="0000FF"/>
                <w:w w:val="80"/>
              </w:rPr>
              <w:t>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00" w:type="dxa"/>
            <w:vAlign w:val="bottom"/>
          </w:tcPr>
          <w:p>
            <w:pPr>
              <w:ind w:left="660"/>
              <w:spacing w:after="0"/>
              <w:rPr>
                <w:sz w:val="20"/>
                <w:szCs w:val="20"/>
                <w:color w:val="auto"/>
              </w:rPr>
            </w:pPr>
            <w:r>
              <w:rPr>
                <w:rFonts w:ascii="Arial" w:cs="Arial" w:eastAsia="Arial" w:hAnsi="Arial"/>
                <w:sz w:val="20"/>
                <w:szCs w:val="20"/>
                <w:color w:val="auto"/>
              </w:rPr>
              <w:t>10.6</w:t>
            </w:r>
          </w:p>
        </w:tc>
        <w:tc>
          <w:tcPr>
            <w:tcW w:w="4780" w:type="dxa"/>
            <w:vAlign w:val="bottom"/>
            <w:gridSpan w:val="64"/>
          </w:tcPr>
          <w:p>
            <w:pPr>
              <w:ind w:left="100"/>
              <w:spacing w:after="0"/>
              <w:rPr>
                <w:sz w:val="20"/>
                <w:szCs w:val="20"/>
                <w:color w:val="auto"/>
              </w:rPr>
            </w:pPr>
            <w:r>
              <w:rPr>
                <w:rFonts w:ascii="Arial" w:cs="Arial" w:eastAsia="Arial" w:hAnsi="Arial"/>
                <w:sz w:val="20"/>
                <w:szCs w:val="20"/>
                <w:color w:val="auto"/>
                <w:w w:val="91"/>
              </w:rPr>
              <w:t>Successors and Assigns; Participations and Assignments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74</w:t>
            </w:r>
          </w:p>
        </w:tc>
      </w:tr>
      <w:tr>
        <w:trPr>
          <w:trHeight w:val="277"/>
        </w:trPr>
        <w:tc>
          <w:tcPr>
            <w:tcW w:w="1100" w:type="dxa"/>
            <w:vAlign w:val="bottom"/>
          </w:tcPr>
          <w:p>
            <w:pPr>
              <w:ind w:left="660"/>
              <w:spacing w:after="0"/>
              <w:rPr>
                <w:sz w:val="20"/>
                <w:szCs w:val="20"/>
                <w:color w:val="auto"/>
              </w:rPr>
            </w:pPr>
            <w:r>
              <w:rPr>
                <w:rFonts w:ascii="Arial" w:cs="Arial" w:eastAsia="Arial" w:hAnsi="Arial"/>
                <w:sz w:val="20"/>
                <w:szCs w:val="20"/>
                <w:color w:val="auto"/>
              </w:rPr>
              <w:t>10.7</w:t>
            </w:r>
          </w:p>
        </w:tc>
        <w:tc>
          <w:tcPr>
            <w:tcW w:w="1900" w:type="dxa"/>
            <w:vAlign w:val="bottom"/>
            <w:gridSpan w:val="21"/>
          </w:tcPr>
          <w:p>
            <w:pPr>
              <w:ind w:left="80"/>
              <w:spacing w:after="0"/>
              <w:rPr>
                <w:sz w:val="20"/>
                <w:szCs w:val="20"/>
                <w:color w:val="auto"/>
              </w:rPr>
            </w:pPr>
            <w:r>
              <w:rPr>
                <w:rFonts w:ascii="Arial" w:cs="Arial" w:eastAsia="Arial" w:hAnsi="Arial"/>
                <w:sz w:val="20"/>
                <w:szCs w:val="20"/>
                <w:color w:val="auto"/>
                <w:w w:val="99"/>
              </w:rPr>
              <w:t>Adjustments; Set-off</w:t>
            </w: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80</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77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100" w:type="dxa"/>
            <w:vAlign w:val="bottom"/>
          </w:tcPr>
          <w:p>
            <w:pPr>
              <w:ind w:left="660"/>
              <w:spacing w:after="0"/>
              <w:rPr>
                <w:sz w:val="20"/>
                <w:szCs w:val="20"/>
                <w:color w:val="auto"/>
              </w:rPr>
            </w:pPr>
            <w:r>
              <w:rPr>
                <w:rFonts w:ascii="Arial" w:cs="Arial" w:eastAsia="Arial" w:hAnsi="Arial"/>
                <w:sz w:val="20"/>
                <w:szCs w:val="20"/>
                <w:color w:val="auto"/>
              </w:rPr>
              <w:t>10.8</w:t>
            </w:r>
          </w:p>
        </w:tc>
        <w:tc>
          <w:tcPr>
            <w:tcW w:w="2960" w:type="dxa"/>
            <w:vAlign w:val="bottom"/>
            <w:gridSpan w:val="46"/>
          </w:tcPr>
          <w:p>
            <w:pPr>
              <w:ind w:left="100"/>
              <w:spacing w:after="0"/>
              <w:rPr>
                <w:sz w:val="20"/>
                <w:szCs w:val="20"/>
                <w:color w:val="auto"/>
              </w:rPr>
            </w:pPr>
            <w:r>
              <w:rPr>
                <w:rFonts w:ascii="Arial" w:cs="Arial" w:eastAsia="Arial" w:hAnsi="Arial"/>
                <w:sz w:val="20"/>
                <w:szCs w:val="20"/>
                <w:color w:val="auto"/>
                <w:w w:val="92"/>
              </w:rPr>
              <w:t>Counterparts; Electronic Execution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Arial" w:cs="Arial" w:eastAsia="Arial" w:hAnsi="Arial"/>
                <w:sz w:val="20"/>
                <w:szCs w:val="20"/>
                <w:color w:val="FF0000"/>
                <w:strike w:val="1"/>
                <w:w w:val="98"/>
              </w:rPr>
              <w:t>81</w:t>
            </w:r>
          </w:p>
        </w:tc>
        <w:tc>
          <w:tcPr>
            <w:tcW w:w="260" w:type="dxa"/>
            <w:vAlign w:val="bottom"/>
            <w:gridSpan w:val="5"/>
          </w:tcPr>
          <w:p>
            <w:pPr>
              <w:jc w:val="right"/>
              <w:ind w:right="60"/>
              <w:spacing w:after="0"/>
              <w:rPr>
                <w:sz w:val="20"/>
                <w:szCs w:val="20"/>
                <w:color w:val="auto"/>
              </w:rPr>
            </w:pPr>
            <w:r>
              <w:rPr>
                <w:rFonts w:ascii="Arial" w:cs="Arial" w:eastAsia="Arial" w:hAnsi="Arial"/>
                <w:sz w:val="20"/>
                <w:szCs w:val="20"/>
                <w:color w:val="0000FF"/>
                <w:w w:val="80"/>
              </w:rPr>
              <w:t>78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2360" w:type="dxa"/>
            <w:vAlign w:val="bottom"/>
            <w:gridSpan w:val="9"/>
          </w:tcPr>
          <w:p>
            <w:pPr>
              <w:ind w:left="660"/>
              <w:spacing w:after="0"/>
              <w:rPr>
                <w:sz w:val="20"/>
                <w:szCs w:val="20"/>
                <w:color w:val="auto"/>
              </w:rPr>
            </w:pPr>
            <w:r>
              <w:rPr>
                <w:rFonts w:ascii="Arial" w:cs="Arial" w:eastAsia="Arial" w:hAnsi="Arial"/>
                <w:sz w:val="20"/>
                <w:szCs w:val="20"/>
                <w:color w:val="auto"/>
              </w:rPr>
              <w:t>10.9  Severability</w:t>
            </w:r>
          </w:p>
        </w:tc>
        <w:tc>
          <w:tcPr>
            <w:tcW w:w="200" w:type="dxa"/>
            <w:vAlign w:val="bottom"/>
            <w:gridSpan w:val="4"/>
          </w:tcPr>
          <w:p>
            <w:pPr>
              <w:spacing w:after="0"/>
              <w:rPr>
                <w:sz w:val="20"/>
                <w:szCs w:val="20"/>
                <w:color w:val="auto"/>
              </w:rPr>
            </w:pPr>
            <w:r>
              <w:rPr>
                <w:rFonts w:ascii="Arial" w:cs="Arial" w:eastAsia="Arial" w:hAnsi="Arial"/>
                <w:sz w:val="20"/>
                <w:szCs w:val="20"/>
                <w:color w:val="FF0000"/>
                <w:strike w:val="1"/>
                <w:w w:val="80"/>
              </w:rPr>
              <w:t>82</w:t>
            </w:r>
          </w:p>
        </w:tc>
        <w:tc>
          <w:tcPr>
            <w:tcW w:w="380" w:type="dxa"/>
            <w:vAlign w:val="bottom"/>
            <w:gridSpan w:val="6"/>
          </w:tcPr>
          <w:p>
            <w:pPr>
              <w:spacing w:after="0"/>
              <w:rPr>
                <w:sz w:val="20"/>
                <w:szCs w:val="20"/>
                <w:color w:val="auto"/>
              </w:rPr>
            </w:pPr>
            <w:r>
              <w:rPr>
                <w:rFonts w:ascii="Arial" w:cs="Arial" w:eastAsia="Arial" w:hAnsi="Arial"/>
                <w:sz w:val="20"/>
                <w:szCs w:val="20"/>
                <w:color w:val="0000FF"/>
              </w:rPr>
              <w:t>79</w:t>
            </w:r>
          </w:p>
        </w:tc>
        <w:tc>
          <w:tcPr>
            <w:tcW w:w="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00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2360" w:type="dxa"/>
            <w:vAlign w:val="bottom"/>
            <w:gridSpan w:val="9"/>
          </w:tcPr>
          <w:p>
            <w:pPr>
              <w:ind w:left="660"/>
              <w:spacing w:after="0"/>
              <w:rPr>
                <w:sz w:val="20"/>
                <w:szCs w:val="20"/>
                <w:color w:val="auto"/>
              </w:rPr>
            </w:pPr>
            <w:r>
              <w:rPr>
                <w:rFonts w:ascii="Arial" w:cs="Arial" w:eastAsia="Arial" w:hAnsi="Arial"/>
                <w:sz w:val="20"/>
                <w:szCs w:val="20"/>
                <w:color w:val="auto"/>
              </w:rPr>
              <w:t>10.10  Integration</w:t>
            </w:r>
          </w:p>
        </w:tc>
        <w:tc>
          <w:tcPr>
            <w:tcW w:w="200" w:type="dxa"/>
            <w:vAlign w:val="bottom"/>
            <w:gridSpan w:val="4"/>
          </w:tcPr>
          <w:p>
            <w:pPr>
              <w:spacing w:after="0"/>
              <w:rPr>
                <w:sz w:val="20"/>
                <w:szCs w:val="20"/>
                <w:color w:val="auto"/>
              </w:rPr>
            </w:pPr>
            <w:r>
              <w:rPr>
                <w:rFonts w:ascii="Arial" w:cs="Arial" w:eastAsia="Arial" w:hAnsi="Arial"/>
                <w:sz w:val="20"/>
                <w:szCs w:val="20"/>
                <w:color w:val="FF0000"/>
                <w:strike w:val="1"/>
                <w:w w:val="80"/>
              </w:rPr>
              <w:t>82</w:t>
            </w:r>
          </w:p>
        </w:tc>
        <w:tc>
          <w:tcPr>
            <w:tcW w:w="380" w:type="dxa"/>
            <w:vAlign w:val="bottom"/>
            <w:gridSpan w:val="6"/>
          </w:tcPr>
          <w:p>
            <w:pPr>
              <w:spacing w:after="0"/>
              <w:rPr>
                <w:sz w:val="20"/>
                <w:szCs w:val="20"/>
                <w:color w:val="auto"/>
              </w:rPr>
            </w:pPr>
            <w:r>
              <w:rPr>
                <w:rFonts w:ascii="Arial" w:cs="Arial" w:eastAsia="Arial" w:hAnsi="Arial"/>
                <w:sz w:val="20"/>
                <w:szCs w:val="20"/>
                <w:color w:val="0000FF"/>
              </w:rPr>
              <w:t>79</w:t>
            </w:r>
          </w:p>
        </w:tc>
        <w:tc>
          <w:tcPr>
            <w:tcW w:w="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00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2560" w:type="dxa"/>
            <w:vAlign w:val="bottom"/>
            <w:gridSpan w:val="13"/>
          </w:tcPr>
          <w:p>
            <w:pPr>
              <w:ind w:left="660"/>
              <w:spacing w:after="0"/>
              <w:rPr>
                <w:sz w:val="20"/>
                <w:szCs w:val="20"/>
                <w:color w:val="auto"/>
              </w:rPr>
            </w:pPr>
            <w:r>
              <w:rPr>
                <w:rFonts w:ascii="Arial" w:cs="Arial" w:eastAsia="Arial" w:hAnsi="Arial"/>
                <w:sz w:val="20"/>
                <w:szCs w:val="20"/>
                <w:color w:val="auto"/>
                <w:w w:val="96"/>
              </w:rPr>
              <w:t>10.11  Governing Law</w:t>
            </w:r>
          </w:p>
        </w:tc>
        <w:tc>
          <w:tcPr>
            <w:tcW w:w="180" w:type="dxa"/>
            <w:vAlign w:val="bottom"/>
            <w:gridSpan w:val="2"/>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79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139"/>
          </w:cols>
          <w:pgMar w:left="320" w:top="1440" w:right="1440" w:bottom="1440" w:gutter="0" w:footer="0" w:header="0"/>
        </w:sectPr>
      </w:pPr>
    </w:p>
    <w:bookmarkStart w:id="54" w:name="page55"/>
    <w:bookmarkEnd w:id="54"/>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10.12</w:t>
            </w:r>
          </w:p>
        </w:tc>
        <w:tc>
          <w:tcPr>
            <w:tcW w:w="100" w:type="dxa"/>
            <w:vAlign w:val="bottom"/>
          </w:tcPr>
          <w:p>
            <w:pPr>
              <w:spacing w:after="0"/>
              <w:rPr>
                <w:sz w:val="19"/>
                <w:szCs w:val="19"/>
                <w:color w:val="auto"/>
              </w:rPr>
            </w:pPr>
          </w:p>
        </w:tc>
        <w:tc>
          <w:tcPr>
            <w:tcW w:w="3040" w:type="dxa"/>
            <w:vAlign w:val="bottom"/>
            <w:gridSpan w:val="12"/>
          </w:tcPr>
          <w:p>
            <w:pPr>
              <w:spacing w:after="0"/>
              <w:rPr>
                <w:sz w:val="20"/>
                <w:szCs w:val="20"/>
                <w:color w:val="auto"/>
              </w:rPr>
            </w:pPr>
            <w:r>
              <w:rPr>
                <w:rFonts w:ascii="Arial" w:cs="Arial" w:eastAsia="Arial" w:hAnsi="Arial"/>
                <w:sz w:val="20"/>
                <w:szCs w:val="20"/>
                <w:color w:val="auto"/>
                <w:w w:val="96"/>
              </w:rPr>
              <w:t>Submission to Jurisdiction; Waivers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79</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91"/>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10.13</w:t>
            </w:r>
          </w:p>
        </w:tc>
        <w:tc>
          <w:tcPr>
            <w:tcW w:w="10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FF0000"/>
                <w:strike w:val="1"/>
                <w:w w:val="91"/>
              </w:rPr>
              <w:t>Acknowledgments</w:t>
            </w:r>
          </w:p>
        </w:tc>
        <w:tc>
          <w:tcPr>
            <w:tcW w:w="380" w:type="dxa"/>
            <w:vAlign w:val="bottom"/>
            <w:gridSpan w:val="4"/>
          </w:tcPr>
          <w:p>
            <w:pPr>
              <w:jc w:val="right"/>
              <w:spacing w:after="0"/>
              <w:rPr>
                <w:sz w:val="20"/>
                <w:szCs w:val="20"/>
                <w:color w:val="auto"/>
              </w:rPr>
            </w:pPr>
            <w:r>
              <w:rPr>
                <w:rFonts w:ascii="Arial" w:cs="Arial" w:eastAsia="Arial" w:hAnsi="Arial"/>
                <w:sz w:val="20"/>
                <w:szCs w:val="20"/>
                <w:color w:val="FF0000"/>
                <w:strike w:val="1"/>
              </w:rPr>
              <w:t>83</w:t>
            </w:r>
          </w:p>
        </w:tc>
        <w:tc>
          <w:tcPr>
            <w:tcW w:w="182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color w:val="0000FF"/>
                <w:w w:val="89"/>
              </w:rPr>
              <w:t>Acknowledgements 80</w:t>
            </w:r>
          </w:p>
        </w:tc>
        <w:tc>
          <w:tcPr>
            <w:tcW w:w="4320" w:type="dxa"/>
            <w:vAlign w:val="bottom"/>
            <w:gridSpan w:val="6"/>
          </w:tcPr>
          <w:p>
            <w:pPr>
              <w:spacing w:after="0"/>
              <w:rPr>
                <w:sz w:val="24"/>
                <w:szCs w:val="24"/>
                <w:color w:val="auto"/>
              </w:rPr>
            </w:pPr>
          </w:p>
        </w:tc>
      </w:tr>
      <w:tr>
        <w:trPr>
          <w:trHeight w:val="277"/>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10.14</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20"/>
                <w:szCs w:val="20"/>
                <w:color w:val="auto"/>
              </w:rPr>
              <w:t>Confidentiality</w:t>
            </w:r>
          </w:p>
        </w:tc>
        <w:tc>
          <w:tcPr>
            <w:tcW w:w="200" w:type="dxa"/>
            <w:vAlign w:val="bottom"/>
            <w:gridSpan w:val="2"/>
          </w:tcPr>
          <w:p>
            <w:pPr>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80</w:t>
            </w:r>
          </w:p>
        </w:tc>
        <w:tc>
          <w:tcPr>
            <w:tcW w:w="10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10.15</w:t>
            </w:r>
          </w:p>
        </w:tc>
        <w:tc>
          <w:tcPr>
            <w:tcW w:w="2640" w:type="dxa"/>
            <w:vAlign w:val="bottom"/>
            <w:gridSpan w:val="9"/>
          </w:tcPr>
          <w:p>
            <w:pPr>
              <w:ind w:left="100"/>
              <w:spacing w:after="0"/>
              <w:rPr>
                <w:sz w:val="20"/>
                <w:szCs w:val="20"/>
                <w:color w:val="auto"/>
              </w:rPr>
            </w:pPr>
            <w:r>
              <w:rPr>
                <w:rFonts w:ascii="Arial" w:cs="Arial" w:eastAsia="Arial" w:hAnsi="Arial"/>
                <w:sz w:val="20"/>
                <w:szCs w:val="20"/>
                <w:color w:val="auto"/>
              </w:rPr>
              <w:t>WAIVERS OF JURY TRIAL</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1"/>
              </w:rPr>
              <w:t>80</w:t>
            </w:r>
          </w:p>
        </w:tc>
        <w:tc>
          <w:tcPr>
            <w:tcW w:w="120" w:type="dxa"/>
            <w:vAlign w:val="bottom"/>
          </w:tcPr>
          <w:p>
            <w:pPr>
              <w:spacing w:after="0"/>
              <w:rPr>
                <w:sz w:val="24"/>
                <w:szCs w:val="24"/>
                <w:color w:val="auto"/>
              </w:rPr>
            </w:pPr>
          </w:p>
        </w:tc>
        <w:tc>
          <w:tcPr>
            <w:tcW w:w="128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10.16</w:t>
            </w:r>
          </w:p>
        </w:tc>
        <w:tc>
          <w:tcPr>
            <w:tcW w:w="10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USA Patriot Act</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84</w:t>
            </w:r>
          </w:p>
        </w:tc>
        <w:tc>
          <w:tcPr>
            <w:tcW w:w="840" w:type="dxa"/>
            <w:vAlign w:val="bottom"/>
            <w:gridSpan w:val="4"/>
          </w:tcPr>
          <w:p>
            <w:pPr>
              <w:jc w:val="right"/>
              <w:ind w:right="640"/>
              <w:spacing w:after="0"/>
              <w:rPr>
                <w:sz w:val="20"/>
                <w:szCs w:val="20"/>
                <w:color w:val="auto"/>
              </w:rPr>
            </w:pPr>
            <w:r>
              <w:rPr>
                <w:rFonts w:ascii="Arial" w:cs="Arial" w:eastAsia="Arial" w:hAnsi="Arial"/>
                <w:sz w:val="20"/>
                <w:szCs w:val="20"/>
                <w:color w:val="0000FF"/>
                <w:w w:val="80"/>
              </w:rPr>
              <w:t>80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10.17</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20"/>
                <w:szCs w:val="20"/>
                <w:color w:val="FF0000"/>
                <w:strike w:val="1"/>
                <w:w w:val="90"/>
              </w:rPr>
              <w:t>Acknowledgment</w:t>
            </w:r>
          </w:p>
        </w:tc>
        <w:tc>
          <w:tcPr>
            <w:tcW w:w="6220" w:type="dxa"/>
            <w:vAlign w:val="bottom"/>
            <w:gridSpan w:val="18"/>
          </w:tcPr>
          <w:p>
            <w:pPr>
              <w:spacing w:after="0"/>
              <w:rPr>
                <w:sz w:val="20"/>
                <w:szCs w:val="20"/>
                <w:color w:val="auto"/>
              </w:rPr>
            </w:pPr>
            <w:r>
              <w:rPr>
                <w:rFonts w:ascii="Arial" w:cs="Arial" w:eastAsia="Arial" w:hAnsi="Arial"/>
                <w:sz w:val="20"/>
                <w:szCs w:val="20"/>
                <w:color w:val="0000FF"/>
                <w:w w:val="94"/>
              </w:rPr>
              <w:t xml:space="preserve">Acknowledgement </w:t>
            </w:r>
            <w:r>
              <w:rPr>
                <w:rFonts w:ascii="Arial" w:cs="Arial" w:eastAsia="Arial" w:hAnsi="Arial"/>
                <w:sz w:val="20"/>
                <w:szCs w:val="20"/>
                <w:color w:val="000000"/>
                <w:w w:val="94"/>
              </w:rPr>
              <w:t>and Consent to Bail-In of Affected Financial Institutions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84</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80</w:t>
            </w:r>
          </w:p>
        </w:tc>
      </w:tr>
      <w:tr>
        <w:trPr>
          <w:trHeight w:val="20"/>
        </w:trPr>
        <w:tc>
          <w:tcPr>
            <w:tcW w:w="5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90"/>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10.18</w:t>
            </w:r>
          </w:p>
        </w:tc>
        <w:tc>
          <w:tcPr>
            <w:tcW w:w="4420" w:type="dxa"/>
            <w:vAlign w:val="bottom"/>
            <w:gridSpan w:val="17"/>
          </w:tcPr>
          <w:p>
            <w:pPr>
              <w:ind w:left="80"/>
              <w:spacing w:after="0"/>
              <w:rPr>
                <w:sz w:val="20"/>
                <w:szCs w:val="20"/>
                <w:color w:val="auto"/>
              </w:rPr>
            </w:pPr>
            <w:r>
              <w:rPr>
                <w:rFonts w:ascii="Arial" w:cs="Arial" w:eastAsia="Arial" w:hAnsi="Arial"/>
                <w:sz w:val="20"/>
                <w:szCs w:val="20"/>
                <w:color w:val="auto"/>
                <w:w w:val="94"/>
              </w:rPr>
              <w:t>Acknowledgement Regarding Any Supported QFCs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81</w:t>
            </w:r>
          </w:p>
        </w:tc>
        <w:tc>
          <w:tcPr>
            <w:tcW w:w="3300" w:type="dxa"/>
            <w:vAlign w:val="bottom"/>
            <w:gridSpan w:val="3"/>
          </w:tcPr>
          <w:p>
            <w:pPr>
              <w:spacing w:after="0"/>
              <w:rPr>
                <w:sz w:val="24"/>
                <w:szCs w:val="24"/>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SCHEDULES</w:t>
      </w:r>
      <w:r>
        <w:rPr>
          <w:rFonts w:ascii="Arial" w:cs="Arial" w:eastAsia="Arial" w:hAnsi="Arial"/>
          <w:sz w:val="20"/>
          <w:szCs w:val="20"/>
          <w:color w:val="auto"/>
        </w:rPr>
        <w:t>:</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1.1A</w:t>
      </w:r>
      <w:r>
        <w:rPr>
          <w:sz w:val="20"/>
          <w:szCs w:val="20"/>
          <w:color w:val="auto"/>
        </w:rPr>
        <w:tab/>
      </w:r>
      <w:r>
        <w:rPr>
          <w:rFonts w:ascii="Arial" w:cs="Arial" w:eastAsia="Arial" w:hAnsi="Arial"/>
          <w:sz w:val="18"/>
          <w:szCs w:val="18"/>
          <w:color w:val="auto"/>
        </w:rPr>
        <w:t>Commitments</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7.5(a)</w:t>
      </w:r>
      <w:r>
        <w:rPr>
          <w:sz w:val="20"/>
          <w:szCs w:val="20"/>
          <w:color w:val="auto"/>
        </w:rPr>
        <w:tab/>
      </w:r>
      <w:r>
        <w:rPr>
          <w:rFonts w:ascii="Arial" w:cs="Arial" w:eastAsia="Arial" w:hAnsi="Arial"/>
          <w:sz w:val="18"/>
          <w:szCs w:val="18"/>
          <w:color w:val="auto"/>
        </w:rPr>
        <w:t>Existing Liens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17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Notice of Borrowing</w:t>
      </w:r>
    </w:p>
    <w:p>
      <w:pPr>
        <w:spacing w:after="0" w:line="189" w:lineRule="exact"/>
        <w:rPr>
          <w:sz w:val="20"/>
          <w:szCs w:val="20"/>
          <w:color w:val="auto"/>
        </w:rPr>
      </w:pPr>
    </w:p>
    <w:p>
      <w:pPr>
        <w:ind w:right="8400" w:firstLine="8"/>
        <w:spacing w:after="0" w:line="477" w:lineRule="auto"/>
        <w:tabs>
          <w:tab w:leader="none" w:pos="3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Notice of Swingline Borrowing C Notice of Conversion</w:t>
      </w:r>
    </w:p>
    <w:p>
      <w:pPr>
        <w:ind w:right="8160"/>
        <w:spacing w:after="0" w:line="455" w:lineRule="auto"/>
        <w:rPr>
          <w:rFonts w:ascii="Arial" w:cs="Arial" w:eastAsia="Arial" w:hAnsi="Arial"/>
          <w:sz w:val="18"/>
          <w:szCs w:val="18"/>
          <w:color w:val="auto"/>
        </w:rPr>
      </w:pPr>
      <w:r>
        <w:rPr>
          <w:rFonts w:ascii="Arial" w:cs="Arial" w:eastAsia="Arial" w:hAnsi="Arial"/>
          <w:sz w:val="19"/>
          <w:szCs w:val="19"/>
          <w:color w:val="auto"/>
        </w:rPr>
        <w:t>D Notice of Interest Period Selection E Form of Compliance Certificate F-1 Form of Secretary’s Certificate F-2 Form of Closing Certificate</w:t>
      </w:r>
    </w:p>
    <w:p>
      <w:pPr>
        <w:spacing w:after="0" w:line="3" w:lineRule="exact"/>
        <w:rPr>
          <w:rFonts w:ascii="Arial" w:cs="Arial" w:eastAsia="Arial" w:hAnsi="Arial"/>
          <w:sz w:val="18"/>
          <w:szCs w:val="18"/>
          <w:color w:val="auto"/>
        </w:rPr>
      </w:pPr>
    </w:p>
    <w:p>
      <w:pPr>
        <w:ind w:right="7920"/>
        <w:spacing w:after="0" w:line="452" w:lineRule="auto"/>
        <w:rPr>
          <w:rFonts w:ascii="Arial" w:cs="Arial" w:eastAsia="Arial" w:hAnsi="Arial"/>
          <w:sz w:val="18"/>
          <w:szCs w:val="18"/>
          <w:color w:val="auto"/>
        </w:rPr>
      </w:pPr>
      <w:r>
        <w:rPr>
          <w:rFonts w:ascii="Arial" w:cs="Arial" w:eastAsia="Arial" w:hAnsi="Arial"/>
          <w:sz w:val="19"/>
          <w:szCs w:val="19"/>
          <w:color w:val="auto"/>
        </w:rPr>
        <w:t>G Form of Assignment and Assumption H Form of Revolving Loan Note</w:t>
      </w:r>
    </w:p>
    <w:p>
      <w:pPr>
        <w:ind w:right="8960"/>
        <w:spacing w:after="0" w:line="494" w:lineRule="auto"/>
        <w:rPr>
          <w:rFonts w:ascii="Arial" w:cs="Arial" w:eastAsia="Arial" w:hAnsi="Arial"/>
          <w:sz w:val="18"/>
          <w:szCs w:val="18"/>
          <w:color w:val="auto"/>
        </w:rPr>
      </w:pPr>
      <w:r>
        <w:rPr>
          <w:rFonts w:ascii="Arial" w:cs="Arial" w:eastAsia="Arial" w:hAnsi="Arial"/>
          <w:sz w:val="19"/>
          <w:szCs w:val="19"/>
          <w:color w:val="auto"/>
        </w:rPr>
        <w:t>I Form of Swingline Note J Form of Term Loan Note</w:t>
      </w:r>
    </w:p>
    <w:p>
      <w:pPr>
        <w:spacing w:after="0" w:line="200" w:lineRule="exact"/>
        <w:rPr>
          <w:sz w:val="20"/>
          <w:szCs w:val="20"/>
          <w:color w:val="auto"/>
        </w:rPr>
      </w:pPr>
    </w:p>
    <w:p>
      <w:pPr>
        <w:spacing w:after="0" w:line="237"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This SECOND AMENDED AND RESTATED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19, 2021, is entered into by and among FAIR ISAAC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w:t>
      </w:r>
    </w:p>
    <w:p>
      <w:pPr>
        <w:jc w:val="both"/>
        <w:spacing w:after="0" w:line="250" w:lineRule="auto"/>
        <w:rPr>
          <w:sz w:val="20"/>
          <w:szCs w:val="20"/>
          <w:color w:val="auto"/>
        </w:rPr>
      </w:pPr>
      <w:r>
        <w:rPr>
          <w:rFonts w:ascii="Arial" w:cs="Arial" w:eastAsia="Arial" w:hAnsi="Arial"/>
          <w:sz w:val="18"/>
          <w:szCs w:val="18"/>
          <w:color w:val="auto"/>
        </w:rPr>
        <w:t>institutions or entities from time to time parties to this Agreement (the “</w:t>
      </w:r>
      <w:r>
        <w:rPr>
          <w:rFonts w:ascii="Arial" w:cs="Arial" w:eastAsia="Arial" w:hAnsi="Arial"/>
          <w:sz w:val="18"/>
          <w:szCs w:val="18"/>
          <w:u w:val="single" w:color="auto"/>
          <w:color w:val="auto"/>
        </w:rPr>
        <w:t>Lenders</w:t>
      </w:r>
      <w:r>
        <w:rPr>
          <w:rFonts w:ascii="Arial" w:cs="Arial" w:eastAsia="Arial" w:hAnsi="Arial"/>
          <w:sz w:val="18"/>
          <w:szCs w:val="18"/>
          <w:color w:val="auto"/>
        </w:rPr>
        <w:t>”); and WELLS FARGO BANK, NATIONAL ASSOCIATION (“</w:t>
      </w:r>
      <w:r>
        <w:rPr>
          <w:rFonts w:ascii="Arial" w:cs="Arial" w:eastAsia="Arial" w:hAnsi="Arial"/>
          <w:sz w:val="18"/>
          <w:szCs w:val="18"/>
          <w:u w:val="single" w:color="auto"/>
          <w:color w:val="auto"/>
        </w:rPr>
        <w:t>Wells Fargo</w:t>
      </w:r>
      <w:r>
        <w:rPr>
          <w:rFonts w:ascii="Arial" w:cs="Arial" w:eastAsia="Arial" w:hAnsi="Arial"/>
          <w:sz w:val="18"/>
          <w:szCs w:val="18"/>
          <w:color w:val="auto"/>
        </w:rPr>
        <w:t>”), as administrative agent (in such capacity, together with any successor thereto,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Borrower, certain of the Lenders and the Administrative Agent previously entered into that certain</w:t>
      </w:r>
    </w:p>
    <w:p>
      <w:pPr>
        <w:spacing w:after="0" w:line="220" w:lineRule="auto"/>
        <w:rPr>
          <w:sz w:val="20"/>
          <w:szCs w:val="20"/>
          <w:color w:val="auto"/>
        </w:rPr>
      </w:pPr>
      <w:r>
        <w:rPr>
          <w:rFonts w:ascii="Arial" w:cs="Arial" w:eastAsia="Arial" w:hAnsi="Arial"/>
          <w:sz w:val="20"/>
          <w:szCs w:val="20"/>
          <w:color w:val="auto"/>
        </w:rPr>
        <w:t>Amended and Restated Credit Agreement dated as of December 30, 2014 (as amended prior to the date hereof, the “</w:t>
      </w:r>
      <w:r>
        <w:rPr>
          <w:rFonts w:ascii="Arial" w:cs="Arial" w:eastAsia="Arial" w:hAnsi="Arial"/>
          <w:sz w:val="20"/>
          <w:szCs w:val="20"/>
          <w:u w:val="single" w:color="auto"/>
          <w:color w:val="auto"/>
        </w:rPr>
        <w:t>Existing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pursuant to which the Lenders under the Existing Credit Agreement provided certain credit facilities to the Borrower.</w:t>
      </w:r>
    </w:p>
    <w:p>
      <w:pPr>
        <w:spacing w:after="0" w:line="189"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WHEREAS, certain of the Lenders under the Existing Credit Agreement have agreed to amend and restate the Existing Credit Agreement as follows.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certain additional Lenders that were not a party to the Existing Credit Agreement have agreed to enter into this</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Borrower has requested that the Lenders make available to it the credit facilities described herein.</w:t>
      </w:r>
    </w:p>
    <w:p>
      <w:pPr>
        <w:spacing w:after="0" w:line="200"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WHEREAS, the Lenders are willing to make available the credit facilities described herein upon and subject to the terms and conditions set forth herein.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SECTION 1</w:t>
      </w:r>
    </w:p>
    <w:p>
      <w:pPr>
        <w:ind w:left="5140"/>
        <w:spacing w:after="0"/>
        <w:rPr>
          <w:sz w:val="20"/>
          <w:szCs w:val="20"/>
          <w:color w:val="auto"/>
        </w:rPr>
      </w:pPr>
      <w:r>
        <w:rPr>
          <w:rFonts w:ascii="Arial" w:cs="Arial" w:eastAsia="Arial" w:hAnsi="Arial"/>
          <w:sz w:val="20"/>
          <w:szCs w:val="20"/>
          <w:b w:val="1"/>
          <w:bCs w:val="1"/>
          <w:color w:val="auto"/>
        </w:rPr>
        <w:t>GENERAL</w:t>
      </w:r>
    </w:p>
    <w:p>
      <w:pPr>
        <w:spacing w:after="0" w:line="1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18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As used in this Agreement, the terms listed in this Section 1.1 shall have the respective meanings set forth in this Section 1.1.</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xml:space="preserve">”: for any day, a rate per annum equal to the greatest of (a) the Base Rate in effect on such day, (b) the Federal Funds Effective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½ of 1% and (c) </w:t>
      </w:r>
      <w:r>
        <w:rPr>
          <w:rFonts w:ascii="Arial" w:cs="Arial" w:eastAsia="Arial" w:hAnsi="Arial"/>
          <w:sz w:val="18"/>
          <w:szCs w:val="18"/>
          <w:color w:val="FF0000"/>
          <w:strike w:val="1"/>
        </w:rPr>
        <w:t>the One Month Eurodollar Rate</w:t>
      </w:r>
      <w:r>
        <w:rPr>
          <w:rFonts w:ascii="Arial" w:cs="Arial" w:eastAsia="Arial" w:hAnsi="Arial"/>
          <w:sz w:val="18"/>
          <w:szCs w:val="18"/>
          <w:u w:val="single" w:color="auto"/>
          <w:color w:val="0000FF"/>
        </w:rPr>
        <w:t>Adjusted Term SOFR for a one-month tenor in effect on such</w:t>
      </w:r>
    </w:p>
    <w:p>
      <w:pPr>
        <w:spacing w:after="0" w:line="222" w:lineRule="auto"/>
        <w:rPr>
          <w:sz w:val="20"/>
          <w:szCs w:val="20"/>
          <w:color w:val="auto"/>
        </w:rPr>
      </w:pPr>
      <w:r>
        <w:rPr>
          <w:rFonts w:ascii="Arial" w:cs="Arial" w:eastAsia="Arial" w:hAnsi="Arial"/>
          <w:sz w:val="19"/>
          <w:szCs w:val="19"/>
          <w:u w:val="single" w:color="auto"/>
          <w:color w:val="0000FF"/>
        </w:rPr>
        <w:t>day</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plus</w:t>
      </w:r>
      <w:r>
        <w:rPr>
          <w:rFonts w:ascii="Arial" w:cs="Arial" w:eastAsia="Arial" w:hAnsi="Arial"/>
          <w:sz w:val="19"/>
          <w:szCs w:val="19"/>
          <w:color w:val="0000FF"/>
        </w:rPr>
        <w:t xml:space="preserve"> </w:t>
      </w:r>
      <w:r>
        <w:rPr>
          <w:rFonts w:ascii="Arial" w:cs="Arial" w:eastAsia="Arial" w:hAnsi="Arial"/>
          <w:sz w:val="19"/>
          <w:szCs w:val="19"/>
          <w:color w:val="000000"/>
        </w:rPr>
        <w:t>1% (</w:t>
      </w:r>
      <w:r>
        <w:rPr>
          <w:rFonts w:ascii="Arial" w:cs="Arial" w:eastAsia="Arial" w:hAnsi="Arial"/>
          <w:sz w:val="19"/>
          <w:szCs w:val="19"/>
          <w:u w:val="single" w:color="auto"/>
          <w:color w:val="000000"/>
        </w:rPr>
        <w:t>provided</w:t>
      </w:r>
      <w:r>
        <w:rPr>
          <w:rFonts w:ascii="Arial" w:cs="Arial" w:eastAsia="Arial" w:hAnsi="Arial"/>
          <w:sz w:val="19"/>
          <w:szCs w:val="19"/>
          <w:color w:val="0000FF"/>
        </w:rPr>
        <w:t xml:space="preserve"> </w:t>
      </w:r>
      <w:r>
        <w:rPr>
          <w:rFonts w:ascii="Arial" w:cs="Arial" w:eastAsia="Arial" w:hAnsi="Arial"/>
          <w:sz w:val="19"/>
          <w:szCs w:val="19"/>
          <w:color w:val="000000"/>
        </w:rPr>
        <w:t>that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clause (c)</w:t>
      </w:r>
      <w:r>
        <w:rPr>
          <w:rFonts w:ascii="Arial" w:cs="Arial" w:eastAsia="Arial" w:hAnsi="Arial"/>
          <w:sz w:val="19"/>
          <w:szCs w:val="19"/>
          <w:color w:val="0000FF"/>
        </w:rPr>
        <w:t xml:space="preserve"> </w:t>
      </w:r>
      <w:r>
        <w:rPr>
          <w:rFonts w:ascii="Arial" w:cs="Arial" w:eastAsia="Arial" w:hAnsi="Arial"/>
          <w:sz w:val="19"/>
          <w:szCs w:val="19"/>
          <w:color w:val="000000"/>
        </w:rPr>
        <w:t>shall not be applicable during any period in which</w:t>
      </w:r>
      <w:r>
        <w:rPr>
          <w:rFonts w:ascii="Arial" w:cs="Arial" w:eastAsia="Arial" w:hAnsi="Arial"/>
          <w:sz w:val="19"/>
          <w:szCs w:val="19"/>
          <w:color w:val="0000FF"/>
        </w:rPr>
        <w:t xml:space="preserve"> </w:t>
      </w:r>
      <w:r>
        <w:rPr>
          <w:rFonts w:ascii="Arial" w:cs="Arial" w:eastAsia="Arial" w:hAnsi="Arial"/>
          <w:sz w:val="19"/>
          <w:szCs w:val="19"/>
          <w:color w:val="FF0000"/>
          <w:strike w:val="1"/>
        </w:rPr>
        <w:t>the Eurodollar Rate</w:t>
      </w:r>
      <w:r>
        <w:rPr>
          <w:rFonts w:ascii="Arial" w:cs="Arial" w:eastAsia="Arial" w:hAnsi="Arial"/>
          <w:sz w:val="19"/>
          <w:szCs w:val="19"/>
          <w:u w:val="single" w:color="auto"/>
          <w:color w:val="0000FF"/>
        </w:rPr>
        <w:t>Adjusted Term SOFR</w:t>
      </w:r>
      <w:r>
        <w:rPr>
          <w:rFonts w:ascii="Arial" w:cs="Arial" w:eastAsia="Arial" w:hAnsi="Arial"/>
          <w:sz w:val="19"/>
          <w:szCs w:val="19"/>
          <w:color w:val="0000FF"/>
        </w:rPr>
        <w:t xml:space="preserve"> </w:t>
      </w:r>
      <w:r>
        <w:rPr>
          <w:rFonts w:ascii="Arial" w:cs="Arial" w:eastAsia="Arial" w:hAnsi="Arial"/>
          <w:sz w:val="19"/>
          <w:szCs w:val="19"/>
          <w:color w:val="000000"/>
        </w:rPr>
        <w:t>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unavailable or unascertainable). For purposes hereof, “</w:t>
      </w:r>
      <w:r>
        <w:rPr>
          <w:rFonts w:ascii="Arial" w:cs="Arial" w:eastAsia="Arial" w:hAnsi="Arial"/>
          <w:sz w:val="18"/>
          <w:szCs w:val="18"/>
          <w:u w:val="single" w:color="auto"/>
          <w:color w:val="auto"/>
        </w:rPr>
        <w:t>Base Rate</w:t>
      </w:r>
      <w:r>
        <w:rPr>
          <w:rFonts w:ascii="Arial" w:cs="Arial" w:eastAsia="Arial" w:hAnsi="Arial"/>
          <w:sz w:val="18"/>
          <w:szCs w:val="18"/>
          <w:color w:val="auto"/>
        </w:rPr>
        <w:t>” shall mean the rate of interest per annum publicly announced from time to time by the Administrative Agent as its base rate in effect at its principal office in San Francisco, California (the Base Rate not being</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intended to be the lowest rate of interest charged by the Administrative Agent in connection with extensions of credit to debtors). </w:t>
      </w:r>
      <w:r>
        <w:rPr>
          <w:rFonts w:ascii="Arial" w:cs="Arial" w:eastAsia="Arial" w:hAnsi="Arial"/>
          <w:sz w:val="18"/>
          <w:szCs w:val="18"/>
          <w:color w:val="FF0000"/>
          <w:strike w:val="1"/>
        </w:rPr>
        <w:t>For</w:t>
      </w:r>
      <w:r>
        <w:rPr>
          <w:rFonts w:ascii="Arial" w:cs="Arial" w:eastAsia="Arial" w:hAnsi="Arial"/>
          <w:sz w:val="18"/>
          <w:szCs w:val="18"/>
          <w:color w:val="auto"/>
        </w:rPr>
        <w:t xml:space="preserve"> </w:t>
      </w:r>
      <w:r>
        <w:rPr>
          <w:rFonts w:ascii="Arial" w:cs="Arial" w:eastAsia="Arial" w:hAnsi="Arial"/>
          <w:sz w:val="18"/>
          <w:szCs w:val="18"/>
          <w:color w:val="FF0000"/>
          <w:strike w:val="1"/>
        </w:rPr>
        <w:t>purposes hereof, “</w:t>
      </w:r>
      <w:r>
        <w:rPr>
          <w:rFonts w:ascii="Arial" w:cs="Arial" w:eastAsia="Arial" w:hAnsi="Arial"/>
          <w:sz w:val="18"/>
          <w:szCs w:val="18"/>
          <w:u w:val="single" w:color="auto"/>
          <w:color w:val="FF0000"/>
          <w:strike w:val="1"/>
        </w:rPr>
        <w:t>One Month Eurodollar Rate</w:t>
      </w:r>
      <w:r>
        <w:rPr>
          <w:rFonts w:ascii="Arial" w:cs="Arial" w:eastAsia="Arial" w:hAnsi="Arial"/>
          <w:sz w:val="18"/>
          <w:szCs w:val="18"/>
          <w:color w:val="FF0000"/>
          <w:strike w:val="1"/>
        </w:rPr>
        <w:t>” shall mean, subject to the implementation of a Benchmark Replacement in accordance with</w:t>
      </w:r>
    </w:p>
    <w:p>
      <w:pPr>
        <w:spacing w:after="0" w:line="236" w:lineRule="auto"/>
        <w:rPr>
          <w:sz w:val="20"/>
          <w:szCs w:val="20"/>
          <w:color w:val="auto"/>
        </w:rPr>
      </w:pPr>
      <w:r>
        <w:rPr>
          <w:rFonts w:ascii="Arial" w:cs="Arial" w:eastAsia="Arial" w:hAnsi="Arial"/>
          <w:sz w:val="18"/>
          <w:szCs w:val="18"/>
          <w:color w:val="FF0000"/>
          <w:strike w:val="1"/>
        </w:rPr>
        <w:t>Section 2.12(c), with respect to any interest rate calculation for a Loan or other Obligation bearing interest at ABR, a rate per annum equal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the quotient of (i) the rate per annum as published by the ICE Benchmark Administration Limited, a United Kingdom company, or a comparable or successor quoting service approved by the Administrative Agent, on the applicable day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if such day is not a</w:t>
      </w:r>
    </w:p>
    <w:p>
      <w:pPr>
        <w:spacing w:after="0" w:line="236" w:lineRule="auto"/>
        <w:rPr>
          <w:sz w:val="20"/>
          <w:szCs w:val="20"/>
          <w:color w:val="auto"/>
        </w:rPr>
      </w:pPr>
      <w:r>
        <w:rPr>
          <w:rFonts w:ascii="Arial" w:cs="Arial" w:eastAsia="Arial" w:hAnsi="Arial"/>
          <w:sz w:val="18"/>
          <w:szCs w:val="18"/>
          <w:color w:val="FF0000"/>
          <w:strike w:val="1"/>
        </w:rPr>
        <w:t>Business Day for which such rate is quoted, the next preceding Business Day for which such rate is quoted) at or about 11:00 a.m., London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time (or as soon thereafter as practicable), for Dollar deposits being delivered in the London interbank eurodollar currency market for a term of one month commencing on such date of determination, divided by (ii) one minus the Eurocurrency Reserve Requirement in effect on such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day. If for any reason rates are not available as provided in clause (i) of the preceding sentence, the rate to be used in clause (i) shall be, at the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Administrative Agent’s discretion, (A) the rate per annum at which Dollar deposits are offered to the Administrative Agent in the London interbank eurodollar currency market or (B) the rate at which Dollar deposits are offered to the Administrative Agent in, or by the</w:t>
      </w:r>
    </w:p>
    <w:p>
      <w:pPr>
        <w:spacing w:after="0" w:line="236" w:lineRule="auto"/>
        <w:rPr>
          <w:sz w:val="20"/>
          <w:szCs w:val="20"/>
          <w:color w:val="auto"/>
        </w:rPr>
      </w:pPr>
      <w:r>
        <w:rPr>
          <w:rFonts w:ascii="Arial" w:cs="Arial" w:eastAsia="Arial" w:hAnsi="Arial"/>
          <w:sz w:val="18"/>
          <w:szCs w:val="18"/>
          <w:color w:val="FF0000"/>
          <w:strike w:val="1"/>
        </w:rPr>
        <w:t>Administrative Agent to major banks in, any offshore interbank eurodollar market selected by the Administrative Agent, in each case on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applicable day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if such day is not a Business Day for which Dollar deposits are offered to the Administrative Agent in the London or such offshore interbank eurodollar currency market, the next preceding Business Day for which Dollar deposits are offered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Administrative Agent in the London or such offshore interbank eurodollar currency market) at or about 11:00 a.m.,</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London time (or as soon thereafter as practicable) (for delivery on such date of determination) for a one month term.</w:t>
      </w:r>
      <w:r>
        <w:rPr>
          <w:rFonts w:ascii="Arial" w:cs="Arial" w:eastAsia="Arial" w:hAnsi="Arial"/>
          <w:sz w:val="18"/>
          <w:szCs w:val="18"/>
          <w:color w:val="FF0000"/>
        </w:rPr>
        <w:t xml:space="preserve"> </w:t>
      </w:r>
      <w:r>
        <w:rPr>
          <w:rFonts w:ascii="Arial" w:cs="Arial" w:eastAsia="Arial" w:hAnsi="Arial"/>
          <w:sz w:val="18"/>
          <w:szCs w:val="18"/>
          <w:color w:val="000000"/>
        </w:rPr>
        <w:t>Any change in the ABR</w:t>
      </w:r>
    </w:p>
    <w:p>
      <w:pPr>
        <w:spacing w:after="0" w:line="1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 xml:space="preserve">due to a change in the Base Rate, the Federal Funds Effective Rate or </w:t>
      </w:r>
      <w:r>
        <w:rPr>
          <w:rFonts w:ascii="Arial" w:cs="Arial" w:eastAsia="Arial" w:hAnsi="Arial"/>
          <w:sz w:val="16"/>
          <w:szCs w:val="16"/>
          <w:color w:val="FF0000"/>
          <w:strike w:val="1"/>
        </w:rPr>
        <w:t>the One Month Eurodollar Rate</w:t>
      </w:r>
      <w:r>
        <w:rPr>
          <w:rFonts w:ascii="Arial" w:cs="Arial" w:eastAsia="Arial" w:hAnsi="Arial"/>
          <w:sz w:val="16"/>
          <w:szCs w:val="16"/>
          <w:u w:val="single" w:color="auto"/>
          <w:color w:val="0000FF"/>
        </w:rPr>
        <w:t>Adjusted Term SOFR</w:t>
      </w:r>
      <w:r>
        <w:rPr>
          <w:rFonts w:ascii="Arial" w:cs="Arial" w:eastAsia="Arial" w:hAnsi="Arial"/>
          <w:sz w:val="16"/>
          <w:szCs w:val="16"/>
          <w:color w:val="auto"/>
        </w:rPr>
        <w:t xml:space="preserve"> shall be effective as of the opening of business on the effective day of such change in the Base Rate, the Federal Funds Effective Rate or </w:t>
      </w:r>
      <w:r>
        <w:rPr>
          <w:rFonts w:ascii="Arial" w:cs="Arial" w:eastAsia="Arial" w:hAnsi="Arial"/>
          <w:sz w:val="16"/>
          <w:szCs w:val="16"/>
          <w:color w:val="FF0000"/>
          <w:strike w:val="1"/>
        </w:rPr>
        <w:t>the One Month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Adjusted Term SOFR</w:t>
      </w:r>
      <w:r>
        <w:rPr>
          <w:rFonts w:ascii="Arial" w:cs="Arial" w:eastAsia="Arial" w:hAnsi="Arial"/>
          <w:sz w:val="20"/>
          <w:szCs w:val="20"/>
          <w:color w:val="000000"/>
        </w:rPr>
        <w:t>,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calculation by the Administrative Agent of the ABR shall be conclusive and binding for all purposes, absent manifest error.</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color w:val="FF0000"/>
          <w:strike w:val="1"/>
        </w:rPr>
        <w:t>(x)</w:t>
      </w:r>
      <w:r>
        <w:rPr>
          <w:rFonts w:ascii="Arial" w:cs="Arial" w:eastAsia="Arial" w:hAnsi="Arial"/>
          <w:sz w:val="18"/>
          <w:szCs w:val="18"/>
          <w:color w:val="auto"/>
        </w:rPr>
        <w:t xml:space="preserve"> in no event shall the </w:t>
      </w:r>
      <w:r>
        <w:rPr>
          <w:rFonts w:ascii="Arial" w:cs="Arial" w:eastAsia="Arial" w:hAnsi="Arial"/>
          <w:sz w:val="18"/>
          <w:szCs w:val="18"/>
          <w:color w:val="FF0000"/>
          <w:strike w:val="1"/>
        </w:rPr>
        <w:t>One Month Eurodollar Rate (including, without limitation, any Benchmark</w:t>
      </w:r>
      <w:r>
        <w:rPr>
          <w:rFonts w:ascii="Arial" w:cs="Arial" w:eastAsia="Arial" w:hAnsi="Arial"/>
          <w:sz w:val="18"/>
          <w:szCs w:val="18"/>
          <w:color w:val="auto"/>
        </w:rPr>
        <w:t xml:space="preserve"> </w:t>
      </w:r>
      <w:r>
        <w:rPr>
          <w:rFonts w:ascii="Arial" w:cs="Arial" w:eastAsia="Arial" w:hAnsi="Arial"/>
          <w:sz w:val="18"/>
          <w:szCs w:val="18"/>
          <w:color w:val="FF0000"/>
          <w:strike w:val="1"/>
        </w:rPr>
        <w:t>Replacement with respect thereto) be less than 0% and (y) unless otherwise specified in any amendment to this Agreement entered into in</w:t>
      </w:r>
    </w:p>
    <w:p>
      <w:pPr>
        <w:jc w:val="both"/>
        <w:ind w:right="20"/>
        <w:spacing w:after="0" w:line="312" w:lineRule="auto"/>
        <w:rPr>
          <w:sz w:val="20"/>
          <w:szCs w:val="20"/>
          <w:color w:val="auto"/>
        </w:rPr>
      </w:pPr>
      <w:r>
        <w:rPr>
          <w:rFonts w:ascii="Arial" w:cs="Arial" w:eastAsia="Arial" w:hAnsi="Arial"/>
          <w:sz w:val="16"/>
          <w:szCs w:val="16"/>
          <w:color w:val="FF0000"/>
          <w:strike w:val="1"/>
        </w:rPr>
        <w:t>accordance with Section 2.12(c), in the event that a Benchmark Replacement with respect to the One Month Eurodollar Rate is implemented, then all references herein to One Month Eurodollar Rate shall be deemed references to such Benchmark Replacement</w:t>
      </w:r>
      <w:r>
        <w:rPr>
          <w:rFonts w:ascii="Arial" w:cs="Arial" w:eastAsia="Arial" w:hAnsi="Arial"/>
          <w:sz w:val="16"/>
          <w:szCs w:val="16"/>
          <w:u w:val="single" w:color="auto"/>
          <w:color w:val="0000FF"/>
          <w:strike w:val="1"/>
        </w:rPr>
        <w:t>ABR be less than 0%</w:t>
      </w:r>
      <w:r>
        <w:rPr>
          <w:rFonts w:ascii="Arial" w:cs="Arial" w:eastAsia="Arial" w:hAnsi="Arial"/>
          <w:sz w:val="16"/>
          <w:szCs w:val="16"/>
          <w:color w:val="000000"/>
          <w:strike w:val="1"/>
        </w:rPr>
        <w: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Loans</w:t>
      </w:r>
      <w:r>
        <w:rPr>
          <w:rFonts w:ascii="Arial" w:cs="Arial" w:eastAsia="Arial" w:hAnsi="Arial"/>
          <w:sz w:val="20"/>
          <w:szCs w:val="20"/>
          <w:color w:val="auto"/>
        </w:rPr>
        <w:t>”: Loans the rate of interest applicable to which is based upon the ABR.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Portion</w:t>
      </w:r>
      <w:r>
        <w:rPr>
          <w:rFonts w:ascii="Arial" w:cs="Arial" w:eastAsia="Arial" w:hAnsi="Arial"/>
          <w:sz w:val="20"/>
          <w:szCs w:val="20"/>
          <w:color w:val="auto"/>
        </w:rPr>
        <w:t>”: as defined in Section 2.19(e).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Step Up</w:t>
      </w:r>
      <w:r>
        <w:rPr>
          <w:rFonts w:ascii="Arial" w:cs="Arial" w:eastAsia="Arial" w:hAnsi="Arial"/>
          <w:sz w:val="20"/>
          <w:szCs w:val="20"/>
          <w:color w:val="auto"/>
        </w:rPr>
        <w:t>”: as defined in Section 7.1.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“Adjusted Term SOFR”: for purposes of any calculation, the rate per annum equal to (a) Term SOFR for such calculation plus (b) the</w:t>
      </w:r>
    </w:p>
    <w:p>
      <w:pPr>
        <w:spacing w:after="0" w:line="12"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u w:val="single" w:color="auto"/>
          <w:color w:val="0000FF"/>
        </w:rPr>
        <w:t>Term SOFR Adjustment; provided that if Adjusted Term SOFR as so determined shall ever be less than the Floor, then Adjusted Term SOFR shall be deemed to be the Floor.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defined in the preamble hereto and any successor in accordance with the terms and conditions of Section</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9.9.</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(a) any EEA Financial Institution or (b) any UK Financial Institution.</w:t>
      </w:r>
    </w:p>
    <w:p>
      <w:pPr>
        <w:spacing w:after="0" w:line="18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with respect to any Person, (a) each Person that, directly or indirectly, owns or controls, whether beneficially or as a trustee, guardian or other fiduciary, ten percent (10%) or more of any class of Equity Securities of such Person, (b) each Person that controls,</w:t>
      </w:r>
    </w:p>
    <w:p>
      <w:pPr>
        <w:spacing w:after="0" w:line="236" w:lineRule="auto"/>
        <w:rPr>
          <w:sz w:val="20"/>
          <w:szCs w:val="20"/>
          <w:color w:val="auto"/>
        </w:rPr>
      </w:pPr>
      <w:r>
        <w:rPr>
          <w:rFonts w:ascii="Arial" w:cs="Arial" w:eastAsia="Arial" w:hAnsi="Arial"/>
          <w:sz w:val="18"/>
          <w:szCs w:val="18"/>
          <w:color w:val="auto"/>
        </w:rPr>
        <w:t>is controlled by or is under common control with such Person or any Affiliate of such Person or (c) each of such Person’s officers, directors,</w:t>
      </w:r>
    </w:p>
    <w:p>
      <w:pPr>
        <w:jc w:val="both"/>
        <w:ind w:right="20"/>
        <w:spacing w:after="0" w:line="226" w:lineRule="auto"/>
        <w:rPr>
          <w:sz w:val="20"/>
          <w:szCs w:val="20"/>
          <w:color w:val="auto"/>
        </w:rPr>
      </w:pPr>
      <w:r>
        <w:rPr>
          <w:rFonts w:ascii="Arial" w:cs="Arial" w:eastAsia="Arial" w:hAnsi="Arial"/>
          <w:sz w:val="18"/>
          <w:szCs w:val="18"/>
          <w:color w:val="auto"/>
        </w:rPr>
        <w:t xml:space="preserve">managers, joint venturers and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case shall the Administrative Agent or any Lender be deemed to be an Affiliate of the Borrower for purposes of this Agreement. For the purpose of this definition, “control” of a Person shall mean the possession,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directly or indirectly, of the power to direct or cause the direction of its management or policies, whether through the ownership of voting securities, by contract or otherwise.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the collective reference to the Lead Arranger and the Administrative Agent.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as defined in the preamble hereto.</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as defined in Section 4.16(b).</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w:t>
      </w:r>
      <w:r>
        <w:rPr>
          <w:rFonts w:ascii="Arial" w:cs="Arial" w:eastAsia="Arial" w:hAnsi="Arial"/>
          <w:sz w:val="20"/>
          <w:szCs w:val="20"/>
          <w:color w:val="auto"/>
        </w:rPr>
        <w:t>”: each of: (a) the Executive Order; (b) the Patriot Act; (c) the Money Laundering Control Act of 1986, 18 U.S.C. §§ 1956 &amp; 1957; and (d) any other governmental rule now or hereafter enacted to monitor, deter or otherwise prevent terrorism or the funding or support of terrorism, including, without limitation, economic or financial sanctions</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or trade embargoes imposed, administered or enforced from time to time by (i) the U.S. government, including those administered by the</w:t>
      </w:r>
    </w:p>
    <w:p>
      <w:pPr>
        <w:spacing w:after="0" w:line="1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Office of Foreign Assets Control of the U.S. Department of Treasury or the U.S. Department of State, or (ii) the United Nations Security Council, the European Union, any European Union member state or Her Majesty’s Treasury of the United Kingdom (collectively,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w:t>
      </w:r>
    </w:p>
    <w:p>
      <w:pPr>
        <w:spacing w:after="0" w:line="17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(a) in the case of interest calculable with respect to each ABR Loan, the percentage per annum set forth in the column headed “Applicable Margin for ABR Loans” opposite the applicable Tier level below, (b) in the case of interest calculable with</w:t>
      </w:r>
    </w:p>
    <w:p>
      <w:pPr>
        <w:spacing w:after="0" w:line="235" w:lineRule="auto"/>
        <w:rPr>
          <w:sz w:val="20"/>
          <w:szCs w:val="20"/>
          <w:color w:val="auto"/>
        </w:rPr>
      </w:pPr>
      <w:r>
        <w:rPr>
          <w:rFonts w:ascii="Arial" w:cs="Arial" w:eastAsia="Arial" w:hAnsi="Arial"/>
          <w:sz w:val="18"/>
          <w:szCs w:val="18"/>
          <w:color w:val="auto"/>
        </w:rPr>
        <w:t xml:space="preserve">respect to each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the percentage per annum set forth in the column headed “Applicable Margin for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p>
    <w:p>
      <w:pPr>
        <w:ind w:right="40"/>
        <w:spacing w:after="0" w:line="220" w:lineRule="auto"/>
        <w:rPr>
          <w:sz w:val="20"/>
          <w:szCs w:val="20"/>
          <w:color w:val="auto"/>
        </w:rPr>
      </w:pPr>
      <w:r>
        <w:rPr>
          <w:rFonts w:ascii="Arial" w:cs="Arial" w:eastAsia="Arial" w:hAnsi="Arial"/>
          <w:sz w:val="20"/>
          <w:szCs w:val="20"/>
          <w:color w:val="auto"/>
        </w:rPr>
        <w:t>Loans” opposite the applicable Tier level below, and (c) in the case of the Commitment Fee, the percentage per annum set forth in the column headed “Commitment Fee Rate” opposite the applicable Tier level below:</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80" w:type="dxa"/>
            <w:vAlign w:val="bottom"/>
            <w:tcBorders>
              <w:top w:val="single" w:sz="8" w:color="auto"/>
              <w:left w:val="single" w:sz="8" w:color="auto"/>
            </w:tcBorders>
            <w:shd w:val="clear" w:color="auto" w:fill="BFBFBF"/>
          </w:tcPr>
          <w:p>
            <w:pPr>
              <w:spacing w:after="0"/>
              <w:rPr>
                <w:sz w:val="17"/>
                <w:szCs w:val="17"/>
                <w:color w:val="auto"/>
              </w:rPr>
            </w:pPr>
          </w:p>
        </w:tc>
        <w:tc>
          <w:tcPr>
            <w:tcW w:w="760" w:type="dxa"/>
            <w:vAlign w:val="bottom"/>
            <w:tcBorders>
              <w:top w:val="single" w:sz="8" w:color="auto"/>
              <w:right w:val="single" w:sz="8" w:color="auto"/>
            </w:tcBorders>
            <w:vMerge w:val="restart"/>
            <w:shd w:val="clear" w:color="auto" w:fill="BFBFBF"/>
          </w:tcPr>
          <w:p>
            <w:pPr>
              <w:ind w:left="60"/>
              <w:spacing w:after="0"/>
              <w:rPr>
                <w:sz w:val="20"/>
                <w:szCs w:val="20"/>
                <w:color w:val="auto"/>
              </w:rPr>
            </w:pPr>
            <w:r>
              <w:rPr>
                <w:rFonts w:ascii="Arial" w:cs="Arial" w:eastAsia="Arial" w:hAnsi="Arial"/>
                <w:sz w:val="20"/>
                <w:szCs w:val="20"/>
                <w:b w:val="1"/>
                <w:bCs w:val="1"/>
                <w:color w:val="auto"/>
              </w:rPr>
              <w:t>Level</w:t>
            </w:r>
          </w:p>
        </w:tc>
        <w:tc>
          <w:tcPr>
            <w:tcW w:w="142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20"/>
                <w:szCs w:val="20"/>
                <w:b w:val="1"/>
                <w:bCs w:val="1"/>
                <w:color w:val="auto"/>
                <w:w w:val="89"/>
              </w:rPr>
              <w:t>Total Leverage</w:t>
            </w:r>
          </w:p>
        </w:tc>
        <w:tc>
          <w:tcPr>
            <w:tcW w:w="2400" w:type="dxa"/>
            <w:vAlign w:val="bottom"/>
            <w:tcBorders>
              <w:top w:val="single" w:sz="8" w:color="auto"/>
              <w:right w:val="single" w:sz="8" w:color="auto"/>
            </w:tcBorders>
            <w:shd w:val="clear" w:color="auto" w:fill="BFBFBF"/>
          </w:tcPr>
          <w:p>
            <w:pPr>
              <w:jc w:val="center"/>
              <w:spacing w:after="0" w:line="207" w:lineRule="exact"/>
              <w:rPr>
                <w:sz w:val="20"/>
                <w:szCs w:val="20"/>
                <w:color w:val="auto"/>
              </w:rPr>
            </w:pPr>
            <w:r>
              <w:rPr>
                <w:rFonts w:ascii="Arial" w:cs="Arial" w:eastAsia="Arial" w:hAnsi="Arial"/>
                <w:sz w:val="20"/>
                <w:szCs w:val="20"/>
                <w:b w:val="1"/>
                <w:bCs w:val="1"/>
                <w:color w:val="auto"/>
                <w:w w:val="92"/>
              </w:rPr>
              <w:t>Applicable Margin</w:t>
            </w:r>
          </w:p>
        </w:tc>
        <w:tc>
          <w:tcPr>
            <w:tcW w:w="960" w:type="dxa"/>
            <w:vAlign w:val="bottom"/>
            <w:tcBorders>
              <w:top w:val="single" w:sz="8" w:color="auto"/>
            </w:tcBorders>
            <w:shd w:val="clear" w:color="auto" w:fill="BFBFBF"/>
          </w:tcPr>
          <w:p>
            <w:pPr>
              <w:spacing w:after="0"/>
              <w:rPr>
                <w:sz w:val="17"/>
                <w:szCs w:val="17"/>
                <w:color w:val="auto"/>
              </w:rPr>
            </w:pPr>
          </w:p>
        </w:tc>
        <w:tc>
          <w:tcPr>
            <w:tcW w:w="3000" w:type="dxa"/>
            <w:vAlign w:val="bottom"/>
            <w:tcBorders>
              <w:top w:val="single" w:sz="8" w:color="auto"/>
              <w:right w:val="single" w:sz="8" w:color="auto"/>
            </w:tcBorders>
            <w:gridSpan w:val="3"/>
            <w:shd w:val="clear" w:color="auto" w:fill="BFBFBF"/>
          </w:tcPr>
          <w:p>
            <w:pPr>
              <w:jc w:val="center"/>
              <w:ind w:right="1000"/>
              <w:spacing w:after="0" w:line="207" w:lineRule="exact"/>
              <w:rPr>
                <w:sz w:val="20"/>
                <w:szCs w:val="20"/>
                <w:color w:val="auto"/>
              </w:rPr>
            </w:pPr>
            <w:r>
              <w:rPr>
                <w:rFonts w:ascii="Arial" w:cs="Arial" w:eastAsia="Arial" w:hAnsi="Arial"/>
                <w:sz w:val="20"/>
                <w:szCs w:val="20"/>
                <w:b w:val="1"/>
                <w:bCs w:val="1"/>
                <w:color w:val="auto"/>
                <w:w w:val="92"/>
              </w:rPr>
              <w:t>Applicable Margin</w:t>
            </w:r>
          </w:p>
        </w:tc>
        <w:tc>
          <w:tcPr>
            <w:tcW w:w="254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Commitment</w:t>
            </w: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shd w:val="clear" w:color="auto" w:fill="BFBFBF"/>
          </w:tcPr>
          <w:p>
            <w:pPr>
              <w:spacing w:after="0"/>
              <w:rPr>
                <w:sz w:val="8"/>
                <w:szCs w:val="8"/>
                <w:color w:val="auto"/>
              </w:rPr>
            </w:pPr>
          </w:p>
        </w:tc>
        <w:tc>
          <w:tcPr>
            <w:tcW w:w="760" w:type="dxa"/>
            <w:vAlign w:val="bottom"/>
            <w:tcBorders>
              <w:right w:val="single" w:sz="8" w:color="auto"/>
            </w:tcBorders>
            <w:vMerge w:val="continue"/>
            <w:shd w:val="clear" w:color="auto" w:fill="BFBFBF"/>
          </w:tcPr>
          <w:p>
            <w:pPr>
              <w:spacing w:after="0"/>
              <w:rPr>
                <w:sz w:val="8"/>
                <w:szCs w:val="8"/>
                <w:color w:val="auto"/>
              </w:rPr>
            </w:pPr>
          </w:p>
        </w:tc>
        <w:tc>
          <w:tcPr>
            <w:tcW w:w="1420" w:type="dxa"/>
            <w:vAlign w:val="bottom"/>
            <w:tcBorders>
              <w:right w:val="single" w:sz="8" w:color="auto"/>
            </w:tcBorders>
            <w:vMerge w:val="continue"/>
            <w:shd w:val="clear" w:color="auto" w:fill="BFBFBF"/>
          </w:tcPr>
          <w:p>
            <w:pPr>
              <w:spacing w:after="0"/>
              <w:rPr>
                <w:sz w:val="8"/>
                <w:szCs w:val="8"/>
                <w:color w:val="auto"/>
              </w:rPr>
            </w:pPr>
          </w:p>
        </w:tc>
        <w:tc>
          <w:tcPr>
            <w:tcW w:w="2400" w:type="dxa"/>
            <w:vAlign w:val="bottom"/>
            <w:tcBorders>
              <w:right w:val="single" w:sz="8" w:color="auto"/>
            </w:tcBorders>
            <w:vMerge w:val="restart"/>
            <w:shd w:val="clear" w:color="auto" w:fill="BFBFBF"/>
          </w:tcPr>
          <w:p>
            <w:pPr>
              <w:jc w:val="center"/>
              <w:spacing w:after="0" w:line="198" w:lineRule="exact"/>
              <w:rPr>
                <w:sz w:val="20"/>
                <w:szCs w:val="20"/>
                <w:color w:val="auto"/>
              </w:rPr>
            </w:pPr>
            <w:r>
              <w:rPr>
                <w:rFonts w:ascii="Arial" w:cs="Arial" w:eastAsia="Arial" w:hAnsi="Arial"/>
                <w:sz w:val="20"/>
                <w:szCs w:val="20"/>
                <w:b w:val="1"/>
                <w:bCs w:val="1"/>
                <w:color w:val="auto"/>
                <w:w w:val="89"/>
              </w:rPr>
              <w:t>for</w:t>
            </w:r>
          </w:p>
        </w:tc>
        <w:tc>
          <w:tcPr>
            <w:tcW w:w="960" w:type="dxa"/>
            <w:vAlign w:val="bottom"/>
            <w:shd w:val="clear" w:color="auto" w:fill="BFBFBF"/>
          </w:tcPr>
          <w:p>
            <w:pPr>
              <w:spacing w:after="0"/>
              <w:rPr>
                <w:sz w:val="8"/>
                <w:szCs w:val="8"/>
                <w:color w:val="auto"/>
              </w:rPr>
            </w:pPr>
          </w:p>
        </w:tc>
        <w:tc>
          <w:tcPr>
            <w:tcW w:w="3000" w:type="dxa"/>
            <w:vAlign w:val="bottom"/>
            <w:tcBorders>
              <w:right w:val="single" w:sz="8" w:color="auto"/>
            </w:tcBorders>
            <w:gridSpan w:val="3"/>
            <w:vMerge w:val="restart"/>
            <w:shd w:val="clear" w:color="auto" w:fill="BFBFBF"/>
          </w:tcPr>
          <w:p>
            <w:pPr>
              <w:jc w:val="center"/>
              <w:ind w:right="980"/>
              <w:spacing w:after="0" w:line="198" w:lineRule="exact"/>
              <w:rPr>
                <w:sz w:val="20"/>
                <w:szCs w:val="20"/>
                <w:color w:val="auto"/>
              </w:rPr>
            </w:pPr>
            <w:r>
              <w:rPr>
                <w:rFonts w:ascii="Arial" w:cs="Arial" w:eastAsia="Arial" w:hAnsi="Arial"/>
                <w:sz w:val="20"/>
                <w:szCs w:val="20"/>
                <w:b w:val="1"/>
                <w:bCs w:val="1"/>
                <w:color w:val="auto"/>
                <w:w w:val="97"/>
              </w:rPr>
              <w:t>for</w:t>
            </w:r>
          </w:p>
        </w:tc>
        <w:tc>
          <w:tcPr>
            <w:tcW w:w="2540" w:type="dxa"/>
            <w:vAlign w:val="bottom"/>
            <w:tcBorders>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0" w:type="dxa"/>
            <w:vAlign w:val="bottom"/>
            <w:tcBorders>
              <w:left w:val="single" w:sz="8" w:color="auto"/>
            </w:tcBorders>
            <w:shd w:val="clear" w:color="auto" w:fill="BFBFBF"/>
          </w:tcPr>
          <w:p>
            <w:pPr>
              <w:spacing w:after="0"/>
              <w:rPr>
                <w:sz w:val="9"/>
                <w:szCs w:val="9"/>
                <w:color w:val="auto"/>
              </w:rPr>
            </w:pPr>
          </w:p>
        </w:tc>
        <w:tc>
          <w:tcPr>
            <w:tcW w:w="760" w:type="dxa"/>
            <w:vAlign w:val="bottom"/>
            <w:tcBorders>
              <w:right w:val="single" w:sz="8" w:color="auto"/>
            </w:tcBorders>
            <w:vMerge w:val="continue"/>
            <w:shd w:val="clear" w:color="auto" w:fill="BFBFBF"/>
          </w:tcPr>
          <w:p>
            <w:pPr>
              <w:spacing w:after="0"/>
              <w:rPr>
                <w:sz w:val="9"/>
                <w:szCs w:val="9"/>
                <w:color w:val="auto"/>
              </w:rPr>
            </w:pPr>
          </w:p>
        </w:tc>
        <w:tc>
          <w:tcPr>
            <w:tcW w:w="1420" w:type="dxa"/>
            <w:vAlign w:val="bottom"/>
            <w:tcBorders>
              <w:right w:val="single" w:sz="8" w:color="auto"/>
            </w:tcBorders>
            <w:vMerge w:val="restart"/>
            <w:shd w:val="clear" w:color="auto" w:fill="BFBFBF"/>
          </w:tcPr>
          <w:p>
            <w:pPr>
              <w:jc w:val="center"/>
              <w:spacing w:after="0" w:line="226" w:lineRule="exact"/>
              <w:rPr>
                <w:sz w:val="20"/>
                <w:szCs w:val="20"/>
                <w:color w:val="auto"/>
              </w:rPr>
            </w:pPr>
            <w:r>
              <w:rPr>
                <w:rFonts w:ascii="Arial" w:cs="Arial" w:eastAsia="Arial" w:hAnsi="Arial"/>
                <w:sz w:val="20"/>
                <w:szCs w:val="20"/>
                <w:b w:val="1"/>
                <w:bCs w:val="1"/>
                <w:color w:val="auto"/>
                <w:w w:val="91"/>
              </w:rPr>
              <w:t>Ratio</w:t>
            </w:r>
          </w:p>
        </w:tc>
        <w:tc>
          <w:tcPr>
            <w:tcW w:w="2400" w:type="dxa"/>
            <w:vAlign w:val="bottom"/>
            <w:tcBorders>
              <w:right w:val="single" w:sz="8" w:color="auto"/>
            </w:tcBorders>
            <w:vMerge w:val="continue"/>
            <w:shd w:val="clear" w:color="auto" w:fill="BFBFBF"/>
          </w:tcPr>
          <w:p>
            <w:pPr>
              <w:spacing w:after="0"/>
              <w:rPr>
                <w:sz w:val="9"/>
                <w:szCs w:val="9"/>
                <w:color w:val="auto"/>
              </w:rPr>
            </w:pPr>
          </w:p>
        </w:tc>
        <w:tc>
          <w:tcPr>
            <w:tcW w:w="960" w:type="dxa"/>
            <w:vAlign w:val="bottom"/>
            <w:shd w:val="clear" w:color="auto" w:fill="BFBFBF"/>
          </w:tcPr>
          <w:p>
            <w:pPr>
              <w:spacing w:after="0"/>
              <w:rPr>
                <w:sz w:val="9"/>
                <w:szCs w:val="9"/>
                <w:color w:val="auto"/>
              </w:rPr>
            </w:pPr>
          </w:p>
        </w:tc>
        <w:tc>
          <w:tcPr>
            <w:tcW w:w="3000" w:type="dxa"/>
            <w:vAlign w:val="bottom"/>
            <w:tcBorders>
              <w:right w:val="single" w:sz="8" w:color="auto"/>
            </w:tcBorders>
            <w:gridSpan w:val="3"/>
            <w:vMerge w:val="continue"/>
            <w:shd w:val="clear" w:color="auto" w:fill="BFBFBF"/>
          </w:tcPr>
          <w:p>
            <w:pPr>
              <w:spacing w:after="0"/>
              <w:rPr>
                <w:sz w:val="9"/>
                <w:szCs w:val="9"/>
                <w:color w:val="auto"/>
              </w:rPr>
            </w:pPr>
          </w:p>
        </w:tc>
        <w:tc>
          <w:tcPr>
            <w:tcW w:w="2540" w:type="dxa"/>
            <w:vAlign w:val="bottom"/>
            <w:tcBorders>
              <w:right w:val="single" w:sz="8" w:color="auto"/>
            </w:tcBorders>
            <w:vMerge w:val="restart"/>
            <w:shd w:val="clear" w:color="auto" w:fill="BFBFBF"/>
          </w:tcPr>
          <w:p>
            <w:pPr>
              <w:jc w:val="center"/>
              <w:spacing w:after="0" w:line="226" w:lineRule="exact"/>
              <w:rPr>
                <w:sz w:val="20"/>
                <w:szCs w:val="20"/>
                <w:color w:val="auto"/>
              </w:rPr>
            </w:pPr>
            <w:r>
              <w:rPr>
                <w:rFonts w:ascii="Arial" w:cs="Arial" w:eastAsia="Arial" w:hAnsi="Arial"/>
                <w:sz w:val="20"/>
                <w:szCs w:val="20"/>
                <w:b w:val="1"/>
                <w:bCs w:val="1"/>
                <w:color w:val="auto"/>
                <w:w w:val="88"/>
              </w:rPr>
              <w:t>Fee Rate</w:t>
            </w:r>
          </w:p>
        </w:tc>
        <w:tc>
          <w:tcPr>
            <w:tcW w:w="0" w:type="dxa"/>
            <w:vAlign w:val="bottom"/>
          </w:tcPr>
          <w:p>
            <w:pPr>
              <w:spacing w:after="0"/>
              <w:rPr>
                <w:sz w:val="1"/>
                <w:szCs w:val="1"/>
                <w:color w:val="auto"/>
              </w:rPr>
            </w:pPr>
          </w:p>
        </w:tc>
      </w:tr>
      <w:tr>
        <w:trPr>
          <w:trHeight w:val="121"/>
        </w:trPr>
        <w:tc>
          <w:tcPr>
            <w:tcW w:w="180" w:type="dxa"/>
            <w:vAlign w:val="bottom"/>
            <w:tcBorders>
              <w:left w:val="single" w:sz="8" w:color="auto"/>
            </w:tcBorders>
            <w:shd w:val="clear" w:color="auto" w:fill="BFBFBF"/>
          </w:tcPr>
          <w:p>
            <w:pPr>
              <w:spacing w:after="0"/>
              <w:rPr>
                <w:sz w:val="10"/>
                <w:szCs w:val="10"/>
                <w:color w:val="auto"/>
              </w:rPr>
            </w:pPr>
          </w:p>
        </w:tc>
        <w:tc>
          <w:tcPr>
            <w:tcW w:w="760" w:type="dxa"/>
            <w:vAlign w:val="bottom"/>
            <w:tcBorders>
              <w:right w:val="single" w:sz="8" w:color="auto"/>
            </w:tcBorders>
            <w:shd w:val="clear" w:color="auto" w:fill="BFBFBF"/>
          </w:tcPr>
          <w:p>
            <w:pPr>
              <w:spacing w:after="0"/>
              <w:rPr>
                <w:sz w:val="10"/>
                <w:szCs w:val="10"/>
                <w:color w:val="auto"/>
              </w:rPr>
            </w:pPr>
          </w:p>
        </w:tc>
        <w:tc>
          <w:tcPr>
            <w:tcW w:w="1420" w:type="dxa"/>
            <w:vAlign w:val="bottom"/>
            <w:tcBorders>
              <w:right w:val="single" w:sz="8" w:color="auto"/>
            </w:tcBorders>
            <w:vMerge w:val="continue"/>
            <w:shd w:val="clear" w:color="auto" w:fill="BFBFBF"/>
          </w:tcPr>
          <w:p>
            <w:pPr>
              <w:spacing w:after="0"/>
              <w:rPr>
                <w:sz w:val="10"/>
                <w:szCs w:val="10"/>
                <w:color w:val="auto"/>
              </w:rPr>
            </w:pPr>
          </w:p>
        </w:tc>
        <w:tc>
          <w:tcPr>
            <w:tcW w:w="2400" w:type="dxa"/>
            <w:vAlign w:val="bottom"/>
            <w:tcBorders>
              <w:right w:val="single" w:sz="8" w:color="auto"/>
            </w:tcBorders>
            <w:vMerge w:val="restart"/>
            <w:shd w:val="clear" w:color="auto" w:fill="BFBFBF"/>
          </w:tcPr>
          <w:p>
            <w:pPr>
              <w:jc w:val="center"/>
              <w:spacing w:after="0" w:line="203" w:lineRule="exact"/>
              <w:rPr>
                <w:sz w:val="20"/>
                <w:szCs w:val="20"/>
                <w:color w:val="auto"/>
              </w:rPr>
            </w:pPr>
            <w:r>
              <w:rPr>
                <w:rFonts w:ascii="Arial" w:cs="Arial" w:eastAsia="Arial" w:hAnsi="Arial"/>
                <w:sz w:val="20"/>
                <w:szCs w:val="20"/>
                <w:b w:val="1"/>
                <w:bCs w:val="1"/>
                <w:color w:val="auto"/>
                <w:w w:val="92"/>
              </w:rPr>
              <w:t>ABR Loans</w:t>
            </w:r>
          </w:p>
        </w:tc>
        <w:tc>
          <w:tcPr>
            <w:tcW w:w="960" w:type="dxa"/>
            <w:vAlign w:val="bottom"/>
            <w:shd w:val="clear" w:color="auto" w:fill="BFBFBF"/>
          </w:tcPr>
          <w:p>
            <w:pPr>
              <w:spacing w:after="0"/>
              <w:rPr>
                <w:sz w:val="10"/>
                <w:szCs w:val="10"/>
                <w:color w:val="auto"/>
              </w:rPr>
            </w:pPr>
          </w:p>
        </w:tc>
        <w:tc>
          <w:tcPr>
            <w:tcW w:w="920" w:type="dxa"/>
            <w:vAlign w:val="bottom"/>
            <w:vMerge w:val="restart"/>
            <w:shd w:val="clear" w:color="auto" w:fill="BFBFBF"/>
          </w:tcPr>
          <w:p>
            <w:pPr>
              <w:spacing w:after="0" w:line="203" w:lineRule="exact"/>
              <w:rPr>
                <w:sz w:val="20"/>
                <w:szCs w:val="20"/>
                <w:color w:val="auto"/>
              </w:rPr>
            </w:pPr>
            <w:r>
              <w:rPr>
                <w:rFonts w:ascii="Arial" w:cs="Arial" w:eastAsia="Arial" w:hAnsi="Arial"/>
                <w:sz w:val="20"/>
                <w:szCs w:val="20"/>
                <w:b w:val="1"/>
                <w:bCs w:val="1"/>
                <w:color w:val="FF0000"/>
                <w:strike w:val="1"/>
                <w:w w:val="89"/>
              </w:rPr>
              <w:t>Eurodollar</w:t>
            </w:r>
          </w:p>
        </w:tc>
        <w:tc>
          <w:tcPr>
            <w:tcW w:w="2080" w:type="dxa"/>
            <w:vAlign w:val="bottom"/>
            <w:tcBorders>
              <w:right w:val="single" w:sz="8" w:color="auto"/>
            </w:tcBorders>
            <w:gridSpan w:val="2"/>
            <w:vMerge w:val="restart"/>
            <w:shd w:val="clear" w:color="auto" w:fill="BFBFBF"/>
          </w:tcPr>
          <w:p>
            <w:pPr>
              <w:spacing w:after="0" w:line="203" w:lineRule="exact"/>
              <w:rPr>
                <w:sz w:val="20"/>
                <w:szCs w:val="20"/>
                <w:color w:val="auto"/>
              </w:rPr>
            </w:pPr>
            <w:r>
              <w:rPr>
                <w:rFonts w:ascii="Arial" w:cs="Arial" w:eastAsia="Arial" w:hAnsi="Arial"/>
                <w:sz w:val="20"/>
                <w:szCs w:val="20"/>
                <w:b w:val="1"/>
                <w:bCs w:val="1"/>
                <w:color w:val="0000FF"/>
              </w:rPr>
              <w:t xml:space="preserve">SOFR </w:t>
            </w:r>
            <w:r>
              <w:rPr>
                <w:rFonts w:ascii="Arial" w:cs="Arial" w:eastAsia="Arial" w:hAnsi="Arial"/>
                <w:sz w:val="20"/>
                <w:szCs w:val="20"/>
                <w:b w:val="1"/>
                <w:bCs w:val="1"/>
                <w:color w:val="000000"/>
              </w:rPr>
              <w:t>Loans</w:t>
            </w:r>
          </w:p>
        </w:tc>
        <w:tc>
          <w:tcPr>
            <w:tcW w:w="2540" w:type="dxa"/>
            <w:vAlign w:val="bottom"/>
            <w:tcBorders>
              <w:right w:val="single" w:sz="8" w:color="auto"/>
            </w:tcBorders>
            <w:vMerge w:val="continue"/>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auto"/>
              <w:bottom w:val="single" w:sz="8" w:color="auto"/>
            </w:tcBorders>
            <w:shd w:val="clear" w:color="auto" w:fill="BFBFBF"/>
          </w:tcPr>
          <w:p>
            <w:pPr>
              <w:spacing w:after="0"/>
              <w:rPr>
                <w:sz w:val="11"/>
                <w:szCs w:val="11"/>
                <w:color w:val="auto"/>
              </w:rPr>
            </w:pPr>
          </w:p>
        </w:tc>
        <w:tc>
          <w:tcPr>
            <w:tcW w:w="760" w:type="dxa"/>
            <w:vAlign w:val="bottom"/>
            <w:tcBorders>
              <w:bottom w:val="single" w:sz="8" w:color="auto"/>
              <w:right w:val="single" w:sz="8" w:color="auto"/>
            </w:tcBorders>
            <w:shd w:val="clear" w:color="auto" w:fill="BFBFBF"/>
          </w:tcPr>
          <w:p>
            <w:pPr>
              <w:spacing w:after="0"/>
              <w:rPr>
                <w:sz w:val="11"/>
                <w:szCs w:val="11"/>
                <w:color w:val="auto"/>
              </w:rPr>
            </w:pPr>
          </w:p>
        </w:tc>
        <w:tc>
          <w:tcPr>
            <w:tcW w:w="1420" w:type="dxa"/>
            <w:vAlign w:val="bottom"/>
            <w:tcBorders>
              <w:bottom w:val="single" w:sz="8" w:color="auto"/>
              <w:right w:val="single" w:sz="8" w:color="auto"/>
            </w:tcBorders>
            <w:shd w:val="clear" w:color="auto" w:fill="BFBFBF"/>
          </w:tcPr>
          <w:p>
            <w:pPr>
              <w:spacing w:after="0"/>
              <w:rPr>
                <w:sz w:val="11"/>
                <w:szCs w:val="11"/>
                <w:color w:val="auto"/>
              </w:rPr>
            </w:pPr>
          </w:p>
        </w:tc>
        <w:tc>
          <w:tcPr>
            <w:tcW w:w="2400" w:type="dxa"/>
            <w:vAlign w:val="bottom"/>
            <w:tcBorders>
              <w:bottom w:val="single" w:sz="8" w:color="auto"/>
              <w:right w:val="single" w:sz="8" w:color="auto"/>
            </w:tcBorders>
            <w:vMerge w:val="continue"/>
            <w:shd w:val="clear" w:color="auto" w:fill="BFBFBF"/>
          </w:tcPr>
          <w:p>
            <w:pPr>
              <w:spacing w:after="0"/>
              <w:rPr>
                <w:sz w:val="11"/>
                <w:szCs w:val="11"/>
                <w:color w:val="auto"/>
              </w:rPr>
            </w:pPr>
          </w:p>
        </w:tc>
        <w:tc>
          <w:tcPr>
            <w:tcW w:w="960" w:type="dxa"/>
            <w:vAlign w:val="bottom"/>
            <w:tcBorders>
              <w:bottom w:val="single" w:sz="8" w:color="auto"/>
            </w:tcBorders>
            <w:shd w:val="clear" w:color="auto" w:fill="BFBFBF"/>
          </w:tcPr>
          <w:p>
            <w:pPr>
              <w:spacing w:after="0"/>
              <w:rPr>
                <w:sz w:val="11"/>
                <w:szCs w:val="11"/>
                <w:color w:val="auto"/>
              </w:rPr>
            </w:pPr>
          </w:p>
        </w:tc>
        <w:tc>
          <w:tcPr>
            <w:tcW w:w="920" w:type="dxa"/>
            <w:vAlign w:val="bottom"/>
            <w:tcBorders>
              <w:bottom w:val="single" w:sz="8" w:color="auto"/>
            </w:tcBorders>
            <w:vMerge w:val="continue"/>
            <w:shd w:val="clear" w:color="auto" w:fill="BFBFBF"/>
          </w:tcPr>
          <w:p>
            <w:pPr>
              <w:spacing w:after="0"/>
              <w:rPr>
                <w:sz w:val="11"/>
                <w:szCs w:val="11"/>
                <w:color w:val="auto"/>
              </w:rPr>
            </w:pPr>
          </w:p>
        </w:tc>
        <w:tc>
          <w:tcPr>
            <w:tcW w:w="2080" w:type="dxa"/>
            <w:vAlign w:val="bottom"/>
            <w:tcBorders>
              <w:bottom w:val="single" w:sz="8" w:color="auto"/>
              <w:right w:val="single" w:sz="8" w:color="auto"/>
            </w:tcBorders>
            <w:gridSpan w:val="2"/>
            <w:vMerge w:val="continue"/>
            <w:shd w:val="clear" w:color="auto" w:fill="BFBFBF"/>
          </w:tcPr>
          <w:p>
            <w:pPr>
              <w:spacing w:after="0"/>
              <w:rPr>
                <w:sz w:val="11"/>
                <w:szCs w:val="11"/>
                <w:color w:val="auto"/>
              </w:rPr>
            </w:pPr>
          </w:p>
        </w:tc>
        <w:tc>
          <w:tcPr>
            <w:tcW w:w="25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1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7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≤1.50</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0.000%</w:t>
            </w:r>
          </w:p>
        </w:tc>
        <w:tc>
          <w:tcPr>
            <w:tcW w:w="2420" w:type="dxa"/>
            <w:vAlign w:val="bottom"/>
            <w:tcBorders>
              <w:bottom w:val="single" w:sz="8" w:color="auto"/>
            </w:tcBorders>
            <w:gridSpan w:val="3"/>
          </w:tcPr>
          <w:p>
            <w:pPr>
              <w:jc w:val="center"/>
              <w:ind w:left="1401"/>
              <w:spacing w:after="0"/>
              <w:rPr>
                <w:sz w:val="20"/>
                <w:szCs w:val="20"/>
                <w:color w:val="auto"/>
              </w:rPr>
            </w:pPr>
            <w:r>
              <w:rPr>
                <w:rFonts w:ascii="Arial" w:cs="Arial" w:eastAsia="Arial" w:hAnsi="Arial"/>
                <w:sz w:val="20"/>
                <w:szCs w:val="20"/>
                <w:color w:val="auto"/>
                <w:w w:val="88"/>
              </w:rPr>
              <w:t>1.000%</w:t>
            </w:r>
          </w:p>
        </w:tc>
        <w:tc>
          <w:tcPr>
            <w:tcW w:w="154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0.175%</w:t>
            </w:r>
          </w:p>
        </w:tc>
        <w:tc>
          <w:tcPr>
            <w:tcW w:w="0" w:type="dxa"/>
            <w:vAlign w:val="bottom"/>
          </w:tcPr>
          <w:p>
            <w:pPr>
              <w:spacing w:after="0"/>
              <w:rPr>
                <w:sz w:val="1"/>
                <w:szCs w:val="1"/>
                <w:color w:val="auto"/>
              </w:rPr>
            </w:pPr>
          </w:p>
        </w:tc>
      </w:tr>
      <w:tr>
        <w:trPr>
          <w:trHeight w:val="250"/>
        </w:trPr>
        <w:tc>
          <w:tcPr>
            <w:tcW w:w="1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7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&gt; 1.50 and ≤2.00</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0.125%</w:t>
            </w:r>
          </w:p>
        </w:tc>
        <w:tc>
          <w:tcPr>
            <w:tcW w:w="2420" w:type="dxa"/>
            <w:vAlign w:val="bottom"/>
            <w:tcBorders>
              <w:bottom w:val="single" w:sz="8" w:color="auto"/>
            </w:tcBorders>
            <w:gridSpan w:val="3"/>
          </w:tcPr>
          <w:p>
            <w:pPr>
              <w:jc w:val="center"/>
              <w:ind w:left="1401"/>
              <w:spacing w:after="0"/>
              <w:rPr>
                <w:sz w:val="20"/>
                <w:szCs w:val="20"/>
                <w:color w:val="auto"/>
              </w:rPr>
            </w:pPr>
            <w:r>
              <w:rPr>
                <w:rFonts w:ascii="Arial" w:cs="Arial" w:eastAsia="Arial" w:hAnsi="Arial"/>
                <w:sz w:val="20"/>
                <w:szCs w:val="20"/>
                <w:color w:val="auto"/>
                <w:w w:val="88"/>
              </w:rPr>
              <w:t>1.125%</w:t>
            </w:r>
          </w:p>
        </w:tc>
        <w:tc>
          <w:tcPr>
            <w:tcW w:w="154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0.200%</w:t>
            </w:r>
          </w:p>
        </w:tc>
        <w:tc>
          <w:tcPr>
            <w:tcW w:w="0" w:type="dxa"/>
            <w:vAlign w:val="bottom"/>
          </w:tcPr>
          <w:p>
            <w:pPr>
              <w:spacing w:after="0"/>
              <w:rPr>
                <w:sz w:val="1"/>
                <w:szCs w:val="1"/>
                <w:color w:val="auto"/>
              </w:rPr>
            </w:pPr>
          </w:p>
        </w:tc>
      </w:tr>
      <w:tr>
        <w:trPr>
          <w:trHeight w:val="250"/>
        </w:trPr>
        <w:tc>
          <w:tcPr>
            <w:tcW w:w="1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7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&gt; 2.00 and ≤2.50</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0.250%</w:t>
            </w:r>
          </w:p>
        </w:tc>
        <w:tc>
          <w:tcPr>
            <w:tcW w:w="2420" w:type="dxa"/>
            <w:vAlign w:val="bottom"/>
            <w:tcBorders>
              <w:bottom w:val="single" w:sz="8" w:color="auto"/>
            </w:tcBorders>
            <w:gridSpan w:val="3"/>
          </w:tcPr>
          <w:p>
            <w:pPr>
              <w:jc w:val="center"/>
              <w:ind w:left="1401"/>
              <w:spacing w:after="0"/>
              <w:rPr>
                <w:sz w:val="20"/>
                <w:szCs w:val="20"/>
                <w:color w:val="auto"/>
              </w:rPr>
            </w:pPr>
            <w:r>
              <w:rPr>
                <w:rFonts w:ascii="Arial" w:cs="Arial" w:eastAsia="Arial" w:hAnsi="Arial"/>
                <w:sz w:val="20"/>
                <w:szCs w:val="20"/>
                <w:color w:val="auto"/>
                <w:w w:val="88"/>
              </w:rPr>
              <w:t>1.250%</w:t>
            </w:r>
          </w:p>
        </w:tc>
        <w:tc>
          <w:tcPr>
            <w:tcW w:w="154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0.250%</w:t>
            </w:r>
          </w:p>
        </w:tc>
        <w:tc>
          <w:tcPr>
            <w:tcW w:w="0" w:type="dxa"/>
            <w:vAlign w:val="bottom"/>
          </w:tcPr>
          <w:p>
            <w:pPr>
              <w:spacing w:after="0"/>
              <w:rPr>
                <w:sz w:val="1"/>
                <w:szCs w:val="1"/>
                <w:color w:val="auto"/>
              </w:rPr>
            </w:pPr>
          </w:p>
        </w:tc>
      </w:tr>
      <w:tr>
        <w:trPr>
          <w:trHeight w:val="250"/>
        </w:trPr>
        <w:tc>
          <w:tcPr>
            <w:tcW w:w="1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7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&gt; 2.50 and ≤3.00</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0.500%</w:t>
            </w:r>
          </w:p>
        </w:tc>
        <w:tc>
          <w:tcPr>
            <w:tcW w:w="2420" w:type="dxa"/>
            <w:vAlign w:val="bottom"/>
            <w:tcBorders>
              <w:bottom w:val="single" w:sz="8" w:color="auto"/>
            </w:tcBorders>
            <w:gridSpan w:val="3"/>
          </w:tcPr>
          <w:p>
            <w:pPr>
              <w:jc w:val="center"/>
              <w:ind w:left="1401"/>
              <w:spacing w:after="0"/>
              <w:rPr>
                <w:sz w:val="20"/>
                <w:szCs w:val="20"/>
                <w:color w:val="auto"/>
              </w:rPr>
            </w:pPr>
            <w:r>
              <w:rPr>
                <w:rFonts w:ascii="Arial" w:cs="Arial" w:eastAsia="Arial" w:hAnsi="Arial"/>
                <w:sz w:val="20"/>
                <w:szCs w:val="20"/>
                <w:color w:val="auto"/>
                <w:w w:val="88"/>
              </w:rPr>
              <w:t>1.500%</w:t>
            </w:r>
          </w:p>
        </w:tc>
        <w:tc>
          <w:tcPr>
            <w:tcW w:w="154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0.300%</w:t>
            </w:r>
          </w:p>
        </w:tc>
        <w:tc>
          <w:tcPr>
            <w:tcW w:w="0" w:type="dxa"/>
            <w:vAlign w:val="bottom"/>
          </w:tcPr>
          <w:p>
            <w:pPr>
              <w:spacing w:after="0"/>
              <w:rPr>
                <w:sz w:val="1"/>
                <w:szCs w:val="1"/>
                <w:color w:val="auto"/>
              </w:rPr>
            </w:pPr>
          </w:p>
        </w:tc>
      </w:tr>
      <w:tr>
        <w:trPr>
          <w:trHeight w:val="250"/>
        </w:trPr>
        <w:tc>
          <w:tcPr>
            <w:tcW w:w="1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7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&gt;3.00</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0.750%</w:t>
            </w:r>
          </w:p>
        </w:tc>
        <w:tc>
          <w:tcPr>
            <w:tcW w:w="2420" w:type="dxa"/>
            <w:vAlign w:val="bottom"/>
            <w:tcBorders>
              <w:bottom w:val="single" w:sz="8" w:color="auto"/>
            </w:tcBorders>
            <w:gridSpan w:val="3"/>
          </w:tcPr>
          <w:p>
            <w:pPr>
              <w:jc w:val="center"/>
              <w:ind w:left="1401"/>
              <w:spacing w:after="0"/>
              <w:rPr>
                <w:sz w:val="20"/>
                <w:szCs w:val="20"/>
                <w:color w:val="auto"/>
              </w:rPr>
            </w:pPr>
            <w:r>
              <w:rPr>
                <w:rFonts w:ascii="Arial" w:cs="Arial" w:eastAsia="Arial" w:hAnsi="Arial"/>
                <w:sz w:val="20"/>
                <w:szCs w:val="20"/>
                <w:color w:val="auto"/>
                <w:w w:val="88"/>
              </w:rPr>
              <w:t>1.750%</w:t>
            </w:r>
          </w:p>
        </w:tc>
        <w:tc>
          <w:tcPr>
            <w:tcW w:w="154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0.300%</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Any increase or decrease in the Applicable Margin and Commitment Fee Rate resulting from a change in the Total Leverage Ratio shall become effective as of the fifth Business Day immediately following the date a Compliance Certificate is required to be delivered</w:t>
      </w:r>
    </w:p>
    <w:p>
      <w:pPr>
        <w:spacing w:after="0" w:line="235" w:lineRule="auto"/>
        <w:rPr>
          <w:sz w:val="20"/>
          <w:szCs w:val="20"/>
          <w:color w:val="auto"/>
        </w:rPr>
      </w:pPr>
      <w:r>
        <w:rPr>
          <w:rFonts w:ascii="Arial" w:cs="Arial" w:eastAsia="Arial" w:hAnsi="Arial"/>
          <w:sz w:val="18"/>
          <w:szCs w:val="18"/>
          <w:color w:val="auto"/>
        </w:rPr>
        <w:t xml:space="preserve">pursuant to Section 6.2;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no Compliance Certificate is delivered when due in accordance with such Section, then</w:t>
      </w:r>
    </w:p>
    <w:p>
      <w:pPr>
        <w:jc w:val="both"/>
        <w:ind w:right="20"/>
        <w:spacing w:after="0" w:line="226" w:lineRule="auto"/>
        <w:rPr>
          <w:sz w:val="20"/>
          <w:szCs w:val="20"/>
          <w:color w:val="auto"/>
        </w:rPr>
      </w:pPr>
      <w:r>
        <w:rPr>
          <w:rFonts w:ascii="Arial" w:cs="Arial" w:eastAsia="Arial" w:hAnsi="Arial"/>
          <w:sz w:val="18"/>
          <w:szCs w:val="18"/>
          <w:color w:val="auto"/>
        </w:rPr>
        <w:t>Tier 5 shall apply as of the date of the failure to deliver such Compliance Certificate until the fifth Business Day after the date the Borrower delivers such Compliance Certificate in form and substance acceptable to the Administrative Agent and thereafter the Applicable Margin and</w:t>
      </w:r>
    </w:p>
    <w:p>
      <w:pPr>
        <w:spacing w:after="0" w:line="236" w:lineRule="auto"/>
        <w:rPr>
          <w:sz w:val="20"/>
          <w:szCs w:val="20"/>
          <w:color w:val="auto"/>
        </w:rPr>
      </w:pPr>
      <w:r>
        <w:rPr>
          <w:rFonts w:ascii="Arial" w:cs="Arial" w:eastAsia="Arial" w:hAnsi="Arial"/>
          <w:sz w:val="18"/>
          <w:szCs w:val="18"/>
          <w:color w:val="auto"/>
        </w:rPr>
        <w:t>the Commitment Fee Rate shall be based on the Total Leverage Ratio indicated on such Compliance Certificate until such time as further</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adjusted as set forth in this definition. The Applicable Margin and Commitment Fee Rate shall be based on Tier 3 until the first Compliance Certificate is delivered following the fiscal quarter ending December 31, 2021.</w:t>
      </w:r>
    </w:p>
    <w:p>
      <w:pPr>
        <w:spacing w:after="0" w:line="170"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 xml:space="preserve">Notwithstanding the foregoing, in the event that any financial statement or Compliance Certificate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6.2(a)</w:t>
      </w:r>
      <w:r>
        <w:rPr>
          <w:rFonts w:ascii="Arial" w:cs="Arial" w:eastAsia="Arial" w:hAnsi="Arial"/>
          <w:sz w:val="18"/>
          <w:szCs w:val="18"/>
          <w:color w:val="auto"/>
        </w:rPr>
        <w:t xml:space="preserve"> is shown to be inaccurate (regardless of whether (i) this Agreement is in effect, (ii) any Commitments are in effect, or (iii) any</w:t>
      </w:r>
    </w:p>
    <w:p>
      <w:pPr>
        <w:spacing w:after="0" w:line="235" w:lineRule="auto"/>
        <w:rPr>
          <w:sz w:val="20"/>
          <w:szCs w:val="20"/>
          <w:color w:val="auto"/>
        </w:rPr>
      </w:pPr>
      <w:r>
        <w:rPr>
          <w:rFonts w:ascii="Arial" w:cs="Arial" w:eastAsia="Arial" w:hAnsi="Arial"/>
          <w:sz w:val="18"/>
          <w:szCs w:val="18"/>
          <w:color w:val="auto"/>
        </w:rPr>
        <w:t>Extension of Credit is outstanding when such inaccuracy is discovered or such financial statement or Compliance Certificate was delivered),</w:t>
      </w:r>
    </w:p>
    <w:p>
      <w:pPr>
        <w:spacing w:after="0" w:line="219" w:lineRule="auto"/>
        <w:rPr>
          <w:sz w:val="20"/>
          <w:szCs w:val="20"/>
          <w:color w:val="auto"/>
        </w:rPr>
      </w:pPr>
      <w:r>
        <w:rPr>
          <w:rFonts w:ascii="Arial" w:cs="Arial" w:eastAsia="Arial" w:hAnsi="Arial"/>
          <w:sz w:val="18"/>
          <w:szCs w:val="18"/>
          <w:color w:val="auto"/>
        </w:rPr>
        <w:t>and such inaccuracy, if corrected, would have led to the application of a higher Applicable Margin for any period (an “</w:t>
      </w:r>
      <w:r>
        <w:rPr>
          <w:rFonts w:ascii="Arial" w:cs="Arial" w:eastAsia="Arial" w:hAnsi="Arial"/>
          <w:sz w:val="18"/>
          <w:szCs w:val="18"/>
          <w:u w:val="single" w:color="auto"/>
          <w:color w:val="auto"/>
        </w:rPr>
        <w:t>Applicable Period</w:t>
      </w:r>
      <w:r>
        <w:rPr>
          <w:rFonts w:ascii="Arial" w:cs="Arial" w:eastAsia="Arial" w:hAnsi="Arial"/>
          <w:sz w:val="18"/>
          <w:szCs w:val="18"/>
          <w:color w:val="auto"/>
        </w:rPr>
        <w:t>”)</w:t>
      </w:r>
    </w:p>
    <w:p>
      <w:pPr>
        <w:jc w:val="both"/>
        <w:ind w:right="20"/>
        <w:spacing w:after="0" w:line="222" w:lineRule="auto"/>
        <w:rPr>
          <w:sz w:val="20"/>
          <w:szCs w:val="20"/>
          <w:color w:val="auto"/>
        </w:rPr>
      </w:pPr>
      <w:r>
        <w:rPr>
          <w:rFonts w:ascii="Arial" w:cs="Arial" w:eastAsia="Arial" w:hAnsi="Arial"/>
          <w:sz w:val="20"/>
          <w:szCs w:val="20"/>
          <w:color w:val="auto"/>
        </w:rPr>
        <w:t>than the Applicable Margin applied for such Applicable Period, then (A) the Borrower shall promptly (and in any case within five (5) Business Days) deliver to the Administrative Agent a corrected Compliance Certificate for such Applicable Period, (B) the Applicable Margin for such Applicable Period shall be determined as if the Total Leverage Ratio in the corrected Compliance</w:t>
      </w:r>
    </w:p>
    <w:p>
      <w:pPr>
        <w:sectPr>
          <w:pgSz w:w="11900" w:h="16838" w:orient="portrait"/>
          <w:cols w:equalWidth="0" w:num="1">
            <w:col w:w="11260"/>
          </w:cols>
          <w:pgMar w:left="320" w:top="1440" w:right="319" w:bottom="1440" w:gutter="0" w:footer="0" w:header="0"/>
        </w:sectPr>
      </w:pPr>
    </w:p>
    <w:bookmarkStart w:id="58" w:name="page59"/>
    <w:bookmarkEnd w:id="58"/>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Certificate were applicable for such Applicable Period, and (C) the Borrower shall promptly (and in any case within five (5) Business Days)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retroactively be obligated to pay to the Administrative Agent the accrued additional interest and fees owing as a result of such increased Applicable Margin for such Applicable Period, which payment shall be promptly applied by the Administrative Agent in accordance with</w:t>
      </w:r>
    </w:p>
    <w:p>
      <w:pPr>
        <w:spacing w:after="0" w:line="236" w:lineRule="auto"/>
        <w:rPr>
          <w:sz w:val="20"/>
          <w:szCs w:val="20"/>
          <w:color w:val="auto"/>
        </w:rPr>
      </w:pP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Nothing in this paragraph shall limit the rights of the Administrative Agent and Lenders with respect to </w:t>
      </w:r>
      <w:r>
        <w:rPr>
          <w:rFonts w:ascii="Arial" w:cs="Arial" w:eastAsia="Arial" w:hAnsi="Arial"/>
          <w:sz w:val="18"/>
          <w:szCs w:val="18"/>
          <w:u w:val="single" w:color="auto"/>
          <w:color w:val="auto"/>
        </w:rPr>
        <w:t>Sections 2.10(c)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nor any of their other rights under this Agreement or any other Loan Document. The Borrower’s obligations under this paragraph shall survive the termination of the Commitments and the repayment of all other Obligations hereunder.</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Application</w:t>
      </w:r>
      <w:r>
        <w:rPr>
          <w:rFonts w:ascii="Arial" w:cs="Arial" w:eastAsia="Arial" w:hAnsi="Arial"/>
          <w:sz w:val="20"/>
          <w:szCs w:val="20"/>
          <w:color w:val="auto"/>
        </w:rPr>
        <w:t>”: an application, in such form as the Issuing Lender may specify from time to time, requesting the Issuing Lender to issue a Letter of Credit.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as defined in Section 10.6(b).</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an Assignment and Assumption,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Commitment</w:t>
      </w:r>
      <w:r>
        <w:rPr>
          <w:rFonts w:ascii="Arial" w:cs="Arial" w:eastAsia="Arial" w:hAnsi="Arial"/>
          <w:sz w:val="20"/>
          <w:szCs w:val="20"/>
          <w:color w:val="auto"/>
        </w:rPr>
        <w:t xml:space="preserve">”: as to any Lender at any time, an amount equal to (a) such Lender’s Commitment then in effect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such Lender’s Extensions of Credit then outstanding.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as of any date of determination and with respect to the then-current Benchmark, as applicable, (a) if </w:t>
      </w:r>
      <w:r>
        <w:rPr>
          <w:rFonts w:ascii="Arial" w:cs="Arial" w:eastAsia="Arial" w:hAnsi="Arial"/>
          <w:sz w:val="18"/>
          <w:szCs w:val="18"/>
          <w:color w:val="FF0000"/>
          <w:strike w:val="1"/>
        </w:rPr>
        <w:t>the then-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current</w:t>
      </w:r>
      <w:r>
        <w:rPr>
          <w:rFonts w:ascii="Arial" w:cs="Arial" w:eastAsia="Arial" w:hAnsi="Arial"/>
          <w:sz w:val="18"/>
          <w:szCs w:val="18"/>
          <w:u w:val="single" w:color="auto"/>
          <w:color w:val="0000FF"/>
        </w:rPr>
        <w:t>such</w:t>
      </w:r>
      <w:r>
        <w:rPr>
          <w:rFonts w:ascii="Arial" w:cs="Arial" w:eastAsia="Arial" w:hAnsi="Arial"/>
          <w:sz w:val="18"/>
          <w:szCs w:val="18"/>
          <w:color w:val="FF0000"/>
        </w:rPr>
        <w:t xml:space="preserve"> </w:t>
      </w:r>
      <w:r>
        <w:rPr>
          <w:rFonts w:ascii="Arial" w:cs="Arial" w:eastAsia="Arial" w:hAnsi="Arial"/>
          <w:sz w:val="18"/>
          <w:szCs w:val="18"/>
          <w:color w:val="000000"/>
        </w:rPr>
        <w:t>Benchmark is a term rate, any tenor for such Benchmark</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component thereof) that is or may be used for determining 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length of an interest period pursuant to this Agreement</w:t>
      </w:r>
      <w:r>
        <w:rPr>
          <w:rFonts w:ascii="Arial" w:cs="Arial" w:eastAsia="Arial" w:hAnsi="Arial"/>
          <w:sz w:val="18"/>
          <w:szCs w:val="18"/>
          <w:color w:val="0000FF"/>
        </w:rPr>
        <w:t xml:space="preserve"> </w:t>
      </w:r>
      <w:r>
        <w:rPr>
          <w:rFonts w:ascii="Arial" w:cs="Arial" w:eastAsia="Arial" w:hAnsi="Arial"/>
          <w:sz w:val="18"/>
          <w:szCs w:val="18"/>
          <w:color w:val="000000"/>
        </w:rPr>
        <w:t>or (b) otherwise, any payment period for interest calculated with reference to such</w:t>
      </w:r>
    </w:p>
    <w:p>
      <w:pPr>
        <w:spacing w:after="0" w:line="236" w:lineRule="auto"/>
        <w:rPr>
          <w:sz w:val="20"/>
          <w:szCs w:val="20"/>
          <w:color w:val="auto"/>
        </w:rPr>
      </w:pPr>
      <w:r>
        <w:rPr>
          <w:rFonts w:ascii="Arial" w:cs="Arial" w:eastAsia="Arial" w:hAnsi="Arial"/>
          <w:sz w:val="18"/>
          <w:szCs w:val="18"/>
          <w:color w:val="auto"/>
        </w:rPr>
        <w:t>Benchmark</w:t>
      </w:r>
      <w:r>
        <w:rPr>
          <w:rFonts w:ascii="Arial" w:cs="Arial" w:eastAsia="Arial" w:hAnsi="Arial"/>
          <w:sz w:val="18"/>
          <w:szCs w:val="18"/>
          <w:color w:val="FF0000"/>
          <w:strike w:val="1"/>
        </w:rPr>
        <w:t>, as applicable, in each case,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component thereof)</w:t>
      </w:r>
      <w:r>
        <w:rPr>
          <w:rFonts w:ascii="Arial" w:cs="Arial" w:eastAsia="Arial" w:hAnsi="Arial"/>
          <w:sz w:val="18"/>
          <w:szCs w:val="18"/>
          <w:color w:val="auto"/>
        </w:rPr>
        <w:t xml:space="preserve"> that is or may be used for determining </w:t>
      </w:r>
      <w:r>
        <w:rPr>
          <w:rFonts w:ascii="Arial" w:cs="Arial" w:eastAsia="Arial" w:hAnsi="Arial"/>
          <w:sz w:val="18"/>
          <w:szCs w:val="18"/>
          <w:color w:val="FF0000"/>
          <w:strike w:val="1"/>
        </w:rPr>
        <w:t>the length of an Interest Period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pursuant to this Agreement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any frequency of making payments of interest calculated with reference to such Benchmark, in each case,</w:t>
      </w:r>
      <w:r>
        <w:rPr>
          <w:rFonts w:ascii="Arial" w:cs="Arial" w:eastAsia="Arial" w:hAnsi="Arial"/>
          <w:sz w:val="18"/>
          <w:szCs w:val="18"/>
          <w:color w:val="FF0000"/>
        </w:rPr>
        <w:t xml:space="preserve"> </w:t>
      </w:r>
      <w:r>
        <w:rPr>
          <w:rFonts w:ascii="Arial" w:cs="Arial" w:eastAsia="Arial" w:hAnsi="Arial"/>
          <w:sz w:val="18"/>
          <w:szCs w:val="18"/>
          <w:color w:val="000000"/>
        </w:rPr>
        <w:t>as of</w:t>
      </w:r>
      <w:r>
        <w:rPr>
          <w:rFonts w:ascii="Arial" w:cs="Arial" w:eastAsia="Arial" w:hAnsi="Arial"/>
          <w:sz w:val="18"/>
          <w:szCs w:val="18"/>
          <w:color w:val="FF0000"/>
        </w:rPr>
        <w:t xml:space="preserve"> </w:t>
      </w:r>
      <w:r>
        <w:rPr>
          <w:rFonts w:ascii="Arial" w:cs="Arial" w:eastAsia="Arial" w:hAnsi="Arial"/>
          <w:sz w:val="18"/>
          <w:szCs w:val="18"/>
          <w:color w:val="000000"/>
        </w:rPr>
        <w:t>such date and not including, for the avoidance of doubt, any tenor for such Benchmark that is then-removed from the definition of “Interest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Period” pursuant to </w:t>
      </w:r>
      <w:r>
        <w:rPr>
          <w:rFonts w:ascii="Arial" w:cs="Arial" w:eastAsia="Arial" w:hAnsi="Arial"/>
          <w:sz w:val="20"/>
          <w:szCs w:val="20"/>
          <w:u w:val="single" w:color="auto"/>
          <w:color w:val="auto"/>
        </w:rPr>
        <w:t>Section 2.12(c)(iv)</w:t>
      </w:r>
      <w:r>
        <w:rPr>
          <w:rFonts w:ascii="Arial" w:cs="Arial" w:eastAsia="Arial" w:hAnsi="Arial"/>
          <w:sz w:val="20"/>
          <w:szCs w:val="20"/>
          <w:color w:val="auto"/>
        </w:rPr>
        <w:t>.</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the exercise of any Write-Down and Conversion Powers by the applicable Resolution Authority in respect of any liability of an Affected Financial Institution.</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(a) with respect to any EEA Member Country implementing Article 55 of Directive 2014/59/EU of the European Parliament and of the Council of the European Union, the implementing law, regulation, rule or requirement for such EEA Member</w:t>
      </w:r>
    </w:p>
    <w:p>
      <w:pPr>
        <w:spacing w:after="0" w:line="235" w:lineRule="auto"/>
        <w:rPr>
          <w:sz w:val="20"/>
          <w:szCs w:val="20"/>
          <w:color w:val="auto"/>
        </w:rPr>
      </w:pPr>
      <w:r>
        <w:rPr>
          <w:rFonts w:ascii="Arial" w:cs="Arial" w:eastAsia="Arial" w:hAnsi="Arial"/>
          <w:sz w:val="18"/>
          <w:szCs w:val="18"/>
          <w:color w:val="auto"/>
        </w:rPr>
        <w:t>Country from time to time which is described in the EU Bail-In Legislation Schedule and (b) with respect to the United Kingdom, Part I of</w:t>
      </w:r>
    </w:p>
    <w:p>
      <w:pPr>
        <w:spacing w:after="0" w:line="226" w:lineRule="auto"/>
        <w:rPr>
          <w:sz w:val="20"/>
          <w:szCs w:val="20"/>
          <w:color w:val="auto"/>
        </w:rPr>
      </w:pPr>
      <w:r>
        <w:rPr>
          <w:rFonts w:ascii="Arial" w:cs="Arial" w:eastAsia="Arial" w:hAnsi="Arial"/>
          <w:sz w:val="18"/>
          <w:szCs w:val="18"/>
          <w:color w:val="auto"/>
        </w:rPr>
        <w:t>the United Kingdom Banking Act 2009 (as amended from time to time) and any other law, regulation or rule applicable in the United Kingdom relating to the resolution of unsound or failing banks, investment firms or other financial institutions or their affiliates (other than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through liquidation, administration or other insolvency proceedings).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initially, </w:t>
      </w:r>
      <w:r>
        <w:rPr>
          <w:rFonts w:ascii="Arial" w:cs="Arial" w:eastAsia="Arial" w:hAnsi="Arial"/>
          <w:sz w:val="18"/>
          <w:szCs w:val="18"/>
          <w:color w:val="FF0000"/>
          <w:strike w:val="1"/>
        </w:rPr>
        <w:t>USD LIBOR</w:t>
      </w:r>
      <w:r>
        <w:rPr>
          <w:rFonts w:ascii="Arial" w:cs="Arial" w:eastAsia="Arial" w:hAnsi="Arial"/>
          <w:sz w:val="18"/>
          <w:szCs w:val="18"/>
          <w:u w:val="single" w:color="auto"/>
          <w:color w:val="0000FF"/>
        </w:rPr>
        <w:t>the Term SOFR Reference Rate</w:t>
      </w:r>
      <w:r>
        <w:rPr>
          <w:rFonts w:ascii="Arial" w:cs="Arial" w:eastAsia="Arial" w:hAnsi="Arial"/>
          <w:sz w:val="18"/>
          <w:szCs w:val="18"/>
          <w:color w:val="auto"/>
        </w:rPr>
        <w:t>; provided that if a Benchmark Transition Event</w:t>
      </w:r>
      <w:r>
        <w:rPr>
          <w:rFonts w:ascii="Arial" w:cs="Arial" w:eastAsia="Arial" w:hAnsi="Arial"/>
          <w:sz w:val="18"/>
          <w:szCs w:val="18"/>
          <w:color w:val="FF0000"/>
          <w:strike w:val="1"/>
        </w:rPr>
        <w:t>, a Term SOFR</w:t>
      </w:r>
      <w:r>
        <w:rPr>
          <w:rFonts w:ascii="Arial" w:cs="Arial" w:eastAsia="Arial" w:hAnsi="Arial"/>
          <w:sz w:val="18"/>
          <w:szCs w:val="18"/>
          <w:color w:val="auto"/>
        </w:rPr>
        <w:t xml:space="preserve"> </w:t>
      </w:r>
      <w:r>
        <w:rPr>
          <w:rFonts w:ascii="Arial" w:cs="Arial" w:eastAsia="Arial" w:hAnsi="Arial"/>
          <w:sz w:val="18"/>
          <w:szCs w:val="18"/>
          <w:color w:val="FF0000"/>
          <w:strike w:val="1"/>
        </w:rPr>
        <w:t>Transition Event or an Early Opt-in Election, as applicable, and its related Benchmark Replacement Date have</w:t>
      </w:r>
      <w:r>
        <w:rPr>
          <w:rFonts w:ascii="Arial" w:cs="Arial" w:eastAsia="Arial" w:hAnsi="Arial"/>
          <w:sz w:val="18"/>
          <w:szCs w:val="18"/>
          <w:color w:val="FF0000"/>
        </w:rPr>
        <w:t xml:space="preserve"> </w:t>
      </w:r>
      <w:r>
        <w:rPr>
          <w:rFonts w:ascii="Arial" w:cs="Arial" w:eastAsia="Arial" w:hAnsi="Arial"/>
          <w:sz w:val="18"/>
          <w:szCs w:val="18"/>
          <w:color w:val="0000FF"/>
        </w:rPr>
        <w:t>has</w:t>
      </w:r>
      <w:r>
        <w:rPr>
          <w:rFonts w:ascii="Arial" w:cs="Arial" w:eastAsia="Arial" w:hAnsi="Arial"/>
          <w:sz w:val="18"/>
          <w:szCs w:val="18"/>
          <w:color w:val="FF0000"/>
        </w:rPr>
        <w:t xml:space="preserve"> </w:t>
      </w:r>
      <w:r>
        <w:rPr>
          <w:rFonts w:ascii="Arial" w:cs="Arial" w:eastAsia="Arial" w:hAnsi="Arial"/>
          <w:sz w:val="18"/>
          <w:szCs w:val="18"/>
          <w:color w:val="000000"/>
        </w:rPr>
        <w:t>occurred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5661025</wp:posOffset>
            </wp:positionH>
            <wp:positionV relativeFrom="paragraph">
              <wp:posOffset>-6985</wp:posOffset>
            </wp:positionV>
            <wp:extent cx="1987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98755" cy="8890"/>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9"/>
          <w:szCs w:val="19"/>
          <w:color w:val="FF0000"/>
          <w:strike w:val="1"/>
        </w:rPr>
        <w:t>USD LIBOR</w:t>
      </w:r>
      <w:r>
        <w:rPr>
          <w:rFonts w:ascii="Arial" w:cs="Arial" w:eastAsia="Arial" w:hAnsi="Arial"/>
          <w:sz w:val="19"/>
          <w:szCs w:val="19"/>
          <w:u w:val="single" w:color="auto"/>
          <w:color w:val="0000FF"/>
        </w:rPr>
        <w:t>the Term SOFR Reference Rate</w:t>
      </w:r>
      <w:r>
        <w:rPr>
          <w:rFonts w:ascii="Arial" w:cs="Arial" w:eastAsia="Arial" w:hAnsi="Arial"/>
          <w:sz w:val="19"/>
          <w:szCs w:val="19"/>
          <w:color w:val="FF0000"/>
        </w:rPr>
        <w:t xml:space="preserve"> </w:t>
      </w:r>
      <w:r>
        <w:rPr>
          <w:rFonts w:ascii="Arial" w:cs="Arial" w:eastAsia="Arial" w:hAnsi="Arial"/>
          <w:sz w:val="19"/>
          <w:szCs w:val="19"/>
          <w:color w:val="000000"/>
        </w:rPr>
        <w:t>or the then-current Benchmark, then “Benchmark” means the applicable Benchmark</w:t>
      </w:r>
      <w:r>
        <w:rPr>
          <w:rFonts w:ascii="Arial" w:cs="Arial" w:eastAsia="Arial" w:hAnsi="Arial"/>
          <w:sz w:val="19"/>
          <w:szCs w:val="19"/>
          <w:color w:val="FF0000"/>
        </w:rPr>
        <w:t xml:space="preserve"> </w:t>
      </w:r>
      <w:r>
        <w:rPr>
          <w:rFonts w:ascii="Arial" w:cs="Arial" w:eastAsia="Arial" w:hAnsi="Arial"/>
          <w:sz w:val="19"/>
          <w:szCs w:val="19"/>
          <w:color w:val="000000"/>
        </w:rPr>
        <w:t xml:space="preserve">Replacement to the extent that such Benchmark Replacement has replaced such prior benchmark rate pursuant to </w:t>
      </w:r>
      <w:r>
        <w:rPr>
          <w:rFonts w:ascii="Arial" w:cs="Arial" w:eastAsia="Arial" w:hAnsi="Arial"/>
          <w:sz w:val="19"/>
          <w:szCs w:val="19"/>
          <w:u w:val="single" w:color="auto"/>
          <w:color w:val="000000"/>
        </w:rPr>
        <w:t>Section 2.12(c)(i)</w:t>
      </w:r>
      <w:r>
        <w:rPr>
          <w:rFonts w:ascii="Arial" w:cs="Arial" w:eastAsia="Arial" w:hAnsi="Arial"/>
          <w:sz w:val="19"/>
          <w:szCs w:val="19"/>
          <w:color w:val="000000"/>
        </w:rPr>
        <w: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xml:space="preserve">”: </w:t>
      </w:r>
      <w:r>
        <w:rPr>
          <w:rFonts w:ascii="Arial" w:cs="Arial" w:eastAsia="Arial" w:hAnsi="Arial"/>
          <w:sz w:val="20"/>
          <w:szCs w:val="20"/>
          <w:color w:val="FF0000"/>
          <w:strike w:val="1"/>
        </w:rPr>
        <w:t>for any Available Tenor,</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90" w:lineRule="exact"/>
        <w:rPr>
          <w:sz w:val="20"/>
          <w:szCs w:val="20"/>
          <w:color w:val="auto"/>
        </w:rPr>
      </w:pPr>
    </w:p>
    <w:p>
      <w:pPr>
        <w:ind w:firstLine="656"/>
        <w:spacing w:after="0" w:line="236" w:lineRule="auto"/>
        <w:tabs>
          <w:tab w:leader="none" w:pos="917" w:val="left"/>
        </w:tabs>
        <w:numPr>
          <w:ilvl w:val="0"/>
          <w:numId w:val="37"/>
        </w:numPr>
        <w:rPr>
          <w:rFonts w:ascii="Arial" w:cs="Arial" w:eastAsia="Arial" w:hAnsi="Arial"/>
          <w:sz w:val="20"/>
          <w:szCs w:val="20"/>
          <w:color w:val="FF0000"/>
          <w:strike w:val="1"/>
        </w:rPr>
      </w:pPr>
      <w:r>
        <w:rPr>
          <w:rFonts w:ascii="Arial" w:cs="Arial" w:eastAsia="Arial" w:hAnsi="Arial"/>
          <w:sz w:val="20"/>
          <w:szCs w:val="20"/>
          <w:color w:val="auto"/>
        </w:rPr>
        <w:t xml:space="preserve">with respect to any Benchmark Transition Event </w:t>
      </w:r>
      <w:r>
        <w:rPr>
          <w:rFonts w:ascii="Arial" w:cs="Arial" w:eastAsia="Arial" w:hAnsi="Arial"/>
          <w:sz w:val="20"/>
          <w:szCs w:val="20"/>
          <w:color w:val="FF0000"/>
        </w:rPr>
        <w:t>or Early Opt-in Election, the first alternative set forth in the order below that can</w:t>
      </w:r>
      <w:r>
        <w:rPr>
          <w:rFonts w:ascii="Arial" w:cs="Arial" w:eastAsia="Arial" w:hAnsi="Arial"/>
          <w:sz w:val="20"/>
          <w:szCs w:val="20"/>
          <w:color w:val="auto"/>
        </w:rPr>
        <w:t xml:space="preserve"> </w:t>
      </w:r>
      <w:r>
        <w:rPr>
          <w:rFonts w:ascii="Arial" w:cs="Arial" w:eastAsia="Arial" w:hAnsi="Arial"/>
          <w:sz w:val="20"/>
          <w:szCs w:val="20"/>
          <w:color w:val="FF0000"/>
          <w:strike w:val="1"/>
        </w:rPr>
        <w:t>be determined by the Administrative Agent for the applicable Benchmark Replacement Date:</w:t>
      </w:r>
    </w:p>
    <w:p>
      <w:pPr>
        <w:spacing w:after="0" w:line="155" w:lineRule="exact"/>
        <w:rPr>
          <w:rFonts w:ascii="Arial" w:cs="Arial" w:eastAsia="Arial" w:hAnsi="Arial"/>
          <w:sz w:val="20"/>
          <w:szCs w:val="20"/>
          <w:color w:val="FF0000"/>
          <w:strike w:val="1"/>
        </w:rPr>
      </w:pPr>
    </w:p>
    <w:p>
      <w:pPr>
        <w:jc w:val="both"/>
        <w:ind w:left="660" w:firstLine="644"/>
        <w:spacing w:after="0" w:line="241" w:lineRule="auto"/>
        <w:tabs>
          <w:tab w:leader="none" w:pos="1777" w:val="left"/>
        </w:tabs>
        <w:numPr>
          <w:ilvl w:val="1"/>
          <w:numId w:val="3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sum of: (A) Term SOFR and (B) the related Benchmark Replacement Adjustment;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that, if the Borrower has provided a notification to the Administrative Agent in writing on or prior to such Benchmark Replacement Date that the Borrower has a hedge agreement in place with respect to any of the Loans as of the date of such notice (which such notification the Administrative Agent shall be entitled to rely upon and shall have no duty or obligation to ascertain the correctness or completeness of), then the Administrative Agent, in its sole discretion, may decide not to determine the Benchmark Replacement pursuant to this clause (a)(1) for such Benchmark Transition Event or Early Opt-in Election, as applicable;</w:t>
      </w:r>
    </w:p>
    <w:p>
      <w:pPr>
        <w:spacing w:after="0" w:line="156" w:lineRule="exact"/>
        <w:rPr>
          <w:rFonts w:ascii="Arial" w:cs="Arial" w:eastAsia="Arial" w:hAnsi="Arial"/>
          <w:sz w:val="18"/>
          <w:szCs w:val="18"/>
          <w:color w:val="FF0000"/>
          <w:strike w:val="1"/>
        </w:rPr>
      </w:pPr>
    </w:p>
    <w:p>
      <w:pPr>
        <w:ind w:left="1740" w:hanging="436"/>
        <w:spacing w:after="0"/>
        <w:tabs>
          <w:tab w:leader="none" w:pos="1740" w:val="left"/>
        </w:tabs>
        <w:numPr>
          <w:ilvl w:val="1"/>
          <w:numId w:val="37"/>
        </w:numPr>
        <w:rPr>
          <w:rFonts w:ascii="Arial" w:cs="Arial" w:eastAsia="Arial" w:hAnsi="Arial"/>
          <w:sz w:val="20"/>
          <w:szCs w:val="20"/>
          <w:color w:val="FF0000"/>
          <w:strike w:val="1"/>
        </w:rPr>
      </w:pPr>
      <w:r>
        <w:rPr>
          <w:rFonts w:ascii="Arial" w:cs="Arial" w:eastAsia="Arial" w:hAnsi="Arial"/>
          <w:sz w:val="20"/>
          <w:szCs w:val="20"/>
          <w:color w:val="FF0000"/>
          <w:strike w:val="1"/>
        </w:rPr>
        <w:t>the sum of: (A) Daily Simple SOFR and (B)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-1343660</wp:posOffset>
            </wp:positionV>
            <wp:extent cx="41078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4107815" cy="8255"/>
                    </a:xfrm>
                    <a:prstGeom prst="rect">
                      <a:avLst/>
                    </a:prstGeom>
                    <a:noFill/>
                  </pic:spPr>
                </pic:pic>
              </a:graphicData>
            </a:graphic>
          </wp:anchor>
        </w:drawing>
      </w:r>
    </w:p>
    <w:p>
      <w:pPr>
        <w:spacing w:after="0" w:line="169" w:lineRule="exact"/>
        <w:rPr>
          <w:sz w:val="20"/>
          <w:szCs w:val="20"/>
          <w:color w:val="auto"/>
        </w:rPr>
      </w:pPr>
    </w:p>
    <w:p>
      <w:pPr>
        <w:jc w:val="both"/>
        <w:ind w:firstLine="656"/>
        <w:spacing w:after="0" w:line="234" w:lineRule="auto"/>
        <w:tabs>
          <w:tab w:leader="none" w:pos="1192" w:val="left"/>
        </w:tabs>
        <w:numPr>
          <w:ilvl w:val="0"/>
          <w:numId w:val="38"/>
        </w:numPr>
        <w:rPr>
          <w:rFonts w:ascii="Arial" w:cs="Arial" w:eastAsia="Arial" w:hAnsi="Arial"/>
          <w:sz w:val="18"/>
          <w:szCs w:val="18"/>
          <w:color w:val="FF0000"/>
          <w:strike w:val="1"/>
        </w:rPr>
      </w:pPr>
      <w:r>
        <w:rPr>
          <w:rFonts w:ascii="Arial" w:cs="Arial" w:eastAsia="Arial" w:hAnsi="Arial"/>
          <w:sz w:val="18"/>
          <w:szCs w:val="18"/>
          <w:color w:val="FF0000"/>
          <w:strike w:val="1"/>
        </w:rPr>
        <w:t>the sum of: (A</w:t>
      </w:r>
      <w:r>
        <w:rPr>
          <w:rFonts w:ascii="Arial" w:cs="Arial" w:eastAsia="Arial" w:hAnsi="Arial"/>
          <w:sz w:val="18"/>
          <w:szCs w:val="18"/>
          <w:u w:val="single" w:color="auto"/>
          <w:color w:val="0000FF"/>
        </w:rPr>
        <w:t>, the sum of: (a</w:t>
      </w:r>
      <w:r>
        <w:rPr>
          <w:rFonts w:ascii="Arial" w:cs="Arial" w:eastAsia="Arial" w:hAnsi="Arial"/>
          <w:sz w:val="18"/>
          <w:szCs w:val="18"/>
          <w:color w:val="000000"/>
        </w:rPr>
        <w:t>) the alternate benchmark rate that has been selected by the Administrative Agent and the</w:t>
      </w:r>
      <w:r>
        <w:rPr>
          <w:rFonts w:ascii="Arial" w:cs="Arial" w:eastAsia="Arial" w:hAnsi="Arial"/>
          <w:sz w:val="18"/>
          <w:szCs w:val="18"/>
          <w:color w:val="FF0000"/>
        </w:rPr>
        <w:t xml:space="preserve"> </w:t>
      </w:r>
      <w:r>
        <w:rPr>
          <w:rFonts w:ascii="Arial" w:cs="Arial" w:eastAsia="Arial" w:hAnsi="Arial"/>
          <w:sz w:val="18"/>
          <w:szCs w:val="18"/>
          <w:color w:val="000000"/>
        </w:rPr>
        <w:t xml:space="preserve">Borrower </w:t>
      </w:r>
      <w:r>
        <w:rPr>
          <w:rFonts w:ascii="Arial" w:cs="Arial" w:eastAsia="Arial" w:hAnsi="Arial"/>
          <w:sz w:val="18"/>
          <w:szCs w:val="18"/>
          <w:color w:val="FF0000"/>
        </w:rPr>
        <w:t>as the replacement for the then-current Benchmark for the applicable Corresponding Tenor</w:t>
      </w:r>
      <w:r>
        <w:rPr>
          <w:rFonts w:ascii="Arial" w:cs="Arial" w:eastAsia="Arial" w:hAnsi="Arial"/>
          <w:sz w:val="18"/>
          <w:szCs w:val="18"/>
          <w:color w:val="000000"/>
        </w:rPr>
        <w:t xml:space="preserve"> giving due consideration to (i) any selection or recommendation of a replacement benchmark rate or the mechanism for determining such a rate by the Relevant Governmental Body or (ii) any evolving or then-prevailing market convention for determining a benchmark rate as a replacement </w:t>
      </w:r>
      <w:r>
        <w:rPr>
          <w:rFonts w:ascii="Arial" w:cs="Arial" w:eastAsia="Arial" w:hAnsi="Arial"/>
          <w:sz w:val="18"/>
          <w:szCs w:val="18"/>
          <w:color w:val="FF0000"/>
          <w:strike w:val="1"/>
        </w:rPr>
        <w:t>for</w:t>
      </w:r>
      <w:r>
        <w:rPr>
          <w:rFonts w:ascii="Arial" w:cs="Arial" w:eastAsia="Arial" w:hAnsi="Arial"/>
          <w:sz w:val="18"/>
          <w:szCs w:val="18"/>
          <w:u w:val="single" w:color="auto"/>
          <w:color w:val="0000FF"/>
        </w:rPr>
        <w:t>to</w:t>
      </w:r>
      <w:r>
        <w:rPr>
          <w:rFonts w:ascii="Arial" w:cs="Arial" w:eastAsia="Arial" w:hAnsi="Arial"/>
          <w:sz w:val="18"/>
          <w:szCs w:val="18"/>
          <w:color w:val="000000"/>
        </w:rPr>
        <w:t xml:space="preserve"> the then-current Benchmark for Dollar-denominated syndicated credit facilities </w:t>
      </w:r>
      <w:r>
        <w:rPr>
          <w:rFonts w:ascii="Arial" w:cs="Arial" w:eastAsia="Arial" w:hAnsi="Arial"/>
          <w:sz w:val="18"/>
          <w:szCs w:val="18"/>
          <w:color w:val="FF0000"/>
          <w:strike w:val="1"/>
        </w:rPr>
        <w:t>at such time</w:t>
      </w:r>
      <w:r>
        <w:rPr>
          <w:rFonts w:ascii="Arial" w:cs="Arial" w:eastAsia="Arial" w:hAnsi="Arial"/>
          <w:sz w:val="18"/>
          <w:szCs w:val="18"/>
          <w:color w:val="000000"/>
        </w:rPr>
        <w:t xml:space="preserve"> and </w:t>
      </w:r>
      <w:r>
        <w:rPr>
          <w:rFonts w:ascii="Arial" w:cs="Arial" w:eastAsia="Arial" w:hAnsi="Arial"/>
          <w:sz w:val="18"/>
          <w:szCs w:val="18"/>
          <w:color w:val="FF0000"/>
          <w:strike w:val="1"/>
        </w:rPr>
        <w:t>(B) the related Benchmark Replacement Adjustment;</w:t>
      </w:r>
      <w:r>
        <w:rPr>
          <w:rFonts w:ascii="Arial" w:cs="Arial" w:eastAsia="Arial" w:hAnsi="Arial"/>
          <w:sz w:val="18"/>
          <w:szCs w:val="18"/>
          <w:color w:val="000000"/>
        </w:rPr>
        <w:t xml:space="preserve"> </w:t>
      </w:r>
      <w:r>
        <w:rPr>
          <w:rFonts w:ascii="Arial" w:cs="Arial" w:eastAsia="Arial" w:hAnsi="Arial"/>
          <w:sz w:val="18"/>
          <w:szCs w:val="18"/>
          <w:color w:val="FF0000"/>
          <w:strike w:val="1"/>
        </w:rPr>
        <w:t>or</w:t>
      </w:r>
      <w:r>
        <w:rPr>
          <w:rFonts w:ascii="Arial" w:cs="Arial" w:eastAsia="Arial" w:hAnsi="Arial"/>
          <w:sz w:val="18"/>
          <w:szCs w:val="18"/>
          <w:color w:val="000000"/>
        </w:rPr>
        <w:t>(b</w:t>
      </w:r>
      <w:r>
        <w:rPr>
          <w:rFonts w:ascii="Arial" w:cs="Arial" w:eastAsia="Arial" w:hAnsi="Arial"/>
          <w:sz w:val="18"/>
          <w:szCs w:val="18"/>
          <w:color w:val="FF0000"/>
          <w:strike w:val="1"/>
        </w:rPr>
        <w:t>) with respect to any Term SOFR Transition Event, the sum of (i) Term SOFR and (ii</w:t>
      </w:r>
      <w:r>
        <w:rPr>
          <w:rFonts w:ascii="Arial" w:cs="Arial" w:eastAsia="Arial" w:hAnsi="Arial"/>
          <w:sz w:val="18"/>
          <w:szCs w:val="18"/>
          <w:color w:val="000000"/>
        </w:rPr>
        <w:t>) the related Benchmark Replacement Adjustment;</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w:t>
      </w:r>
      <w:r>
        <w:rPr>
          <w:rFonts w:ascii="Arial" w:cs="Arial" w:eastAsia="Arial" w:hAnsi="Arial"/>
          <w:sz w:val="18"/>
          <w:szCs w:val="18"/>
          <w:color w:val="FF0000"/>
          <w:strike w:val="1"/>
        </w:rPr>
        <w:t>(i) in the case of clause (a)(1), if the Administrative Agent decides that Term SOFR is not administratively feasible for the</w:t>
      </w:r>
      <w:r>
        <w:rPr>
          <w:rFonts w:ascii="Arial" w:cs="Arial" w:eastAsia="Arial" w:hAnsi="Arial"/>
          <w:sz w:val="18"/>
          <w:szCs w:val="18"/>
          <w:color w:val="000000"/>
        </w:rPr>
        <w:t xml:space="preserve"> </w:t>
      </w:r>
      <w:r>
        <w:rPr>
          <w:rFonts w:ascii="Arial" w:cs="Arial" w:eastAsia="Arial" w:hAnsi="Arial"/>
          <w:sz w:val="18"/>
          <w:szCs w:val="18"/>
          <w:color w:val="FF0000"/>
          <w:strike w:val="1"/>
        </w:rPr>
        <w:t>Administrative Agent, then Term SOFR will be deemed unable to be determined for purposes of this definition and (ii) in the case of clause (a)(1) or clause (b) of this definition, the applicable Unadjusted Benchmark Replacement is displayed on a screen or other information service that publishes such rate from time to time as selected by the Administrative Agent in its reasonable discretion. If the</w:t>
      </w:r>
      <w:r>
        <w:rPr>
          <w:rFonts w:ascii="Arial" w:cs="Arial" w:eastAsia="Arial" w:hAnsi="Arial"/>
          <w:sz w:val="18"/>
          <w:szCs w:val="18"/>
          <w:u w:val="single" w:color="auto"/>
          <w:color w:val="0000FF"/>
          <w:strike w:val="1"/>
        </w:rPr>
        <w:t>if such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Benchmark Replacement as </w:t>
      </w:r>
      <w:r>
        <w:rPr>
          <w:rFonts w:ascii="Arial" w:cs="Arial" w:eastAsia="Arial" w:hAnsi="Arial"/>
          <w:sz w:val="18"/>
          <w:szCs w:val="18"/>
          <w:color w:val="0000FF"/>
          <w:strike w:val="1"/>
        </w:rPr>
        <w:t>so</w:t>
      </w:r>
      <w:r>
        <w:rPr>
          <w:rFonts w:ascii="Arial" w:cs="Arial" w:eastAsia="Arial" w:hAnsi="Arial"/>
          <w:sz w:val="18"/>
          <w:szCs w:val="18"/>
          <w:color w:val="000000"/>
          <w:strike w:val="1"/>
        </w:rPr>
        <w:t xml:space="preserve"> determined </w:t>
      </w:r>
      <w:r>
        <w:rPr>
          <w:rFonts w:ascii="Arial" w:cs="Arial" w:eastAsia="Arial" w:hAnsi="Arial"/>
          <w:sz w:val="18"/>
          <w:szCs w:val="18"/>
          <w:color w:val="FF0000"/>
          <w:strike w:val="1"/>
        </w:rPr>
        <w:t>pursuant to clause (a)(1), (a)(2) or (a)(3) or clause (b) of this definition</w:t>
      </w:r>
      <w:r>
        <w:rPr>
          <w:rFonts w:ascii="Arial" w:cs="Arial" w:eastAsia="Arial" w:hAnsi="Arial"/>
          <w:sz w:val="18"/>
          <w:szCs w:val="18"/>
          <w:color w:val="000000"/>
          <w:strike w:val="1"/>
        </w:rPr>
        <w:t xml:space="preserve"> would be less than the Floor, </w:t>
      </w:r>
      <w:r>
        <w:rPr>
          <w:rFonts w:ascii="Arial" w:cs="Arial" w:eastAsia="Arial" w:hAnsi="Arial"/>
          <w:sz w:val="18"/>
          <w:szCs w:val="18"/>
          <w:color w:val="FF0000"/>
          <w:strike w:val="1"/>
        </w:rPr>
        <w:t>the</w:t>
      </w:r>
      <w:r>
        <w:rPr>
          <w:rFonts w:ascii="Arial" w:cs="Arial" w:eastAsia="Arial" w:hAnsi="Arial"/>
          <w:sz w:val="18"/>
          <w:szCs w:val="18"/>
          <w:u w:val="single" w:color="auto"/>
          <w:color w:val="0000FF"/>
          <w:strike w:val="1"/>
        </w:rPr>
        <w:t>such</w:t>
      </w:r>
      <w:r>
        <w:rPr>
          <w:rFonts w:ascii="Arial" w:cs="Arial" w:eastAsia="Arial" w:hAnsi="Arial"/>
          <w:sz w:val="18"/>
          <w:szCs w:val="18"/>
          <w:color w:val="000000"/>
          <w:strike w:val="1"/>
        </w:rPr>
        <w:t xml:space="preserve"> Benchmark Replacement will be deemed to be the Floor for the purposes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-1329055</wp:posOffset>
            </wp:positionV>
            <wp:extent cx="4784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4784725" cy="825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-154940</wp:posOffset>
            </wp:positionV>
            <wp:extent cx="1517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51765" cy="8255"/>
                    </a:xfrm>
                    <a:prstGeom prst="rect">
                      <a:avLst/>
                    </a:prstGeom>
                    <a:noFill/>
                  </pic:spPr>
                </pic:pic>
              </a:graphicData>
            </a:graphic>
          </wp:anchor>
        </w:drawing>
      </w:r>
    </w:p>
    <w:p>
      <w:pPr>
        <w:spacing w:after="0" w:line="15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xml:space="preserve">”: with respect to any replacement of the then-current Benchmark with an Unadjusted Benchmark Replacement for any applicable </w:t>
      </w:r>
      <w:r>
        <w:rPr>
          <w:rFonts w:ascii="Arial" w:cs="Arial" w:eastAsia="Arial" w:hAnsi="Arial"/>
          <w:sz w:val="16"/>
          <w:szCs w:val="16"/>
          <w:color w:val="FF0000"/>
          <w:strike w:val="1"/>
        </w:rPr>
        <w:t>Interest Period and</w:t>
      </w:r>
      <w:r>
        <w:rPr>
          <w:rFonts w:ascii="Arial" w:cs="Arial" w:eastAsia="Arial" w:hAnsi="Arial"/>
          <w:sz w:val="16"/>
          <w:szCs w:val="16"/>
          <w:color w:val="auto"/>
        </w:rPr>
        <w:t xml:space="preserve"> Available Tenor </w:t>
      </w:r>
      <w:r>
        <w:rPr>
          <w:rFonts w:ascii="Arial" w:cs="Arial" w:eastAsia="Arial" w:hAnsi="Arial"/>
          <w:sz w:val="16"/>
          <w:szCs w:val="16"/>
          <w:color w:val="FF0000"/>
        </w:rPr>
        <w:t>for any setting of such Unadjusted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-124460</wp:posOffset>
            </wp:positionV>
            <wp:extent cx="3091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spacing w:after="0" w:line="77" w:lineRule="exact"/>
        <w:rPr>
          <w:sz w:val="20"/>
          <w:szCs w:val="20"/>
          <w:color w:val="auto"/>
        </w:rPr>
      </w:pPr>
    </w:p>
    <w:p>
      <w:pPr>
        <w:jc w:val="both"/>
        <w:ind w:left="660" w:firstLine="644"/>
        <w:spacing w:after="0" w:line="252" w:lineRule="auto"/>
        <w:tabs>
          <w:tab w:leader="none" w:pos="1741" w:val="left"/>
        </w:tabs>
        <w:numPr>
          <w:ilvl w:val="1"/>
          <w:numId w:val="39"/>
        </w:numPr>
        <w:rPr>
          <w:rFonts w:ascii="Arial" w:cs="Arial" w:eastAsia="Arial" w:hAnsi="Arial"/>
          <w:sz w:val="18"/>
          <w:szCs w:val="18"/>
          <w:color w:val="FF0000"/>
          <w:strike w:val="1"/>
        </w:rPr>
      </w:pPr>
      <w:r>
        <w:rPr>
          <w:rFonts w:ascii="Arial" w:cs="Arial" w:eastAsia="Arial" w:hAnsi="Arial"/>
          <w:sz w:val="18"/>
          <w:szCs w:val="18"/>
          <w:color w:val="FF0000"/>
          <w:strike w:val="1"/>
        </w:rPr>
        <w:t>for purposes of clauses (a)(1) and (b) of the definition of “Benchmark Replacement,” an amount equal to (A) 0.11448% (11.448 basis points) for an Available Tenor of one-month’s duration, (B) 0.26161% (26.161 basis points) for an Available Tenor of three-months’ duration and (C) 0.42826% (42.826 basis points) for an Available Tenor of six-months’ duration;</w:t>
      </w:r>
    </w:p>
    <w:p>
      <w:pPr>
        <w:spacing w:after="0" w:line="157" w:lineRule="exact"/>
        <w:rPr>
          <w:rFonts w:ascii="Arial" w:cs="Arial" w:eastAsia="Arial" w:hAnsi="Arial"/>
          <w:sz w:val="18"/>
          <w:szCs w:val="18"/>
          <w:color w:val="FF0000"/>
          <w:strike w:val="1"/>
        </w:rPr>
      </w:pPr>
    </w:p>
    <w:p>
      <w:pPr>
        <w:ind w:left="660" w:firstLine="644"/>
        <w:spacing w:after="0" w:line="236" w:lineRule="auto"/>
        <w:tabs>
          <w:tab w:leader="none" w:pos="1815" w:val="left"/>
        </w:tabs>
        <w:numPr>
          <w:ilvl w:val="1"/>
          <w:numId w:val="39"/>
        </w:numPr>
        <w:rPr>
          <w:rFonts w:ascii="Arial" w:cs="Arial" w:eastAsia="Arial" w:hAnsi="Arial"/>
          <w:sz w:val="20"/>
          <w:szCs w:val="20"/>
          <w:color w:val="FF0000"/>
          <w:strike w:val="1"/>
        </w:rPr>
      </w:pPr>
      <w:r>
        <w:rPr>
          <w:rFonts w:ascii="Arial" w:cs="Arial" w:eastAsia="Arial" w:hAnsi="Arial"/>
          <w:sz w:val="20"/>
          <w:szCs w:val="20"/>
          <w:color w:val="FF0000"/>
          <w:strike w:val="1"/>
        </w:rPr>
        <w:t>for purposes of clause (a)(2) of the definition of “Benchmark Replacement,” an amount equal to 0.11448% (11.448 basis points); and</w:t>
      </w:r>
    </w:p>
    <w:p>
      <w:pPr>
        <w:spacing w:after="0" w:line="155" w:lineRule="exact"/>
        <w:rPr>
          <w:rFonts w:ascii="Arial" w:cs="Arial" w:eastAsia="Arial" w:hAnsi="Arial"/>
          <w:sz w:val="20"/>
          <w:szCs w:val="20"/>
          <w:color w:val="FF0000"/>
          <w:strike w:val="1"/>
        </w:rPr>
      </w:pPr>
    </w:p>
    <w:p>
      <w:pPr>
        <w:jc w:val="both"/>
        <w:ind w:firstLine="656"/>
        <w:spacing w:after="0" w:line="218" w:lineRule="auto"/>
        <w:tabs>
          <w:tab w:leader="none" w:pos="1107" w:val="left"/>
        </w:tabs>
        <w:numPr>
          <w:ilvl w:val="0"/>
          <w:numId w:val="40"/>
        </w:numPr>
        <w:rPr>
          <w:rFonts w:ascii="Arial" w:cs="Arial" w:eastAsia="Arial" w:hAnsi="Arial"/>
          <w:sz w:val="20"/>
          <w:szCs w:val="20"/>
          <w:color w:val="FF0000"/>
          <w:strike w:val="1"/>
        </w:rPr>
      </w:pPr>
      <w:r>
        <w:rPr>
          <w:rFonts w:ascii="Arial" w:cs="Arial" w:eastAsia="Arial" w:hAnsi="Arial"/>
          <w:sz w:val="20"/>
          <w:szCs w:val="20"/>
          <w:color w:val="FF0000"/>
          <w:strike w:val="1"/>
        </w:rPr>
        <w:t>for purposes of clause (a)(3) of the definition of “Benchmark Replacement,”</w:t>
      </w:r>
      <w:r>
        <w:rPr>
          <w:rFonts w:ascii="Arial" w:cs="Arial" w:eastAsia="Arial" w:hAnsi="Arial"/>
          <w:sz w:val="20"/>
          <w:szCs w:val="20"/>
          <w:u w:val="single" w:color="auto"/>
          <w:color w:val="0000FF"/>
        </w:rPr>
        <w:t>,</w:t>
      </w:r>
      <w:r>
        <w:rPr>
          <w:rFonts w:ascii="Arial" w:cs="Arial" w:eastAsia="Arial" w:hAnsi="Arial"/>
          <w:sz w:val="20"/>
          <w:szCs w:val="20"/>
          <w:color w:val="FF0000"/>
        </w:rPr>
        <w:t xml:space="preserve"> </w:t>
      </w:r>
      <w:r>
        <w:rPr>
          <w:rFonts w:ascii="Arial" w:cs="Arial" w:eastAsia="Arial" w:hAnsi="Arial"/>
          <w:sz w:val="20"/>
          <w:szCs w:val="20"/>
          <w:color w:val="000000"/>
        </w:rPr>
        <w:t>the spread adjustment, or method for calculating</w:t>
      </w:r>
      <w:r>
        <w:rPr>
          <w:rFonts w:ascii="Arial" w:cs="Arial" w:eastAsia="Arial" w:hAnsi="Arial"/>
          <w:sz w:val="20"/>
          <w:szCs w:val="20"/>
          <w:color w:val="FF0000"/>
        </w:rPr>
        <w:t xml:space="preserve"> </w:t>
      </w:r>
      <w:r>
        <w:rPr>
          <w:rFonts w:ascii="Arial" w:cs="Arial" w:eastAsia="Arial" w:hAnsi="Arial"/>
          <w:sz w:val="20"/>
          <w:szCs w:val="20"/>
          <w:color w:val="000000"/>
        </w:rPr>
        <w:t>or determining such spread adjustment, (which may be a positive or negative value or zero) that has been selected by the Administrative Agent and the Borrower giving due consideration to (</w:t>
      </w:r>
      <w:r>
        <w:rPr>
          <w:rFonts w:ascii="Arial" w:cs="Arial" w:eastAsia="Arial" w:hAnsi="Arial"/>
          <w:sz w:val="20"/>
          <w:szCs w:val="20"/>
          <w:color w:val="FF0000"/>
          <w:strike w:val="1"/>
        </w:rPr>
        <w:t>i</w:t>
      </w:r>
      <w:r>
        <w:rPr>
          <w:rFonts w:ascii="Arial" w:cs="Arial" w:eastAsia="Arial" w:hAnsi="Arial"/>
          <w:sz w:val="20"/>
          <w:szCs w:val="20"/>
          <w:u w:val="single" w:color="auto"/>
          <w:color w:val="0000FF"/>
        </w:rPr>
        <w:t>a</w:t>
      </w:r>
      <w:r>
        <w:rPr>
          <w:rFonts w:ascii="Arial" w:cs="Arial" w:eastAsia="Arial" w:hAnsi="Arial"/>
          <w:sz w:val="20"/>
          <w:szCs w:val="20"/>
          <w:color w:val="000000"/>
        </w:rPr>
        <w:t xml:space="preserve">) any selection or recommendation of a spread adjustment, or method for calculating or determining such spread adjustment, for the replacement of such </w:t>
      </w:r>
      <w:r>
        <w:rPr>
          <w:rFonts w:ascii="Arial" w:cs="Arial" w:eastAsia="Arial" w:hAnsi="Arial"/>
          <w:sz w:val="20"/>
          <w:szCs w:val="20"/>
          <w:color w:val="FF0000"/>
          <w:strike w:val="1"/>
        </w:rPr>
        <w:t>Available Tenor of such</w:t>
      </w:r>
      <w:r>
        <w:rPr>
          <w:rFonts w:ascii="Arial" w:cs="Arial" w:eastAsia="Arial" w:hAnsi="Arial"/>
          <w:sz w:val="20"/>
          <w:szCs w:val="20"/>
          <w:color w:val="000000"/>
        </w:rPr>
        <w:t xml:space="preserve"> Benchmark with the applicable Unadjusted Benchmark</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Replacement by the Relevant Governmental Body </w:t>
      </w:r>
      <w:r>
        <w:rPr>
          <w:rFonts w:ascii="Arial" w:cs="Arial" w:eastAsia="Arial" w:hAnsi="Arial"/>
          <w:sz w:val="18"/>
          <w:szCs w:val="18"/>
          <w:color w:val="FF0000"/>
          <w:strike w:val="1"/>
        </w:rPr>
        <w:t>on the applicable Benchmark Replacement Date</w:t>
      </w:r>
      <w:r>
        <w:rPr>
          <w:rFonts w:ascii="Arial" w:cs="Arial" w:eastAsia="Arial" w:hAnsi="Arial"/>
          <w:sz w:val="18"/>
          <w:szCs w:val="18"/>
          <w:color w:val="auto"/>
        </w:rPr>
        <w:t xml:space="preserve"> or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auto"/>
        </w:rPr>
        <w:t>) any evolving or then-prevailing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market convention for determining a spread adjustment, or method for calculating or determining such spread adjustment, for the replacement of such </w:t>
      </w:r>
      <w:r>
        <w:rPr>
          <w:rFonts w:ascii="Arial" w:cs="Arial" w:eastAsia="Arial" w:hAnsi="Arial"/>
          <w:sz w:val="18"/>
          <w:szCs w:val="18"/>
          <w:color w:val="FF0000"/>
          <w:strike w:val="1"/>
        </w:rPr>
        <w:t>Available Tenor of such</w:t>
      </w:r>
      <w:r>
        <w:rPr>
          <w:rFonts w:ascii="Arial" w:cs="Arial" w:eastAsia="Arial" w:hAnsi="Arial"/>
          <w:sz w:val="18"/>
          <w:szCs w:val="18"/>
          <w:color w:val="auto"/>
        </w:rPr>
        <w:t xml:space="preserve"> Benchmark with the applicable Unadjusted Benchmark Replacement for Dollar-denominated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syndicated credit facilities.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Benchmark Replacement Conforming Changes</w:t>
      </w:r>
      <w:r>
        <w:rPr>
          <w:rFonts w:ascii="Arial" w:cs="Arial" w:eastAsia="Arial" w:hAnsi="Arial"/>
          <w:sz w:val="18"/>
          <w:szCs w:val="18"/>
          <w:color w:val="FF0000"/>
          <w:strike w:val="1"/>
        </w:rPr>
        <w:t>”: with respect to</w:t>
      </w:r>
      <w:r>
        <w:rPr>
          <w:rFonts w:ascii="Arial" w:cs="Arial" w:eastAsia="Arial" w:hAnsi="Arial"/>
          <w:sz w:val="18"/>
          <w:szCs w:val="18"/>
          <w:color w:val="FF0000"/>
        </w:rPr>
        <w:t xml:space="preserve"> </w:t>
      </w:r>
      <w:r>
        <w:rPr>
          <w:rFonts w:ascii="Arial" w:cs="Arial" w:eastAsia="Arial" w:hAnsi="Arial"/>
          <w:sz w:val="18"/>
          <w:szCs w:val="18"/>
          <w:color w:val="00C000"/>
        </w:rPr>
        <w:t>any Benchmark Replacement, any technical, administrative or</w:t>
      </w:r>
      <w:r>
        <w:rPr>
          <w:rFonts w:ascii="Arial" w:cs="Arial" w:eastAsia="Arial" w:hAnsi="Arial"/>
          <w:sz w:val="18"/>
          <w:szCs w:val="18"/>
          <w:color w:val="FF0000"/>
        </w:rPr>
        <w:t xml:space="preserve"> </w:t>
      </w:r>
      <w:r>
        <w:rPr>
          <w:rFonts w:ascii="Arial" w:cs="Arial" w:eastAsia="Arial" w:hAnsi="Arial"/>
          <w:sz w:val="18"/>
          <w:szCs w:val="18"/>
          <w:color w:val="00C000"/>
          <w:strike w:val="1"/>
        </w:rPr>
        <w:t>operational changes (including changes to the definition of “ABR,” the definition of “Business Day,” the definition of “Interest Period”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-178435</wp:posOffset>
            </wp:positionV>
            <wp:extent cx="3303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303270" cy="825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9"/>
          <w:szCs w:val="19"/>
          <w:color w:val="00C000"/>
          <w:strike w:val="1"/>
        </w:rPr>
        <w:t>any similar or analogous definition (or the addition of a concept of “interest period”),</w:t>
      </w:r>
      <w:r>
        <w:rPr>
          <w:rFonts w:ascii="Arial" w:cs="Arial" w:eastAsia="Arial" w:hAnsi="Arial"/>
          <w:sz w:val="19"/>
          <w:szCs w:val="19"/>
          <w:color w:val="00C000"/>
        </w:rPr>
        <w:t xml:space="preserve"> </w:t>
      </w:r>
      <w:r>
        <w:rPr>
          <w:rFonts w:ascii="Arial" w:cs="Arial" w:eastAsia="Arial" w:hAnsi="Arial"/>
          <w:sz w:val="19"/>
          <w:szCs w:val="19"/>
          <w:color w:val="FF0000"/>
        </w:rPr>
        <w:t>the definition of “London Banking Day”</w:t>
      </w:r>
      <w:r>
        <w:rPr>
          <w:rFonts w:ascii="Arial" w:cs="Arial" w:eastAsia="Arial" w:hAnsi="Arial"/>
          <w:sz w:val="19"/>
          <w:szCs w:val="19"/>
          <w:color w:val="00C000"/>
        </w:rPr>
        <w:t xml:space="preserve"> </w:t>
      </w:r>
      <w:r>
        <w:rPr>
          <w:rFonts w:ascii="Arial" w:cs="Arial" w:eastAsia="Arial" w:hAnsi="Arial"/>
          <w:sz w:val="19"/>
          <w:szCs w:val="19"/>
          <w:color w:val="00C000"/>
          <w:strike w:val="1"/>
        </w:rPr>
        <w:t>timing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4409440</wp:posOffset>
            </wp:positionH>
            <wp:positionV relativeFrom="paragraph">
              <wp:posOffset>-58420</wp:posOffset>
            </wp:positionV>
            <wp:extent cx="21323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132330" cy="8255"/>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color w:val="00C000"/>
          <w:strike w:val="1"/>
        </w:rPr>
        <w:t xml:space="preserve">frequency of determining rates and making payments of interest, timing of borrowing requests or prepayment, conversion or continuation notices, length of lookback periods, the applicability of </w:t>
      </w:r>
      <w:r>
        <w:rPr>
          <w:rFonts w:ascii="Arial" w:cs="Arial" w:eastAsia="Arial" w:hAnsi="Arial"/>
          <w:sz w:val="18"/>
          <w:szCs w:val="18"/>
          <w:color w:val="FF0000"/>
          <w:strike w:val="1"/>
        </w:rPr>
        <w:t>breakage provisions,</w:t>
      </w:r>
      <w:r>
        <w:rPr>
          <w:rFonts w:ascii="Arial" w:cs="Arial" w:eastAsia="Arial" w:hAnsi="Arial"/>
          <w:sz w:val="18"/>
          <w:szCs w:val="18"/>
          <w:color w:val="00C000"/>
          <w:strike w:val="1"/>
        </w:rPr>
        <w:t xml:space="preserve"> and other technical, administrative or operational matters)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-57785</wp:posOffset>
            </wp:positionV>
            <wp:extent cx="32327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232785"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00C000"/>
          <w:strike w:val="1"/>
        </w:rPr>
        <w:t xml:space="preserve">the Administrative Agent decides may be appropriate to reflect the adoption and implementation of </w:t>
      </w:r>
      <w:r>
        <w:rPr>
          <w:rFonts w:ascii="Arial" w:cs="Arial" w:eastAsia="Arial" w:hAnsi="Arial"/>
          <w:sz w:val="18"/>
          <w:szCs w:val="18"/>
          <w:color w:val="FF0000"/>
          <w:strike w:val="1"/>
        </w:rPr>
        <w:t>such Benchmark Replacement and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 xml:space="preserve">permit the </w:t>
      </w:r>
      <w:r>
        <w:rPr>
          <w:rFonts w:ascii="Arial" w:cs="Arial" w:eastAsia="Arial" w:hAnsi="Arial"/>
          <w:sz w:val="18"/>
          <w:szCs w:val="18"/>
          <w:color w:val="00C000"/>
          <w:strike w:val="1"/>
        </w:rPr>
        <w:t>administration thereof by the Administrative Agent in a manner substantially consistent with market practice (or, if the</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Administrative Agent decides that adoption of any portion of such market practice is not administratively feasible or if the Administrative</w:t>
      </w:r>
    </w:p>
    <w:p>
      <w:pPr>
        <w:spacing w:after="0" w:line="224" w:lineRule="auto"/>
        <w:rPr>
          <w:sz w:val="20"/>
          <w:szCs w:val="20"/>
          <w:color w:val="auto"/>
        </w:rPr>
      </w:pPr>
      <w:r>
        <w:rPr>
          <w:rFonts w:ascii="Arial" w:cs="Arial" w:eastAsia="Arial" w:hAnsi="Arial"/>
          <w:sz w:val="19"/>
          <w:szCs w:val="19"/>
          <w:color w:val="00C000"/>
          <w:strike w:val="1"/>
        </w:rPr>
        <w:t>Agent determines that no market practice for the administration of</w:t>
      </w:r>
      <w:r>
        <w:rPr>
          <w:rFonts w:ascii="Arial" w:cs="Arial" w:eastAsia="Arial" w:hAnsi="Arial"/>
          <w:sz w:val="19"/>
          <w:szCs w:val="19"/>
          <w:color w:val="00C000"/>
        </w:rPr>
        <w:t xml:space="preserve"> </w:t>
      </w:r>
      <w:r>
        <w:rPr>
          <w:rFonts w:ascii="Arial" w:cs="Arial" w:eastAsia="Arial" w:hAnsi="Arial"/>
          <w:sz w:val="19"/>
          <w:szCs w:val="19"/>
          <w:color w:val="FF0000"/>
          <w:strike w:val="1"/>
        </w:rPr>
        <w:t>such Benchmark Replacement</w:t>
      </w:r>
      <w:r>
        <w:rPr>
          <w:rFonts w:ascii="Arial" w:cs="Arial" w:eastAsia="Arial" w:hAnsi="Arial"/>
          <w:sz w:val="19"/>
          <w:szCs w:val="19"/>
          <w:color w:val="00C000"/>
        </w:rPr>
        <w:t xml:space="preserve"> exists, in such other manner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5333365</wp:posOffset>
            </wp:positionH>
            <wp:positionV relativeFrom="paragraph">
              <wp:posOffset>-58420</wp:posOffset>
            </wp:positionV>
            <wp:extent cx="17964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20"/>
          <w:szCs w:val="20"/>
          <w:color w:val="00C000"/>
          <w:strike w:val="1"/>
        </w:rPr>
        <w:t>administration as the Administrative Agent decides is reasonably necessary in connection with the administration of this Agreement and the other Loan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the earliest to occur of the following events with respect to the then-current Benchmark:</w:t>
      </w:r>
    </w:p>
    <w:p>
      <w:pPr>
        <w:spacing w:after="0" w:line="200" w:lineRule="exact"/>
        <w:rPr>
          <w:sz w:val="20"/>
          <w:szCs w:val="20"/>
          <w:color w:val="auto"/>
        </w:rPr>
      </w:pPr>
    </w:p>
    <w:p>
      <w:pPr>
        <w:jc w:val="both"/>
        <w:ind w:firstLine="656"/>
        <w:spacing w:after="0" w:line="216" w:lineRule="auto"/>
        <w:tabs>
          <w:tab w:leader="none" w:pos="1065"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0000FF"/>
        </w:rPr>
        <w:t xml:space="preserve">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w:t>
      </w:r>
      <w:r>
        <w:rPr>
          <w:rFonts w:ascii="Arial" w:cs="Arial" w:eastAsia="Arial" w:hAnsi="Arial"/>
          <w:sz w:val="20"/>
          <w:szCs w:val="20"/>
          <w:u w:val="single" w:color="auto"/>
          <w:color w:val="00C000"/>
        </w:rPr>
        <w:t>permanently or indefinitely ceases to provide all Available Tenors of such Benchmark (or such component</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C000"/>
        </w:rPr>
        <w:t>thereof);</w:t>
      </w:r>
      <w:r>
        <w:rPr>
          <w:rFonts w:ascii="Arial" w:cs="Arial" w:eastAsia="Arial" w:hAnsi="Arial"/>
          <w:sz w:val="20"/>
          <w:szCs w:val="20"/>
          <w:color w:val="00C000"/>
        </w:rPr>
        <w:t xml:space="preserve"> </w:t>
      </w:r>
      <w:r>
        <w:rPr>
          <w:rFonts w:ascii="Arial" w:cs="Arial" w:eastAsia="Arial" w:hAnsi="Arial"/>
          <w:sz w:val="20"/>
          <w:szCs w:val="20"/>
          <w:color w:val="0000FF"/>
        </w:rPr>
        <w:t>or</w:t>
      </w:r>
    </w:p>
    <w:p>
      <w:pPr>
        <w:spacing w:after="0" w:line="171" w:lineRule="exact"/>
        <w:rPr>
          <w:rFonts w:ascii="Arial" w:cs="Arial" w:eastAsia="Arial" w:hAnsi="Arial"/>
          <w:sz w:val="20"/>
          <w:szCs w:val="20"/>
          <w:color w:val="auto"/>
        </w:rPr>
      </w:pPr>
    </w:p>
    <w:p>
      <w:pPr>
        <w:jc w:val="both"/>
        <w:ind w:firstLine="656"/>
        <w:spacing w:after="0" w:line="214" w:lineRule="auto"/>
        <w:tabs>
          <w:tab w:leader="none" w:pos="1184" w:val="left"/>
        </w:tabs>
        <w:numPr>
          <w:ilvl w:val="0"/>
          <w:numId w:val="41"/>
        </w:numPr>
        <w:rPr>
          <w:rFonts w:ascii="Arial" w:cs="Arial" w:eastAsia="Arial" w:hAnsi="Arial"/>
          <w:sz w:val="20"/>
          <w:szCs w:val="20"/>
          <w:u w:val="single" w:color="auto"/>
          <w:color w:val="0000FF"/>
        </w:rPr>
      </w:pPr>
      <w:r>
        <w:rPr>
          <w:rFonts w:ascii="Arial" w:cs="Arial" w:eastAsia="Arial" w:hAnsi="Arial"/>
          <w:sz w:val="20"/>
          <w:szCs w:val="20"/>
          <w:color w:val="auto"/>
        </w:rPr>
        <w:t>in the case of clause (</w:t>
      </w:r>
      <w:r>
        <w:rPr>
          <w:rFonts w:ascii="Arial" w:cs="Arial" w:eastAsia="Arial" w:hAnsi="Arial"/>
          <w:sz w:val="20"/>
          <w:szCs w:val="20"/>
          <w:color w:val="FF0000"/>
          <w:strike w:val="1"/>
        </w:rPr>
        <w:t>a</w:t>
      </w:r>
      <w:r>
        <w:rPr>
          <w:rFonts w:ascii="Arial" w:cs="Arial" w:eastAsia="Arial" w:hAnsi="Arial"/>
          <w:sz w:val="20"/>
          <w:szCs w:val="20"/>
          <w:u w:val="single" w:color="auto"/>
          <w:color w:val="0000FF"/>
        </w:rPr>
        <w:t>c</w:t>
      </w:r>
      <w:r>
        <w:rPr>
          <w:rFonts w:ascii="Arial" w:cs="Arial" w:eastAsia="Arial" w:hAnsi="Arial"/>
          <w:sz w:val="20"/>
          <w:szCs w:val="20"/>
          <w:color w:val="auto"/>
        </w:rPr>
        <w:t xml:space="preserve">) </w:t>
      </w:r>
      <w:r>
        <w:rPr>
          <w:rFonts w:ascii="Arial" w:cs="Arial" w:eastAsia="Arial" w:hAnsi="Arial"/>
          <w:sz w:val="20"/>
          <w:szCs w:val="20"/>
          <w:color w:val="FF0000"/>
        </w:rPr>
        <w:t>or (b)</w:t>
      </w:r>
      <w:r>
        <w:rPr>
          <w:rFonts w:ascii="Arial" w:cs="Arial" w:eastAsia="Arial" w:hAnsi="Arial"/>
          <w:sz w:val="20"/>
          <w:szCs w:val="20"/>
          <w:color w:val="auto"/>
        </w:rPr>
        <w:t xml:space="preserve"> of the definition of “Benchmark Transition Event,” the </w:t>
      </w:r>
      <w:r>
        <w:rPr>
          <w:rFonts w:ascii="Arial" w:cs="Arial" w:eastAsia="Arial" w:hAnsi="Arial"/>
          <w:sz w:val="20"/>
          <w:szCs w:val="20"/>
          <w:color w:val="FF0000"/>
          <w:strike w:val="1"/>
        </w:rPr>
        <w:t>later of (i) the date of the public</w:t>
      </w:r>
      <w:r>
        <w:rPr>
          <w:rFonts w:ascii="Arial" w:cs="Arial" w:eastAsia="Arial" w:hAnsi="Arial"/>
          <w:sz w:val="20"/>
          <w:szCs w:val="20"/>
          <w:color w:val="auto"/>
        </w:rPr>
        <w:t xml:space="preserve"> </w:t>
      </w:r>
      <w:r>
        <w:rPr>
          <w:rFonts w:ascii="Arial" w:cs="Arial" w:eastAsia="Arial" w:hAnsi="Arial"/>
          <w:sz w:val="20"/>
          <w:szCs w:val="20"/>
          <w:color w:val="00C000"/>
          <w:strike w:val="1"/>
        </w:rPr>
        <w:t>statement or publication</w:t>
      </w:r>
      <w:r>
        <w:rPr>
          <w:rFonts w:ascii="Arial" w:cs="Arial" w:eastAsia="Arial" w:hAnsi="Arial"/>
          <w:sz w:val="20"/>
          <w:szCs w:val="20"/>
          <w:color w:val="00C000"/>
        </w:rPr>
        <w:t xml:space="preserve"> </w:t>
      </w:r>
      <w:r>
        <w:rPr>
          <w:rFonts w:ascii="Arial" w:cs="Arial" w:eastAsia="Arial" w:hAnsi="Arial"/>
          <w:sz w:val="20"/>
          <w:szCs w:val="20"/>
          <w:color w:val="FF0000"/>
          <w:strike w:val="1"/>
        </w:rPr>
        <w:t>of information referenced therein and (ii) the</w:t>
      </w:r>
      <w:r>
        <w:rPr>
          <w:rFonts w:ascii="Arial" w:cs="Arial" w:eastAsia="Arial" w:hAnsi="Arial"/>
          <w:sz w:val="20"/>
          <w:szCs w:val="20"/>
          <w:u w:val="single" w:color="auto"/>
          <w:color w:val="0000FF"/>
        </w:rPr>
        <w:t>first</w:t>
      </w:r>
      <w:r>
        <w:rPr>
          <w:rFonts w:ascii="Arial" w:cs="Arial" w:eastAsia="Arial" w:hAnsi="Arial"/>
          <w:sz w:val="20"/>
          <w:szCs w:val="20"/>
          <w:color w:val="00C000"/>
        </w:rPr>
        <w:t xml:space="preserve"> </w:t>
      </w:r>
      <w:r>
        <w:rPr>
          <w:rFonts w:ascii="Arial" w:cs="Arial" w:eastAsia="Arial" w:hAnsi="Arial"/>
          <w:sz w:val="20"/>
          <w:szCs w:val="20"/>
          <w:color w:val="000000"/>
        </w:rPr>
        <w:t>date on which</w:t>
      </w:r>
      <w:r>
        <w:rPr>
          <w:rFonts w:ascii="Arial" w:cs="Arial" w:eastAsia="Arial" w:hAnsi="Arial"/>
          <w:sz w:val="20"/>
          <w:szCs w:val="20"/>
          <w:color w:val="00C000"/>
        </w:rPr>
        <w:t xml:space="preserve"> </w:t>
      </w:r>
      <w:r>
        <w:rPr>
          <w:rFonts w:ascii="Arial" w:cs="Arial" w:eastAsia="Arial" w:hAnsi="Arial"/>
          <w:sz w:val="20"/>
          <w:szCs w:val="20"/>
          <w:color w:val="00C000"/>
          <w:strike w:val="1"/>
        </w:rPr>
        <w:t>the administrator of</w:t>
      </w:r>
      <w:r>
        <w:rPr>
          <w:rFonts w:ascii="Arial" w:cs="Arial" w:eastAsia="Arial" w:hAnsi="Arial"/>
          <w:sz w:val="20"/>
          <w:szCs w:val="20"/>
          <w:color w:val="00C000"/>
        </w:rPr>
        <w:t xml:space="preserve"> </w:t>
      </w:r>
      <w:r>
        <w:rPr>
          <w:rFonts w:ascii="Arial" w:cs="Arial" w:eastAsia="Arial" w:hAnsi="Arial"/>
          <w:sz w:val="20"/>
          <w:szCs w:val="20"/>
          <w:color w:val="000000"/>
        </w:rPr>
        <w:t>such Benchmark (or the</w:t>
      </w:r>
      <w:r>
        <w:rPr>
          <w:rFonts w:ascii="Arial" w:cs="Arial" w:eastAsia="Arial" w:hAnsi="Arial"/>
          <w:sz w:val="20"/>
          <w:szCs w:val="20"/>
          <w:color w:val="00C000"/>
        </w:rPr>
        <w:t xml:space="preserve"> </w:t>
      </w:r>
      <w:r>
        <w:rPr>
          <w:rFonts w:ascii="Arial" w:cs="Arial" w:eastAsia="Arial" w:hAnsi="Arial"/>
          <w:sz w:val="20"/>
          <w:szCs w:val="20"/>
          <w:color w:val="000000"/>
        </w:rPr>
        <w:t xml:space="preserve">published component used in the calculation thereof) </w:t>
      </w:r>
      <w:r>
        <w:rPr>
          <w:rFonts w:ascii="Arial" w:cs="Arial" w:eastAsia="Arial" w:hAnsi="Arial"/>
          <w:sz w:val="20"/>
          <w:szCs w:val="20"/>
          <w:color w:val="00C000"/>
          <w:strike w:val="1"/>
        </w:rPr>
        <w:t>permanently or indefinitely ceases to provide all Available Tenors of such Benchmark</w:t>
      </w:r>
      <w:r>
        <w:rPr>
          <w:rFonts w:ascii="Arial" w:cs="Arial" w:eastAsia="Arial" w:hAnsi="Arial"/>
          <w:sz w:val="20"/>
          <w:szCs w:val="20"/>
          <w:color w:val="000000"/>
        </w:rPr>
        <w:t xml:space="preserve"> </w:t>
      </w:r>
      <w:r>
        <w:rPr>
          <w:rFonts w:ascii="Arial" w:cs="Arial" w:eastAsia="Arial" w:hAnsi="Arial"/>
          <w:sz w:val="20"/>
          <w:szCs w:val="20"/>
          <w:color w:val="00C000"/>
          <w:strike w:val="1"/>
        </w:rPr>
        <w:t>(or such component thereof);</w:t>
      </w:r>
      <w:r>
        <w:rPr>
          <w:rFonts w:ascii="Arial" w:cs="Arial" w:eastAsia="Arial" w:hAnsi="Arial"/>
          <w:sz w:val="20"/>
          <w:szCs w:val="20"/>
          <w:u w:val="single" w:color="auto"/>
          <w:color w:val="0000FF"/>
          <w:strike w:val="1"/>
        </w:rPr>
        <w:t>has been determined and announced by the regulatory supervisor for</w:t>
      </w:r>
      <w:r>
        <w:rPr>
          <w:rFonts w:ascii="Arial" w:cs="Arial" w:eastAsia="Arial" w:hAnsi="Arial"/>
          <w:sz w:val="20"/>
          <w:szCs w:val="20"/>
          <w:color w:val="00C000"/>
          <w:strike w:val="1"/>
        </w:rPr>
        <w:t xml:space="preserve"> </w:t>
      </w:r>
      <w:r>
        <w:rPr>
          <w:rFonts w:ascii="Arial" w:cs="Arial" w:eastAsia="Arial" w:hAnsi="Arial"/>
          <w:sz w:val="20"/>
          <w:szCs w:val="20"/>
          <w:u w:val="single" w:color="auto"/>
          <w:color w:val="00C000"/>
          <w:strike w:val="1"/>
        </w:rPr>
        <w:t>the administrator of</w:t>
      </w:r>
      <w:r>
        <w:rPr>
          <w:rFonts w:ascii="Arial" w:cs="Arial" w:eastAsia="Arial" w:hAnsi="Arial"/>
          <w:sz w:val="20"/>
          <w:szCs w:val="20"/>
          <w:color w:val="00C000"/>
          <w:strike w:val="1"/>
        </w:rPr>
        <w:t xml:space="preserve"> </w:t>
      </w:r>
      <w:r>
        <w:rPr>
          <w:rFonts w:ascii="Arial" w:cs="Arial" w:eastAsia="Arial" w:hAnsi="Arial"/>
          <w:sz w:val="20"/>
          <w:szCs w:val="20"/>
          <w:u w:val="single" w:color="auto"/>
          <w:color w:val="0000FF"/>
          <w:strike w:val="1"/>
        </w:rPr>
        <w:t>such Benchmark (or</w:t>
      </w:r>
      <w:r>
        <w:rPr>
          <w:rFonts w:ascii="Arial" w:cs="Arial" w:eastAsia="Arial" w:hAnsi="Arial"/>
          <w:sz w:val="20"/>
          <w:szCs w:val="20"/>
          <w:color w:val="00C000"/>
          <w:strike w:val="1"/>
        </w:rPr>
        <w:t xml:space="preserve"> </w:t>
      </w:r>
      <w:r>
        <w:rPr>
          <w:rFonts w:ascii="Arial" w:cs="Arial" w:eastAsia="Arial" w:hAnsi="Arial"/>
          <w:sz w:val="20"/>
          <w:szCs w:val="20"/>
          <w:u w:val="single" w:color="auto"/>
          <w:color w:val="0000FF"/>
          <w:strike w:val="1"/>
        </w:rPr>
        <w:t xml:space="preserve">such component thereof) to be non-representative; provided that such non-representativeness will be determined by reference to the most recent </w:t>
      </w:r>
      <w:r>
        <w:rPr>
          <w:rFonts w:ascii="Arial" w:cs="Arial" w:eastAsia="Arial" w:hAnsi="Arial"/>
          <w:sz w:val="20"/>
          <w:szCs w:val="20"/>
          <w:u w:val="single" w:color="auto"/>
          <w:color w:val="00C000"/>
          <w:strike w:val="1"/>
        </w:rPr>
        <w:t>statement or publication</w:t>
      </w:r>
      <w:r>
        <w:rPr>
          <w:rFonts w:ascii="Arial" w:cs="Arial" w:eastAsia="Arial" w:hAnsi="Arial"/>
          <w:sz w:val="20"/>
          <w:szCs w:val="20"/>
          <w:u w:val="single" w:color="auto"/>
          <w:color w:val="0000FF"/>
          <w:strike w:val="1"/>
        </w:rPr>
        <w:t xml:space="preserve"> referenced in such clause (c) 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-1045845</wp:posOffset>
            </wp:positionV>
            <wp:extent cx="135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-831850</wp:posOffset>
            </wp:positionV>
            <wp:extent cx="347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151" w:lineRule="exact"/>
        <w:rPr>
          <w:sz w:val="20"/>
          <w:szCs w:val="20"/>
          <w:color w:val="auto"/>
        </w:rPr>
      </w:pPr>
    </w:p>
    <w:p>
      <w:pPr>
        <w:ind w:firstLine="656"/>
        <w:spacing w:after="0" w:line="229" w:lineRule="auto"/>
        <w:tabs>
          <w:tab w:leader="none" w:pos="1124" w:val="left"/>
        </w:tabs>
        <w:numPr>
          <w:ilvl w:val="0"/>
          <w:numId w:val="42"/>
        </w:numPr>
        <w:rPr>
          <w:rFonts w:ascii="Arial" w:cs="Arial" w:eastAsia="Arial" w:hAnsi="Arial"/>
          <w:sz w:val="20"/>
          <w:szCs w:val="20"/>
          <w:color w:val="FF0000"/>
          <w:strike w:val="1"/>
        </w:rPr>
      </w:pPr>
      <w:r>
        <w:rPr>
          <w:rFonts w:ascii="Arial" w:cs="Arial" w:eastAsia="Arial" w:hAnsi="Arial"/>
          <w:sz w:val="20"/>
          <w:szCs w:val="20"/>
          <w:color w:val="FF0000"/>
          <w:strike w:val="1"/>
        </w:rPr>
        <w:t>in the case of clause (c) of the definition of “Benchmark Transition Event,” the date of the public statement or publication of information referenced therein;</w:t>
      </w:r>
    </w:p>
    <w:p>
      <w:pPr>
        <w:spacing w:after="0" w:line="168" w:lineRule="exact"/>
        <w:rPr>
          <w:rFonts w:ascii="Arial" w:cs="Arial" w:eastAsia="Arial" w:hAnsi="Arial"/>
          <w:sz w:val="20"/>
          <w:szCs w:val="20"/>
          <w:color w:val="FF0000"/>
          <w:strike w:val="1"/>
        </w:rPr>
      </w:pPr>
    </w:p>
    <w:p>
      <w:pPr>
        <w:ind w:firstLine="656"/>
        <w:spacing w:after="0" w:line="236" w:lineRule="auto"/>
        <w:tabs>
          <w:tab w:leader="none" w:pos="1105" w:val="left"/>
        </w:tabs>
        <w:numPr>
          <w:ilvl w:val="0"/>
          <w:numId w:val="42"/>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in the case of a Term SOFR Transition Event, the date that is thirty (30) days after the Administrative Agent has provided the Term SOFR Notice to the Lenders and the Borrower pursuant to </w:t>
      </w:r>
      <w:r>
        <w:rPr>
          <w:rFonts w:ascii="Arial" w:cs="Arial" w:eastAsia="Arial" w:hAnsi="Arial"/>
          <w:sz w:val="20"/>
          <w:szCs w:val="20"/>
          <w:u w:val="single" w:color="auto"/>
          <w:color w:val="FF0000"/>
          <w:strike w:val="1"/>
        </w:rPr>
        <w:t>Section 2.12(c)(i)(B)</w:t>
      </w:r>
      <w:r>
        <w:rPr>
          <w:rFonts w:ascii="Arial" w:cs="Arial" w:eastAsia="Arial" w:hAnsi="Arial"/>
          <w:sz w:val="20"/>
          <w:szCs w:val="20"/>
          <w:color w:val="FF0000"/>
          <w:strike w:val="1"/>
        </w:rPr>
        <w:t>; or</w:t>
      </w:r>
    </w:p>
    <w:p>
      <w:pPr>
        <w:spacing w:after="0" w:line="155" w:lineRule="exact"/>
        <w:rPr>
          <w:rFonts w:ascii="Arial" w:cs="Arial" w:eastAsia="Arial" w:hAnsi="Arial"/>
          <w:sz w:val="20"/>
          <w:szCs w:val="20"/>
          <w:color w:val="FF0000"/>
          <w:strike w:val="1"/>
        </w:rPr>
      </w:pPr>
    </w:p>
    <w:p>
      <w:pPr>
        <w:jc w:val="both"/>
        <w:ind w:firstLine="656"/>
        <w:spacing w:after="0" w:line="195" w:lineRule="auto"/>
        <w:tabs>
          <w:tab w:leader="none" w:pos="1177" w:val="left"/>
        </w:tabs>
        <w:numPr>
          <w:ilvl w:val="0"/>
          <w:numId w:val="42"/>
        </w:numPr>
        <w:rPr>
          <w:rFonts w:ascii="Arial" w:cs="Arial" w:eastAsia="Arial" w:hAnsi="Arial"/>
          <w:sz w:val="20"/>
          <w:szCs w:val="20"/>
          <w:color w:val="FF0000"/>
          <w:strike w:val="1"/>
        </w:rPr>
      </w:pPr>
      <w:r>
        <w:rPr>
          <w:rFonts w:ascii="Arial" w:cs="Arial" w:eastAsia="Arial" w:hAnsi="Arial"/>
          <w:sz w:val="20"/>
          <w:szCs w:val="20"/>
          <w:color w:val="FF0000"/>
          <w:strike w:val="1"/>
        </w:rPr>
        <w:t>in the case of an Early Opt-in Election, the sixth (6</w:t>
      </w:r>
      <w:r>
        <w:rPr>
          <w:rFonts w:ascii="Arial" w:cs="Arial" w:eastAsia="Arial" w:hAnsi="Arial"/>
          <w:sz w:val="25"/>
          <w:szCs w:val="25"/>
          <w:color w:val="FF0000"/>
          <w:strike w:val="1"/>
          <w:vertAlign w:val="superscript"/>
        </w:rPr>
        <w:t>th</w:t>
      </w:r>
      <w:r>
        <w:rPr>
          <w:rFonts w:ascii="Arial" w:cs="Arial" w:eastAsia="Arial" w:hAnsi="Arial"/>
          <w:sz w:val="20"/>
          <w:szCs w:val="20"/>
          <w:color w:val="FF0000"/>
          <w:strike w:val="1"/>
        </w:rPr>
        <w:t>) Business Day after the date notice of such Early Opt-in Election is provided to the Lenders, so long as the Administrative Agent has not received, by 5:00 p.m. (New York City time) on the fifth (5</w:t>
      </w:r>
      <w:r>
        <w:rPr>
          <w:rFonts w:ascii="Arial" w:cs="Arial" w:eastAsia="Arial" w:hAnsi="Arial"/>
          <w:sz w:val="25"/>
          <w:szCs w:val="25"/>
          <w:color w:val="FF0000"/>
          <w:strike w:val="1"/>
          <w:vertAlign w:val="superscript"/>
        </w:rPr>
        <w:t>th</w:t>
      </w:r>
      <w:r>
        <w:rPr>
          <w:rFonts w:ascii="Arial" w:cs="Arial" w:eastAsia="Arial" w:hAnsi="Arial"/>
          <w:sz w:val="20"/>
          <w:szCs w:val="20"/>
          <w:color w:val="FF0000"/>
          <w:strike w:val="1"/>
        </w:rPr>
        <w:t>) Business Day after the date notice of such Early Opt-in Election is provided to the Lenders, written notice of objection to such Early Opt-in Election from Lenders comprising the Required Lenders.</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avoidance of doubt, </w:t>
      </w:r>
      <w:r>
        <w:rPr>
          <w:rFonts w:ascii="Arial" w:cs="Arial" w:eastAsia="Arial" w:hAnsi="Arial"/>
          <w:sz w:val="18"/>
          <w:szCs w:val="18"/>
          <w:color w:val="FF0000"/>
          <w:strike w:val="1"/>
        </w:rPr>
        <w:t>(i) if the event giving rise to the Benchmark Replacement Date occurs on the same day as, but earlier than,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 xml:space="preserve">Reference Time in respect of any determination, the Benchmark Replacement Date will be deemed to have occurred prior to the Reference Time for such determination and (ii) </w:t>
      </w:r>
      <w:r>
        <w:rPr>
          <w:rFonts w:ascii="Arial" w:cs="Arial" w:eastAsia="Arial" w:hAnsi="Arial"/>
          <w:sz w:val="18"/>
          <w:szCs w:val="18"/>
          <w:color w:val="000000"/>
          <w:strike w:val="1"/>
        </w:rPr>
        <w:t>the “Benchmark Replacement Date” will be deemed to have occurred in the case of clause (a) or (b)</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the occurrence of one or more of the following events with respect to the then-current Benchmark:</w:t>
      </w:r>
    </w:p>
    <w:p>
      <w:pPr>
        <w:spacing w:after="0" w:line="200" w:lineRule="exact"/>
        <w:rPr>
          <w:sz w:val="20"/>
          <w:szCs w:val="20"/>
          <w:color w:val="auto"/>
        </w:rPr>
      </w:pPr>
    </w:p>
    <w:p>
      <w:pPr>
        <w:jc w:val="both"/>
        <w:ind w:firstLine="214"/>
        <w:spacing w:after="0" w:line="246"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63" w:lineRule="exact"/>
        <w:rPr>
          <w:rFonts w:ascii="Arial" w:cs="Arial" w:eastAsia="Arial" w:hAnsi="Arial"/>
          <w:sz w:val="18"/>
          <w:szCs w:val="18"/>
          <w:color w:val="auto"/>
        </w:rPr>
      </w:pPr>
    </w:p>
    <w:p>
      <w:pPr>
        <w:jc w:val="both"/>
        <w:ind w:firstLine="314"/>
        <w:spacing w:after="0" w:line="212" w:lineRule="auto"/>
        <w:tabs>
          <w:tab w:leader="none" w:pos="842" w:val="left"/>
        </w:tabs>
        <w:numPr>
          <w:ilvl w:val="1"/>
          <w:numId w:val="43"/>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w:t>
      </w:r>
      <w:r>
        <w:rPr>
          <w:rFonts w:ascii="Arial" w:cs="Arial" w:eastAsia="Arial" w:hAnsi="Arial"/>
          <w:sz w:val="20"/>
          <w:szCs w:val="20"/>
          <w:color w:val="FF0000"/>
          <w:strike w:val="1"/>
        </w:rPr>
        <w:t>,</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70" w:lineRule="exact"/>
        <w:rPr>
          <w:rFonts w:ascii="Arial" w:cs="Arial" w:eastAsia="Arial" w:hAnsi="Arial"/>
          <w:sz w:val="20"/>
          <w:szCs w:val="20"/>
          <w:color w:val="auto"/>
        </w:rPr>
      </w:pPr>
    </w:p>
    <w:p>
      <w:pPr>
        <w:jc w:val="both"/>
        <w:ind w:firstLine="316"/>
        <w:spacing w:after="0" w:line="223" w:lineRule="auto"/>
        <w:tabs>
          <w:tab w:leader="none" w:pos="835" w:val="left"/>
        </w:tabs>
        <w:numPr>
          <w:ilvl w:val="1"/>
          <w:numId w:val="43"/>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the regulatory supervisor for the administrator of such Benchmark (or the published component used in the calculation thereof) announcing that all Available Tenors of such Benchmark (or such component thereof) are </w:t>
      </w:r>
      <w:r>
        <w:rPr>
          <w:rFonts w:ascii="Arial" w:cs="Arial" w:eastAsia="Arial" w:hAnsi="Arial"/>
          <w:sz w:val="20"/>
          <w:szCs w:val="20"/>
          <w:color w:val="FF0000"/>
          <w:strike w:val="1"/>
        </w:rPr>
        <w:t>no longer</w:t>
      </w:r>
      <w:r>
        <w:rPr>
          <w:rFonts w:ascii="Arial" w:cs="Arial" w:eastAsia="Arial" w:hAnsi="Arial"/>
          <w:sz w:val="20"/>
          <w:szCs w:val="20"/>
          <w:u w:val="single" w:color="auto"/>
          <w:color w:val="0000FF"/>
        </w:rPr>
        <w:t>not, or as of a specified future date will not be,</w:t>
      </w:r>
      <w:r>
        <w:rPr>
          <w:rFonts w:ascii="Arial" w:cs="Arial" w:eastAsia="Arial" w:hAnsi="Arial"/>
          <w:sz w:val="20"/>
          <w:szCs w:val="20"/>
          <w:color w:val="auto"/>
        </w:rPr>
        <w:t xml:space="preserve"> representative.</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w:t>
      </w:r>
    </w:p>
    <w:p>
      <w:pPr>
        <w:spacing w:after="0"/>
        <w:rPr>
          <w:sz w:val="20"/>
          <w:szCs w:val="20"/>
          <w:color w:val="auto"/>
        </w:rPr>
      </w:pPr>
      <w:r>
        <w:rPr>
          <w:rFonts w:ascii="Arial" w:cs="Arial" w:eastAsia="Arial" w:hAnsi="Arial"/>
          <w:sz w:val="20"/>
          <w:szCs w:val="20"/>
          <w:color w:val="auto"/>
        </w:rPr>
        <w:t>the published component used in the calculation thereof).</w:t>
      </w:r>
    </w:p>
    <w:p>
      <w:pPr>
        <w:spacing w:after="0" w:line="173" w:lineRule="exact"/>
        <w:rPr>
          <w:sz w:val="20"/>
          <w:szCs w:val="20"/>
          <w:color w:val="auto"/>
        </w:rPr>
      </w:pPr>
    </w:p>
    <w:p>
      <w:pPr>
        <w:ind w:firstLine="205"/>
        <w:spacing w:after="0" w:line="236" w:lineRule="auto"/>
        <w:rPr>
          <w:sz w:val="20"/>
          <w:szCs w:val="20"/>
          <w:color w:val="auto"/>
        </w:rPr>
      </w:pPr>
      <w:r>
        <w:rPr>
          <w:rFonts w:ascii="Arial" w:cs="Arial" w:eastAsia="Arial" w:hAnsi="Arial"/>
          <w:sz w:val="18"/>
          <w:szCs w:val="18"/>
          <w:color w:val="0000FF"/>
        </w:rPr>
        <w:t xml:space="preserve">“Benchmark Transition Start Date”: in the case of a Benchmark Transition Event, the earlier of (a) the applicable Benchmark Replacement </w:t>
      </w:r>
      <w:r>
        <w:rPr>
          <w:rFonts w:ascii="Arial" w:cs="Arial" w:eastAsia="Arial" w:hAnsi="Arial"/>
          <w:sz w:val="18"/>
          <w:szCs w:val="18"/>
          <w:u w:val="single" w:color="auto"/>
          <w:color w:val="0000FF"/>
        </w:rPr>
        <w:t>Date and (b) if such Benchmark Transition Event is a public statement or publication of information of a prospective event, the 90th day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266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u w:val="single" w:color="auto"/>
          <w:color w:val="0000FF"/>
        </w:rPr>
        <w:t>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the period (if any) (x) beginning at the time that a Benchmark Replacement Date </w:t>
      </w:r>
      <w:r>
        <w:rPr>
          <w:rFonts w:ascii="Arial" w:cs="Arial" w:eastAsia="Arial" w:hAnsi="Arial"/>
          <w:sz w:val="18"/>
          <w:szCs w:val="18"/>
          <w:color w:val="FF0000"/>
          <w:strike w:val="1"/>
        </w:rPr>
        <w:t>pursuant to clauses</w:t>
      </w:r>
    </w:p>
    <w:p>
      <w:pPr>
        <w:spacing w:after="0" w:line="12" w:lineRule="exact"/>
        <w:rPr>
          <w:sz w:val="20"/>
          <w:szCs w:val="20"/>
          <w:color w:val="auto"/>
        </w:rPr>
      </w:pPr>
    </w:p>
    <w:p>
      <w:pPr>
        <w:jc w:val="both"/>
        <w:ind w:firstLine="8"/>
        <w:spacing w:after="0" w:line="216" w:lineRule="auto"/>
        <w:tabs>
          <w:tab w:leader="none" w:pos="301" w:val="left"/>
        </w:tabs>
        <w:numPr>
          <w:ilvl w:val="0"/>
          <w:numId w:val="44"/>
        </w:numPr>
        <w:rPr>
          <w:rFonts w:ascii="Arial" w:cs="Arial" w:eastAsia="Arial" w:hAnsi="Arial"/>
          <w:sz w:val="20"/>
          <w:szCs w:val="20"/>
          <w:color w:val="FF0000"/>
          <w:strike w:val="1"/>
        </w:rPr>
      </w:pPr>
      <w:r>
        <w:rPr>
          <w:rFonts w:ascii="Arial" w:cs="Arial" w:eastAsia="Arial" w:hAnsi="Arial"/>
          <w:sz w:val="20"/>
          <w:szCs w:val="20"/>
          <w:color w:val="FF0000"/>
          <w:strike w:val="1"/>
        </w:rPr>
        <w:t>or (b) of that definition</w:t>
      </w:r>
      <w:r>
        <w:rPr>
          <w:rFonts w:ascii="Arial" w:cs="Arial" w:eastAsia="Arial" w:hAnsi="Arial"/>
          <w:sz w:val="20"/>
          <w:szCs w:val="20"/>
          <w:color w:val="FF0000"/>
        </w:rPr>
        <w:t xml:space="preserve"> </w:t>
      </w:r>
      <w:r>
        <w:rPr>
          <w:rFonts w:ascii="Arial" w:cs="Arial" w:eastAsia="Arial" w:hAnsi="Arial"/>
          <w:sz w:val="20"/>
          <w:szCs w:val="20"/>
          <w:color w:val="000000"/>
        </w:rPr>
        <w:t>has occurred if, at such time, no Benchmark Replacement has replaced the then-current Benchmark for all</w:t>
      </w:r>
      <w:r>
        <w:rPr>
          <w:rFonts w:ascii="Arial" w:cs="Arial" w:eastAsia="Arial" w:hAnsi="Arial"/>
          <w:sz w:val="20"/>
          <w:szCs w:val="20"/>
          <w:color w:val="FF0000"/>
        </w:rPr>
        <w:t xml:space="preserve"> </w:t>
      </w:r>
      <w:r>
        <w:rPr>
          <w:rFonts w:ascii="Arial" w:cs="Arial" w:eastAsia="Arial" w:hAnsi="Arial"/>
          <w:sz w:val="20"/>
          <w:szCs w:val="20"/>
          <w:color w:val="000000"/>
        </w:rPr>
        <w:t xml:space="preserve">purposes hereunder and under any Loan Document in accordance with </w:t>
      </w:r>
      <w:r>
        <w:rPr>
          <w:rFonts w:ascii="Arial" w:cs="Arial" w:eastAsia="Arial" w:hAnsi="Arial"/>
          <w:sz w:val="20"/>
          <w:szCs w:val="20"/>
          <w:u w:val="single" w:color="auto"/>
          <w:color w:val="000000"/>
        </w:rPr>
        <w:t>Section 2.12(c</w:t>
      </w:r>
      <w:r>
        <w:rPr>
          <w:rFonts w:ascii="Arial" w:cs="Arial" w:eastAsia="Arial" w:hAnsi="Arial"/>
          <w:sz w:val="20"/>
          <w:szCs w:val="20"/>
          <w:u w:val="single" w:color="auto"/>
          <w:color w:val="0000FF"/>
        </w:rPr>
        <w:t>)(i</w:t>
      </w:r>
      <w:r>
        <w:rPr>
          <w:rFonts w:ascii="Arial" w:cs="Arial" w:eastAsia="Arial" w:hAnsi="Arial"/>
          <w:sz w:val="20"/>
          <w:szCs w:val="20"/>
          <w:u w:val="single" w:color="auto"/>
          <w:color w:val="000000"/>
        </w:rPr>
        <w:t>)</w:t>
      </w:r>
      <w:r>
        <w:rPr>
          <w:rFonts w:ascii="Arial" w:cs="Arial" w:eastAsia="Arial" w:hAnsi="Arial"/>
          <w:sz w:val="20"/>
          <w:szCs w:val="20"/>
          <w:color w:val="000000"/>
        </w:rPr>
        <w:t xml:space="preserve">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000000"/>
        </w:rPr>
        <w:t>Section</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2.12(c</w:t>
      </w:r>
      <w:r>
        <w:rPr>
          <w:rFonts w:ascii="Arial" w:cs="Arial" w:eastAsia="Arial" w:hAnsi="Arial"/>
          <w:sz w:val="20"/>
          <w:szCs w:val="20"/>
          <w:u w:val="single" w:color="auto"/>
          <w:color w:val="0000FF"/>
        </w:rPr>
        <w:t>)(i</w:t>
      </w:r>
      <w:r>
        <w:rPr>
          <w:rFonts w:ascii="Arial" w:cs="Arial" w:eastAsia="Arial" w:hAnsi="Arial"/>
          <w:sz w:val="20"/>
          <w:szCs w:val="20"/>
          <w:u w:val="single" w:color="auto"/>
          <w:color w:val="000000"/>
        </w:rPr>
        <w:t>)</w:t>
      </w:r>
      <w:r>
        <w:rPr>
          <w:rFonts w:ascii="Arial" w:cs="Arial" w:eastAsia="Arial" w:hAnsi="Arial"/>
          <w:sz w:val="20"/>
          <w:szCs w:val="20"/>
          <w:color w:val="000000"/>
        </w:rPr>
        <w:t>.</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as defined in Rule 13d-3 and Rule 13d-5 under the Exchange Act, except that in calculating the beneficial</w:t>
      </w:r>
    </w:p>
    <w:p>
      <w:pPr>
        <w:spacing w:after="0" w:line="226" w:lineRule="auto"/>
        <w:rPr>
          <w:sz w:val="20"/>
          <w:szCs w:val="20"/>
          <w:color w:val="auto"/>
        </w:rPr>
      </w:pPr>
      <w:r>
        <w:rPr>
          <w:rFonts w:ascii="Arial" w:cs="Arial" w:eastAsia="Arial" w:hAnsi="Arial"/>
          <w:sz w:val="18"/>
          <w:szCs w:val="18"/>
          <w:color w:val="auto"/>
        </w:rPr>
        <w:t>ownership of any particular “person” (as that term is used in Sections 13(d) and 14(d) of the Exchange Act), notwithstanding the provisions of Rule 13d-3(d)(1)(i)(A) and (B), such “person” will not be deemed to have beneficial ownership of any securities that such “person” has</w:t>
      </w:r>
    </w:p>
    <w:p>
      <w:pPr>
        <w:spacing w:after="0" w:line="224" w:lineRule="auto"/>
        <w:rPr>
          <w:sz w:val="20"/>
          <w:szCs w:val="20"/>
          <w:color w:val="auto"/>
        </w:rPr>
      </w:pPr>
      <w:r>
        <w:rPr>
          <w:rFonts w:ascii="Arial" w:cs="Arial" w:eastAsia="Arial" w:hAnsi="Arial"/>
          <w:sz w:val="19"/>
          <w:szCs w:val="19"/>
          <w:color w:val="auto"/>
        </w:rPr>
        <w:t>the right to acquire by conversion of other securities or the exercise of any option, warrant or right, whether such right is currently</w:t>
      </w:r>
    </w:p>
    <w:p>
      <w:pPr>
        <w:spacing w:after="0" w:line="220" w:lineRule="auto"/>
        <w:rPr>
          <w:sz w:val="20"/>
          <w:szCs w:val="20"/>
          <w:color w:val="auto"/>
        </w:rPr>
      </w:pPr>
      <w:r>
        <w:rPr>
          <w:rFonts w:ascii="Arial" w:cs="Arial" w:eastAsia="Arial" w:hAnsi="Arial"/>
          <w:sz w:val="20"/>
          <w:szCs w:val="20"/>
          <w:color w:val="auto"/>
        </w:rPr>
        <w:t>exercisable or is exercisable only upon the occurrence of a subsequent condition. The terms “Beneficially Owns” and “Beneficially Owned” have correlative meanings.</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 certification regarding beneficial ownership as required by the Beneficial Ownership Regulation.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31 CFR § 1010.230.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any of (a) an “employee benefit plan” (as defined in ERISA) that is subject to Title I of ERISA, (b) a “plan” as</w:t>
      </w:r>
    </w:p>
    <w:p>
      <w:pPr>
        <w:spacing w:after="0" w:line="232" w:lineRule="auto"/>
        <w:rPr>
          <w:sz w:val="20"/>
          <w:szCs w:val="20"/>
          <w:color w:val="auto"/>
        </w:rPr>
      </w:pPr>
      <w:r>
        <w:rPr>
          <w:rFonts w:ascii="Arial" w:cs="Arial" w:eastAsia="Arial" w:hAnsi="Arial"/>
          <w:sz w:val="19"/>
          <w:szCs w:val="19"/>
          <w:color w:val="auto"/>
        </w:rPr>
        <w:t>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Benefitted Lender</w:t>
      </w:r>
      <w:r>
        <w:rPr>
          <w:rFonts w:ascii="Arial" w:cs="Arial" w:eastAsia="Arial" w:hAnsi="Arial"/>
          <w:sz w:val="20"/>
          <w:szCs w:val="20"/>
          <w:color w:val="auto"/>
        </w:rPr>
        <w:t>”: as defined in Section 10.7(a).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the Board of Governors of the Federal Reserve System of the United States (or any successor).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as defined in the preamble hereto.</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Date</w:t>
      </w:r>
      <w:r>
        <w:rPr>
          <w:rFonts w:ascii="Arial" w:cs="Arial" w:eastAsia="Arial" w:hAnsi="Arial"/>
          <w:sz w:val="20"/>
          <w:szCs w:val="20"/>
          <w:color w:val="auto"/>
        </w:rPr>
        <w:t>”: any Business Day specified by the Borrower as a date on which the Borrower requests the Lenders to make a Loan hereunder.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w:t>
      </w:r>
      <w:r>
        <w:rPr>
          <w:rFonts w:ascii="Arial" w:cs="Arial" w:eastAsia="Arial" w:hAnsi="Arial"/>
          <w:sz w:val="20"/>
          <w:szCs w:val="20"/>
          <w:color w:val="auto"/>
        </w:rPr>
        <w:t>”: as defined in Section 4.12(b).</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a day other than a Saturday, Sunday or other day on which commercial banks in San Francisco, California, Minneapolis, Minnesota, or New York City are authorized or required by law to close</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that with respect to notices and</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FF0000"/>
          <w:strike w:val="1"/>
        </w:rPr>
        <w:t>determinations in connection with, and payments of principal and interest on, Eurodollar Loans, such day is also a day for trading by and between banks in Dollar deposits in the London interbank eurodollar market</w:t>
      </w:r>
      <w:r>
        <w:rPr>
          <w:rFonts w:ascii="Arial" w:cs="Arial" w:eastAsia="Arial" w:hAnsi="Arial"/>
          <w:sz w:val="20"/>
          <w:szCs w:val="20"/>
          <w:color w:val="000000"/>
          <w:strike w:val="1"/>
        </w:rPr>
        <w:t>.</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Leases</w:t>
      </w:r>
      <w:r>
        <w:rPr>
          <w:rFonts w:ascii="Arial" w:cs="Arial" w:eastAsia="Arial" w:hAnsi="Arial"/>
          <w:sz w:val="20"/>
          <w:szCs w:val="20"/>
          <w:color w:val="auto"/>
        </w:rPr>
        <w:t>”: subject to Section 1.2(a), any and all lease obligations that, in accordance with GAAP, are required to be accounted for as a finance lease on the books of a lessee.</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interests, participations or other equivalents (however designated) of capital stock of a corporation, any and all equivalent ownership interests in a Person (other than a corporation) and any and all warrants, rights or options to</w:t>
      </w:r>
    </w:p>
    <w:p>
      <w:pPr>
        <w:spacing w:after="0"/>
        <w:rPr>
          <w:sz w:val="20"/>
          <w:szCs w:val="20"/>
          <w:color w:val="auto"/>
        </w:rPr>
      </w:pPr>
      <w:r>
        <w:rPr>
          <w:rFonts w:ascii="Arial" w:cs="Arial" w:eastAsia="Arial" w:hAnsi="Arial"/>
          <w:sz w:val="20"/>
          <w:szCs w:val="20"/>
          <w:color w:val="auto"/>
        </w:rPr>
        <w:t>purchase any of the foregoing.</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to pledge and deposit with or deliver to the Administrative Agent, for its own benefit and for the benefit of the Issuing Lender, the Swingline Lender and/or the Lenders, as applicable, as collateral subject to a first priority, perfected security interest</w:t>
      </w:r>
    </w:p>
    <w:p>
      <w:pPr>
        <w:spacing w:after="0" w:line="235" w:lineRule="auto"/>
        <w:rPr>
          <w:sz w:val="20"/>
          <w:szCs w:val="20"/>
          <w:color w:val="auto"/>
        </w:rPr>
      </w:pPr>
      <w:r>
        <w:rPr>
          <w:rFonts w:ascii="Arial" w:cs="Arial" w:eastAsia="Arial" w:hAnsi="Arial"/>
          <w:sz w:val="18"/>
          <w:szCs w:val="18"/>
          <w:color w:val="auto"/>
        </w:rPr>
        <w:t>securing the Obligations or the obligations of a Defaulting Lender, as applicable, cash or deposit account balances in an amount equal to the</w:t>
      </w:r>
    </w:p>
    <w:p>
      <w:pPr>
        <w:spacing w:after="0" w:line="220" w:lineRule="auto"/>
        <w:rPr>
          <w:sz w:val="20"/>
          <w:szCs w:val="20"/>
          <w:color w:val="auto"/>
        </w:rPr>
      </w:pPr>
      <w:r>
        <w:rPr>
          <w:rFonts w:ascii="Arial" w:cs="Arial" w:eastAsia="Arial" w:hAnsi="Arial"/>
          <w:sz w:val="20"/>
          <w:szCs w:val="20"/>
          <w:color w:val="auto"/>
        </w:rPr>
        <w:t>L/C Obligations, Obligations in respect of Swingline Loans or obligations of a Defaulting Lender, as applicable, pursuant to documentation in form and substance reasonably satisfactory to the Administrative Agent and the Issuing Lender or the</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9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Swingline Lender, as applicable (which documents are hereby consented to by the Lenders). Derivatives of such term shall have a corresponding meaning.</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with respect to any Person, an event or series of events by which any “person” or “group” (as such terms are used in Sections 13(d) and 14(d) of the Exchange Act, but excluding any employee benefit plan of such person or its Subsidiaries, and any</w:t>
      </w:r>
    </w:p>
    <w:p>
      <w:pPr>
        <w:jc w:val="both"/>
        <w:spacing w:after="0" w:line="226" w:lineRule="auto"/>
        <w:rPr>
          <w:sz w:val="20"/>
          <w:szCs w:val="20"/>
          <w:color w:val="auto"/>
        </w:rPr>
      </w:pPr>
      <w:r>
        <w:rPr>
          <w:rFonts w:ascii="Arial" w:cs="Arial" w:eastAsia="Arial" w:hAnsi="Arial"/>
          <w:sz w:val="18"/>
          <w:szCs w:val="18"/>
          <w:color w:val="auto"/>
        </w:rPr>
        <w:t>Person acting in its capacity as trustee, agent or other fiduciary or administrator of any such plan) becomes the Beneficial Owner, directly or indirectly, of 30% or more of the Capital Stock of such Person entitled to vote for members of the board of directors or equivalent governing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body of such Person.</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Law</w:t>
      </w:r>
      <w:r>
        <w:rPr>
          <w:rFonts w:ascii="Arial" w:cs="Arial" w:eastAsia="Arial" w:hAnsi="Arial"/>
          <w:sz w:val="18"/>
          <w:szCs w:val="18"/>
          <w:color w:val="auto"/>
        </w:rPr>
        <w:t>”: the occurrence, after the date of this Agreement, of any of the following: (a) the adoption or taking effect of any law, rule, regulation or treaty, (b) any change in any law, rule, regulation or treaty or in the administration, interpretation, implementation or</w:t>
      </w:r>
    </w:p>
    <w:p>
      <w:pPr>
        <w:spacing w:after="0" w:line="235" w:lineRule="auto"/>
        <w:rPr>
          <w:sz w:val="20"/>
          <w:szCs w:val="20"/>
          <w:color w:val="auto"/>
        </w:rPr>
      </w:pPr>
      <w:r>
        <w:rPr>
          <w:rFonts w:ascii="Arial" w:cs="Arial" w:eastAsia="Arial" w:hAnsi="Arial"/>
          <w:sz w:val="18"/>
          <w:szCs w:val="18"/>
          <w:color w:val="auto"/>
        </w:rPr>
        <w:t>application thereof by any Governmental Authority or (c) the making or issuance of any request, rule, guideline or directive (whether or not</w:t>
      </w:r>
    </w:p>
    <w:p>
      <w:pPr>
        <w:jc w:val="both"/>
        <w:spacing w:after="0" w:line="255" w:lineRule="auto"/>
        <w:rPr>
          <w:sz w:val="20"/>
          <w:szCs w:val="20"/>
          <w:color w:val="auto"/>
        </w:rPr>
      </w:pPr>
      <w:r>
        <w:rPr>
          <w:rFonts w:ascii="Arial" w:cs="Arial" w:eastAsia="Arial" w:hAnsi="Arial"/>
          <w:sz w:val="16"/>
          <w:szCs w:val="16"/>
          <w:color w:val="auto"/>
        </w:rPr>
        <w:t xml:space="preserve">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 Frank Wall Street Reform and Consumer Protection Act and all requests, rules, guidelines or directives thereunder or issued in connection therewith</w:t>
      </w:r>
    </w:p>
    <w:p>
      <w:pPr>
        <w:spacing w:after="0" w:line="235" w:lineRule="auto"/>
        <w:rPr>
          <w:sz w:val="20"/>
          <w:szCs w:val="20"/>
          <w:color w:val="auto"/>
        </w:rPr>
      </w:pPr>
      <w:r>
        <w:rPr>
          <w:rFonts w:ascii="Arial" w:cs="Arial" w:eastAsia="Arial" w:hAnsi="Arial"/>
          <w:sz w:val="18"/>
          <w:szCs w:val="18"/>
          <w:color w:val="auto"/>
        </w:rPr>
        <w:t>or in implementation thereof and (y) all requests, rules, guidelines or directives promulgated by the Bank for International Settlements, the</w:t>
      </w:r>
    </w:p>
    <w:p>
      <w:pPr>
        <w:jc w:val="both"/>
        <w:spacing w:after="0" w:line="226" w:lineRule="auto"/>
        <w:rPr>
          <w:sz w:val="20"/>
          <w:szCs w:val="20"/>
          <w:color w:val="auto"/>
        </w:rPr>
      </w:pPr>
      <w:r>
        <w:rPr>
          <w:rFonts w:ascii="Arial" w:cs="Arial" w:eastAsia="Arial" w:hAnsi="Arial"/>
          <w:sz w:val="18"/>
          <w:szCs w:val="18"/>
          <w:color w:val="auto"/>
        </w:rPr>
        <w:t>Basel Committee on Banking Supervision (or any successor or similar authority) or the United States or foreign regulatory authorities, in each case pursuant to Basel III, shall in each case be deemed to be a “Change of Law”, regardless of the date enacted, adopted, implemented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issued.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the Internal Revenue Code of 1986, as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as to any Lender, the obligation of such Lender, if any, to make Revolving Loans and participate in Swingline Loans</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and Letters of Credit in an aggregate principal and/or face amount not to exceed the amount set forth under the heading “Commitment” opposite such Lender’s name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or in the Assignment and Assumption pursuant to which such Lender became a party hereto,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as the same may be changed from time to time pursuant to the terms 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as defined in Section 2.5.</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 Rate</w:t>
      </w:r>
      <w:r>
        <w:rPr>
          <w:rFonts w:ascii="Arial" w:cs="Arial" w:eastAsia="Arial" w:hAnsi="Arial"/>
          <w:sz w:val="20"/>
          <w:szCs w:val="20"/>
          <w:color w:val="auto"/>
        </w:rPr>
        <w:t>”: with respect to the Revolving Loans at any time, the per annum percentage which is used to calculate Commitment Fees for such Commitments determined pursuant to the definition of Applicable Margin.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Period</w:t>
      </w:r>
      <w:r>
        <w:rPr>
          <w:rFonts w:ascii="Arial" w:cs="Arial" w:eastAsia="Arial" w:hAnsi="Arial"/>
          <w:sz w:val="20"/>
          <w:szCs w:val="20"/>
          <w:color w:val="auto"/>
        </w:rPr>
        <w:t>”: the period from and including the Effective Date to the Termination Date.</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Commonly Controlled Entity</w:t>
      </w:r>
      <w:r>
        <w:rPr>
          <w:rFonts w:ascii="Arial" w:cs="Arial" w:eastAsia="Arial" w:hAnsi="Arial"/>
          <w:sz w:val="20"/>
          <w:szCs w:val="20"/>
          <w:color w:val="auto"/>
        </w:rPr>
        <w:t>”: an entity, whether or not incorporated, that is under common control with the Borrower within the meaning of Section 4001 of ERISA or is part of a group that includes the Borrower and that is treated as a single employer under Section 414 of the Code.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as defined in Section 10.2(c).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a certificate duly executed by a Responsible Officer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Conduit Lender</w:t>
      </w:r>
      <w:r>
        <w:rPr>
          <w:rFonts w:ascii="Arial" w:cs="Arial" w:eastAsia="Arial" w:hAnsi="Arial"/>
          <w:sz w:val="20"/>
          <w:szCs w:val="20"/>
          <w:color w:val="auto"/>
        </w:rPr>
        <w:t>”: any special purpose entity organized and administered by any Lender for the purpose of making Loans otherwise required to be made by such Lender and designated</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such Lender in a written instrument;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designation by any Lender of a Conduit Lender shall not relieve the designating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 of any of its obligations to fund a Loan under this Agreement if, for any reason, its Conduit Lender fails to fund any such Loan, and the designating Lender (and not the Conduit Lender) shall have the sole right and responsibility to deliver all consents and waivers required</w:t>
      </w:r>
    </w:p>
    <w:p>
      <w:pPr>
        <w:spacing w:after="0" w:line="236" w:lineRule="auto"/>
        <w:rPr>
          <w:sz w:val="20"/>
          <w:szCs w:val="20"/>
          <w:color w:val="auto"/>
        </w:rPr>
      </w:pPr>
      <w:r>
        <w:rPr>
          <w:rFonts w:ascii="Arial" w:cs="Arial" w:eastAsia="Arial" w:hAnsi="Arial"/>
          <w:sz w:val="18"/>
          <w:szCs w:val="18"/>
          <w:color w:val="auto"/>
        </w:rPr>
        <w:t xml:space="preserve">or requested under this Agreement with respect to its Conduit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Conduit Lender shall be (a) entitled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receive any greater amount pursuant to Section 2.14, 2.15, 2.16 or 10.5 than the designating Lender would have been entitled to receive in respect of the extensions of credit made by such Conduit Lender or (b) deemed to have any Commitment.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0000FF"/>
        </w:rPr>
        <w:t>“Conforming Changes”: with respect to either the use or administration of Term SOFR or the use, administration, adoption or</w:t>
      </w:r>
    </w:p>
    <w:p>
      <w:pPr>
        <w:spacing w:after="0" w:line="226" w:lineRule="auto"/>
        <w:rPr>
          <w:sz w:val="20"/>
          <w:szCs w:val="20"/>
          <w:color w:val="auto"/>
        </w:rPr>
      </w:pPr>
      <w:r>
        <w:rPr>
          <w:rFonts w:ascii="Arial" w:cs="Arial" w:eastAsia="Arial" w:hAnsi="Arial"/>
          <w:sz w:val="18"/>
          <w:szCs w:val="18"/>
          <w:u w:val="single" w:color="auto"/>
          <w:color w:val="0000FF"/>
        </w:rPr>
        <w:t>implementation of</w:t>
      </w:r>
      <w:r>
        <w:rPr>
          <w:rFonts w:ascii="Arial" w:cs="Arial" w:eastAsia="Arial" w:hAnsi="Arial"/>
          <w:sz w:val="18"/>
          <w:szCs w:val="18"/>
          <w:color w:val="0000FF"/>
        </w:rPr>
        <w:t xml:space="preserve"> </w:t>
      </w:r>
      <w:r>
        <w:rPr>
          <w:rFonts w:ascii="Arial" w:cs="Arial" w:eastAsia="Arial" w:hAnsi="Arial"/>
          <w:sz w:val="18"/>
          <w:szCs w:val="18"/>
          <w:color w:val="00C000"/>
        </w:rPr>
        <w:t>any Benchmark Replacement, any technical, administrative or operational changes (including changes to the definition of</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“ABR,” the definition of “</w:t>
      </w:r>
      <w:r>
        <w:rPr>
          <w:rFonts w:ascii="Arial" w:cs="Arial" w:eastAsia="Arial" w:hAnsi="Arial"/>
          <w:sz w:val="18"/>
          <w:szCs w:val="18"/>
          <w:u w:val="single" w:color="auto"/>
          <w:color w:val="0000FF"/>
        </w:rPr>
        <w:t>Business Day,” the definition of “U.S. Government Securities</w:t>
      </w:r>
      <w:r>
        <w:rPr>
          <w:rFonts w:ascii="Arial" w:cs="Arial" w:eastAsia="Arial" w:hAnsi="Arial"/>
          <w:sz w:val="18"/>
          <w:szCs w:val="18"/>
          <w:u w:val="single" w:color="auto"/>
          <w:color w:val="00C000"/>
        </w:rPr>
        <w:t xml:space="preserve"> Business Day,” the definition of “Interest Period”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-126365</wp:posOffset>
            </wp:positionV>
            <wp:extent cx="62039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203950"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u w:val="single" w:color="auto"/>
          <w:color w:val="00C000"/>
        </w:rPr>
        <w:t>any similar or analogous definition (or the addition of a concept of “interest period”), timing and frequency of determining rates and making</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u w:val="single" w:color="auto"/>
          <w:color w:val="00C000"/>
        </w:rPr>
        <w:t xml:space="preserve">payments of interest, timing of borrowing requests or prepayment, conversion or continuation notices, </w:t>
      </w:r>
      <w:r>
        <w:rPr>
          <w:rFonts w:ascii="Arial" w:cs="Arial" w:eastAsia="Arial" w:hAnsi="Arial"/>
          <w:sz w:val="18"/>
          <w:szCs w:val="18"/>
          <w:u w:val="single" w:color="auto"/>
          <w:color w:val="0000FF"/>
        </w:rPr>
        <w:t>the applicability and</w:t>
      </w:r>
      <w:r>
        <w:rPr>
          <w:rFonts w:ascii="Arial" w:cs="Arial" w:eastAsia="Arial" w:hAnsi="Arial"/>
          <w:sz w:val="18"/>
          <w:szCs w:val="18"/>
          <w:u w:val="single" w:color="auto"/>
          <w:color w:val="00C000"/>
        </w:rPr>
        <w:t xml:space="preserve"> length of lookback periods, the applicability of</w:t>
      </w:r>
      <w:r>
        <w:rPr>
          <w:rFonts w:ascii="Arial" w:cs="Arial" w:eastAsia="Arial" w:hAnsi="Arial"/>
          <w:sz w:val="18"/>
          <w:szCs w:val="18"/>
          <w:color w:val="00C000"/>
        </w:rPr>
        <w:t xml:space="preserve"> </w:t>
      </w:r>
      <w:r>
        <w:rPr>
          <w:rFonts w:ascii="Arial" w:cs="Arial" w:eastAsia="Arial" w:hAnsi="Arial"/>
          <w:sz w:val="18"/>
          <w:szCs w:val="18"/>
          <w:u w:val="single" w:color="auto"/>
          <w:color w:val="0000FF"/>
        </w:rPr>
        <w:t>Section 2.16</w:t>
      </w:r>
      <w:r>
        <w:rPr>
          <w:rFonts w:ascii="Arial" w:cs="Arial" w:eastAsia="Arial" w:hAnsi="Arial"/>
          <w:sz w:val="18"/>
          <w:szCs w:val="18"/>
          <w:color w:val="00C000"/>
        </w:rPr>
        <w:t xml:space="preserve"> and other technical, administrative or operational matters) that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-6350</wp:posOffset>
            </wp:positionV>
            <wp:extent cx="45586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4558665"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u w:val="single" w:color="auto"/>
          <w:color w:val="00C000"/>
        </w:rPr>
        <w:t xml:space="preserve">decides may be appropriate to reflect the adoption and implementation of </w:t>
      </w:r>
      <w:r>
        <w:rPr>
          <w:rFonts w:ascii="Arial" w:cs="Arial" w:eastAsia="Arial" w:hAnsi="Arial"/>
          <w:sz w:val="18"/>
          <w:szCs w:val="18"/>
          <w:u w:val="single" w:color="auto"/>
          <w:color w:val="0000FF"/>
        </w:rPr>
        <w:t>any such rate or to permit the use and</w:t>
      </w:r>
      <w:r>
        <w:rPr>
          <w:rFonts w:ascii="Arial" w:cs="Arial" w:eastAsia="Arial" w:hAnsi="Arial"/>
          <w:sz w:val="18"/>
          <w:szCs w:val="18"/>
          <w:u w:val="single" w:color="auto"/>
          <w:color w:val="00C000"/>
        </w:rPr>
        <w:t xml:space="preserve"> administration thereof 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C000"/>
        </w:rPr>
        <w:t>Administrative Agent in a manner substantially consistent with market practice (or, if the Administrative Agent decides that adoption of any portion of such market practice is not administratively feasible or if the Administrative Agent determines that no market practice for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00C000"/>
        </w:rPr>
        <w:t xml:space="preserve">administration of </w:t>
      </w:r>
      <w:r>
        <w:rPr>
          <w:rFonts w:ascii="Arial" w:cs="Arial" w:eastAsia="Arial" w:hAnsi="Arial"/>
          <w:sz w:val="20"/>
          <w:szCs w:val="20"/>
          <w:u w:val="single" w:color="auto"/>
          <w:color w:val="0000FF"/>
        </w:rPr>
        <w:t>any such rate</w:t>
      </w:r>
      <w:r>
        <w:rPr>
          <w:rFonts w:ascii="Arial" w:cs="Arial" w:eastAsia="Arial" w:hAnsi="Arial"/>
          <w:sz w:val="20"/>
          <w:szCs w:val="20"/>
          <w:u w:val="single" w:color="auto"/>
          <w:color w:val="00C000"/>
        </w:rPr>
        <w:t xml:space="preserve"> exists, in such other manner of administration as the Administrative Agent decides is reasonably necessary in connection with the administration of this Agreement and the other Loan Documents).</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Corresponding Tenor</w:t>
      </w:r>
      <w:r>
        <w:rPr>
          <w:rFonts w:ascii="Arial" w:cs="Arial" w:eastAsia="Arial" w:hAnsi="Arial"/>
          <w:sz w:val="19"/>
          <w:szCs w:val="19"/>
          <w:color w:val="FF0000"/>
          <w:strike w:val="1"/>
        </w:rPr>
        <w:t>”: with respect to any Available Tenor means, as applicable, either a tenor (including overnight) or an interest payment period having approximately the same length (disregarding business day adjustment) as such Available Tenor.</w:t>
      </w:r>
    </w:p>
    <w:p>
      <w:pPr>
        <w:spacing w:after="0" w:line="15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Entities</w:t>
      </w:r>
      <w:r>
        <w:rPr>
          <w:rFonts w:ascii="Arial" w:cs="Arial" w:eastAsia="Arial" w:hAnsi="Arial"/>
          <w:sz w:val="18"/>
          <w:szCs w:val="18"/>
          <w:color w:val="auto"/>
        </w:rPr>
        <w:t>”: collectively, (a) the Borrower and its Subsidiaries and all guarantors and (b) each Person that, directly or indirectly, is in control of a Person described in clause (a) above. For purposes of this definition, control of a Person shall mean the direct or</w:t>
      </w:r>
    </w:p>
    <w:p>
      <w:pPr>
        <w:spacing w:after="0" w:line="235" w:lineRule="auto"/>
        <w:rPr>
          <w:sz w:val="20"/>
          <w:szCs w:val="20"/>
          <w:color w:val="auto"/>
        </w:rPr>
      </w:pPr>
      <w:r>
        <w:rPr>
          <w:rFonts w:ascii="Arial" w:cs="Arial" w:eastAsia="Arial" w:hAnsi="Arial"/>
          <w:sz w:val="18"/>
          <w:szCs w:val="18"/>
          <w:color w:val="auto"/>
        </w:rPr>
        <w:t>indirect (x) ownership of, or power to vote, 25% or more of the issued and outstanding equity interests having ordinary voting power for the</w:t>
      </w:r>
    </w:p>
    <w:p>
      <w:pPr>
        <w:spacing w:after="0" w:line="232" w:lineRule="auto"/>
        <w:rPr>
          <w:sz w:val="20"/>
          <w:szCs w:val="20"/>
          <w:color w:val="auto"/>
        </w:rPr>
      </w:pPr>
      <w:r>
        <w:rPr>
          <w:rFonts w:ascii="Arial" w:cs="Arial" w:eastAsia="Arial" w:hAnsi="Arial"/>
          <w:sz w:val="19"/>
          <w:szCs w:val="19"/>
          <w:color w:val="auto"/>
        </w:rPr>
        <w:t>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Event</w:t>
      </w:r>
      <w:r>
        <w:rPr>
          <w:rFonts w:ascii="Arial" w:cs="Arial" w:eastAsia="Arial" w:hAnsi="Arial"/>
          <w:sz w:val="20"/>
          <w:szCs w:val="20"/>
          <w:color w:val="auto"/>
        </w:rPr>
        <w:t>”: as defined in Section 5.2.</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Daily Simple SOFR</w:t>
      </w:r>
      <w:r>
        <w:rPr>
          <w:rFonts w:ascii="Arial" w:cs="Arial" w:eastAsia="Arial" w:hAnsi="Arial"/>
          <w:sz w:val="18"/>
          <w:szCs w:val="18"/>
          <w:color w:val="FF0000"/>
          <w:strike w:val="1"/>
        </w:rPr>
        <w:t>”: for any day, SOFR, with the conventions for this rate (which will include a lookback) being established by the Administrative Agent in accordance with the conventions for this rate selected or recommended by the Relevant Governmental Body for</w:t>
      </w:r>
    </w:p>
    <w:p>
      <w:pPr>
        <w:spacing w:after="0" w:line="222" w:lineRule="auto"/>
        <w:rPr>
          <w:sz w:val="20"/>
          <w:szCs w:val="20"/>
          <w:color w:val="auto"/>
        </w:rPr>
      </w:pPr>
      <w:r>
        <w:rPr>
          <w:rFonts w:ascii="Arial" w:cs="Arial" w:eastAsia="Arial" w:hAnsi="Arial"/>
          <w:sz w:val="19"/>
          <w:szCs w:val="19"/>
          <w:color w:val="FF0000"/>
          <w:strike w:val="1"/>
        </w:rPr>
        <w:t xml:space="preserve">determining “Daily Simple SOFR” for syndicated business loans;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that if the Administrative Agent decides that any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FF0000"/>
          <w:strike w:val="1"/>
        </w:rPr>
        <w:t>convention is not administratively feasible for the Administrative Agent, then the Administrative Agent may establish another convention in its reasonable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Decreasing Lender</w:t>
      </w:r>
      <w:r>
        <w:rPr>
          <w:rFonts w:ascii="Arial" w:cs="Arial" w:eastAsia="Arial" w:hAnsi="Arial"/>
          <w:sz w:val="20"/>
          <w:szCs w:val="20"/>
          <w:color w:val="auto"/>
        </w:rPr>
        <w:t>”: as defined in Section 2.19(e).</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90"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any of the events specified in Section 8, whether or not any requirement for the giving of notice, the lapse of time, or both, has been satisfied.</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(a) a Lender that has failed to fund its portion of any Loan or any participations in Letters of Credit or Swingline Loans that it is required to fund under this Agreement and has continued in such failure for two Business Days after written notice</w:t>
      </w:r>
    </w:p>
    <w:p>
      <w:pPr>
        <w:spacing w:after="0" w:line="226" w:lineRule="auto"/>
        <w:rPr>
          <w:sz w:val="20"/>
          <w:szCs w:val="20"/>
          <w:color w:val="auto"/>
        </w:rPr>
      </w:pPr>
      <w:r>
        <w:rPr>
          <w:rFonts w:ascii="Arial" w:cs="Arial" w:eastAsia="Arial" w:hAnsi="Arial"/>
          <w:sz w:val="18"/>
          <w:szCs w:val="18"/>
          <w:color w:val="auto"/>
        </w:rPr>
        <w:t>from the Administrative Agent unless such Lender notifies the Administrative Agent and the Borrower in writing that such failure is the result of such Lender’s determination that one or more conditions precedent to funding (each of which conditions precedent, together with the</w:t>
      </w:r>
    </w:p>
    <w:p>
      <w:pPr>
        <w:spacing w:after="0" w:line="236" w:lineRule="auto"/>
        <w:rPr>
          <w:sz w:val="20"/>
          <w:szCs w:val="20"/>
          <w:color w:val="auto"/>
        </w:rPr>
      </w:pPr>
      <w:r>
        <w:rPr>
          <w:rFonts w:ascii="Arial" w:cs="Arial" w:eastAsia="Arial" w:hAnsi="Arial"/>
          <w:sz w:val="18"/>
          <w:szCs w:val="18"/>
          <w:color w:val="auto"/>
        </w:rPr>
        <w:t>applicable default, shall be specifically identified in such writing) has not been satisfied, (b) a Lender which has otherwise failed to pay over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Administrative Agent or any other Lender any other amount required to be paid by it hereunder within two Business Days of the date when due, unless the subject of a good faith dispute, (c) a Lender which has notified the Borrower, the Administrative Agent or any other</w:t>
      </w:r>
    </w:p>
    <w:p>
      <w:pPr>
        <w:spacing w:after="0" w:line="236" w:lineRule="auto"/>
        <w:rPr>
          <w:sz w:val="20"/>
          <w:szCs w:val="20"/>
          <w:color w:val="auto"/>
        </w:rPr>
      </w:pPr>
      <w:r>
        <w:rPr>
          <w:rFonts w:ascii="Arial" w:cs="Arial" w:eastAsia="Arial" w:hAnsi="Arial"/>
          <w:sz w:val="18"/>
          <w:szCs w:val="18"/>
          <w:color w:val="auto"/>
        </w:rPr>
        <w:t>Lender in writing that it does not intend to comply with its funding obligations hereunder or has made a public statement to that effect (unless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writing or public statement relates to such Lender’s obligation to fund a Loan hereunder and states that such position is based on such Lender’s determination that a condition precedent to funding (which condition precedent, together with any applicable default, shall be</w:t>
      </w:r>
    </w:p>
    <w:p>
      <w:pPr>
        <w:spacing w:after="0" w:line="236" w:lineRule="auto"/>
        <w:rPr>
          <w:sz w:val="20"/>
          <w:szCs w:val="20"/>
          <w:color w:val="auto"/>
        </w:rPr>
      </w:pPr>
      <w:r>
        <w:rPr>
          <w:rFonts w:ascii="Arial" w:cs="Arial" w:eastAsia="Arial" w:hAnsi="Arial"/>
          <w:sz w:val="18"/>
          <w:szCs w:val="18"/>
          <w:color w:val="auto"/>
        </w:rPr>
        <w:t>specifically identified in such writing or public statement) has not or cannot be satisfied), (d) a Lender which has failed within three Business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Days after written request by the Administrative Agent or the Borrower, to confirm in writing to the Administrative Agent and the Borrower that it will comply with its prospective funding obligations hereunder (provided that such Lender shall cease to be a Defaulting Lender</w:t>
      </w:r>
    </w:p>
    <w:p>
      <w:pPr>
        <w:spacing w:after="0" w:line="236" w:lineRule="auto"/>
        <w:rPr>
          <w:sz w:val="20"/>
          <w:szCs w:val="20"/>
          <w:color w:val="auto"/>
        </w:rPr>
      </w:pPr>
      <w:r>
        <w:rPr>
          <w:rFonts w:ascii="Arial" w:cs="Arial" w:eastAsia="Arial" w:hAnsi="Arial"/>
          <w:sz w:val="18"/>
          <w:szCs w:val="18"/>
          <w:color w:val="auto"/>
        </w:rPr>
        <w:t>pursuant to this clause (d) upon receipt of such written confirmation by the Administrative Agent and the Borrower), (e) has become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subject of a Bail-In Action or has a direct or indirect parent company that has become the subject of a Bail-In Action or (f) a Lender (or the entity that controls such Lender) which has been deemed insolvent or become the subject of a receivership, bankruptcy or insolvency</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w:t>
      </w:r>
    </w:p>
    <w:p>
      <w:pPr>
        <w:spacing w:after="0" w:line="236" w:lineRule="auto"/>
        <w:rPr>
          <w:sz w:val="20"/>
          <w:szCs w:val="20"/>
          <w:color w:val="auto"/>
        </w:rPr>
      </w:pPr>
      <w:r>
        <w:rPr>
          <w:rFonts w:ascii="Arial" w:cs="Arial" w:eastAsia="Arial" w:hAnsi="Arial"/>
          <w:sz w:val="18"/>
          <w:szCs w:val="18"/>
          <w:color w:val="auto"/>
        </w:rPr>
        <w:t>in or provide such Lender with immunity from the jurisdiction of courts within the United States or from the enforcement of judgments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writs of attachment on its assets or permit such Lender (or such Governmental Authority) to reject, repudiate, disavow or disaffirm any contracts or agreements made with such Lender. For the purpose of this definition, “control” of a Lender shall mean the possession, directly</w:t>
      </w:r>
    </w:p>
    <w:p>
      <w:pPr>
        <w:spacing w:after="0" w:line="236" w:lineRule="auto"/>
        <w:rPr>
          <w:sz w:val="20"/>
          <w:szCs w:val="20"/>
          <w:color w:val="auto"/>
        </w:rPr>
      </w:pPr>
      <w:r>
        <w:rPr>
          <w:rFonts w:ascii="Arial" w:cs="Arial" w:eastAsia="Arial" w:hAnsi="Arial"/>
          <w:sz w:val="18"/>
          <w:szCs w:val="18"/>
          <w:color w:val="auto"/>
        </w:rPr>
        <w:t>or indirectly, of the power to direct or cause the direction of its management or policies, whether through the ownership of voting securities,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contract or otherwise. Any determination by the Administrative Agent that a Lender is a Defaulting Lender under any one or more of clauses (a) through (f) above shall be conclusive and binding absent manifest error, and such Lender shall be deemed to be a Defaulting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Lender upon delivery of written notice of such determination to the Borrower, the Issuing Lender, the Swingline Lender and each Lender.</w:t>
      </w:r>
    </w:p>
    <w:p>
      <w:pPr>
        <w:spacing w:after="0" w:line="1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Person</w:t>
      </w:r>
      <w:r>
        <w:rPr>
          <w:rFonts w:ascii="Arial" w:cs="Arial" w:eastAsia="Arial" w:hAnsi="Arial"/>
          <w:sz w:val="18"/>
          <w:szCs w:val="18"/>
          <w:color w:val="auto"/>
        </w:rPr>
        <w:t>”: any Person who (a) is the subject of any Sanctions, (b) (i) is a Person whose property or interest in property is blocked or subject to blocking pursuant to Section 1 of the Executive Order or any related legislation or any other similar executive order(s)</w:t>
      </w:r>
    </w:p>
    <w:p>
      <w:pPr>
        <w:spacing w:after="0" w:line="235" w:lineRule="auto"/>
        <w:rPr>
          <w:sz w:val="20"/>
          <w:szCs w:val="20"/>
          <w:color w:val="auto"/>
        </w:rPr>
      </w:pPr>
      <w:r>
        <w:rPr>
          <w:rFonts w:ascii="Arial" w:cs="Arial" w:eastAsia="Arial" w:hAnsi="Arial"/>
          <w:sz w:val="18"/>
          <w:szCs w:val="18"/>
          <w:color w:val="auto"/>
        </w:rPr>
        <w:t>or (ii) engages in any dealings or transactions prohibited by Section 2 of the Executive Order or is otherwise associated with any such Person</w:t>
      </w:r>
    </w:p>
    <w:p>
      <w:pPr>
        <w:ind w:right="20"/>
        <w:spacing w:after="0" w:line="232" w:lineRule="auto"/>
        <w:rPr>
          <w:sz w:val="20"/>
          <w:szCs w:val="20"/>
          <w:color w:val="auto"/>
        </w:rPr>
      </w:pPr>
      <w:r>
        <w:rPr>
          <w:rFonts w:ascii="Arial" w:cs="Arial" w:eastAsia="Arial" w:hAnsi="Arial"/>
          <w:sz w:val="19"/>
          <w:szCs w:val="19"/>
          <w:color w:val="auto"/>
        </w:rPr>
        <w:t>in any manner violative of Section 2 of the Executive Order or (c) (i) is an agency of the government of a country, (ii) an organization controlled by a country, or (iii) a Person resident, located or organized in a country or territory that is the subject of Sanctions.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Distributions</w:t>
      </w:r>
      <w:r>
        <w:rPr>
          <w:rFonts w:ascii="Arial" w:cs="Arial" w:eastAsia="Arial" w:hAnsi="Arial"/>
          <w:sz w:val="18"/>
          <w:szCs w:val="18"/>
          <w:color w:val="auto"/>
        </w:rPr>
        <w:t>”: dividends (in cash, property or obligations) on, or other payments or distributions on account of, or the setting apart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money for a sinking or other analogous fund for, or the purchase, redemption, retirement or other acquisition of, any shares of any class of Capital Stock of any Person or of any warrants, options or other rights to acquire the same (or to make any payments to any Person, such 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“phantom stock” payments, where the amount is</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9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calculated with reference to the fair market or equity value of any Person), but excluding dividends payable solely in Capital Stock of any Person.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dollars in lawful currency of the United States.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Early Opt-in Election</w:t>
      </w:r>
      <w:r>
        <w:rPr>
          <w:rFonts w:ascii="Arial" w:cs="Arial" w:eastAsia="Arial" w:hAnsi="Arial"/>
          <w:sz w:val="20"/>
          <w:szCs w:val="20"/>
          <w:color w:val="FF0000"/>
          <w:strike w:val="1"/>
        </w:rPr>
        <w:t>”: if the then-current Benchmark is USD LIBOR, the occurrence of:</w:t>
      </w:r>
    </w:p>
    <w:p>
      <w:pPr>
        <w:spacing w:after="0" w:line="189" w:lineRule="exact"/>
        <w:rPr>
          <w:sz w:val="20"/>
          <w:szCs w:val="20"/>
          <w:color w:val="auto"/>
        </w:rPr>
      </w:pPr>
    </w:p>
    <w:p>
      <w:pPr>
        <w:jc w:val="both"/>
        <w:ind w:firstLine="656"/>
        <w:spacing w:after="0" w:line="246" w:lineRule="auto"/>
        <w:tabs>
          <w:tab w:leader="none" w:pos="1081" w:val="left"/>
        </w:tabs>
        <w:numPr>
          <w:ilvl w:val="0"/>
          <w:numId w:val="45"/>
        </w:numPr>
        <w:rPr>
          <w:rFonts w:ascii="Arial" w:cs="Arial" w:eastAsia="Arial" w:hAnsi="Arial"/>
          <w:sz w:val="18"/>
          <w:szCs w:val="18"/>
          <w:color w:val="FF0000"/>
          <w:strike w:val="1"/>
        </w:rPr>
      </w:pPr>
      <w:r>
        <w:rPr>
          <w:rFonts w:ascii="Arial" w:cs="Arial" w:eastAsia="Arial" w:hAnsi="Arial"/>
          <w:sz w:val="18"/>
          <w:szCs w:val="18"/>
          <w:color w:val="FF0000"/>
          <w:strike w:val="1"/>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50" w:lineRule="exact"/>
        <w:rPr>
          <w:rFonts w:ascii="Arial" w:cs="Arial" w:eastAsia="Arial" w:hAnsi="Arial"/>
          <w:sz w:val="18"/>
          <w:szCs w:val="18"/>
          <w:color w:val="FF0000"/>
          <w:strike w:val="1"/>
        </w:rPr>
      </w:pPr>
    </w:p>
    <w:p>
      <w:pPr>
        <w:ind w:firstLine="656"/>
        <w:spacing w:after="0" w:line="236" w:lineRule="auto"/>
        <w:tabs>
          <w:tab w:leader="none" w:pos="1124" w:val="left"/>
        </w:tabs>
        <w:numPr>
          <w:ilvl w:val="0"/>
          <w:numId w:val="45"/>
        </w:numPr>
        <w:rPr>
          <w:rFonts w:ascii="Arial" w:cs="Arial" w:eastAsia="Arial" w:hAnsi="Arial"/>
          <w:sz w:val="20"/>
          <w:szCs w:val="20"/>
          <w:color w:val="FF0000"/>
          <w:strike w:val="1"/>
        </w:rPr>
      </w:pPr>
      <w:r>
        <w:rPr>
          <w:rFonts w:ascii="Arial" w:cs="Arial" w:eastAsia="Arial" w:hAnsi="Arial"/>
          <w:sz w:val="20"/>
          <w:szCs w:val="20"/>
          <w:color w:val="FF0000"/>
          <w:strike w:val="1"/>
        </w:rPr>
        <w:t>the joint election by the Administrative Agent and the Borrower to trigger a fallback from USD LIBOR and the provision by the Administrative Agent of written notice of such election to the Lenders.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for any four consecutive fiscal quarter period, (a) the net income of the Borrower and its Subsidiaries for such period determined on a consolidated basis in accordance with GAAP, consistently applied for such period, plus (b) to the extent deducted in</w:t>
      </w:r>
    </w:p>
    <w:p>
      <w:pPr>
        <w:spacing w:after="0" w:line="235" w:lineRule="auto"/>
        <w:rPr>
          <w:sz w:val="20"/>
          <w:szCs w:val="20"/>
          <w:color w:val="auto"/>
        </w:rPr>
      </w:pPr>
      <w:r>
        <w:rPr>
          <w:rFonts w:ascii="Arial" w:cs="Arial" w:eastAsia="Arial" w:hAnsi="Arial"/>
          <w:sz w:val="18"/>
          <w:szCs w:val="18"/>
          <w:color w:val="auto"/>
        </w:rPr>
        <w:t>determining such net income for such period, the sum of the following for such period: (i) Interest Expense for such period, (ii) income tax</w:t>
      </w:r>
    </w:p>
    <w:p>
      <w:pPr>
        <w:jc w:val="both"/>
        <w:spacing w:after="0" w:line="255" w:lineRule="auto"/>
        <w:rPr>
          <w:sz w:val="20"/>
          <w:szCs w:val="20"/>
          <w:color w:val="auto"/>
        </w:rPr>
      </w:pPr>
      <w:r>
        <w:rPr>
          <w:rFonts w:ascii="Arial" w:cs="Arial" w:eastAsia="Arial" w:hAnsi="Arial"/>
          <w:sz w:val="16"/>
          <w:szCs w:val="16"/>
          <w:color w:val="auto"/>
        </w:rPr>
        <w:t>expense for such period (iii) depreciation and amortization for such period, (iv) the aggregate amount of extraordinary, non-operating or non-cash charges for such period, and (v) an amount equal to the non-cash, share-based compensation deducted in accordance with SFAS 123(R)</w:t>
      </w:r>
    </w:p>
    <w:p>
      <w:pPr>
        <w:spacing w:after="0" w:line="235" w:lineRule="auto"/>
        <w:rPr>
          <w:sz w:val="20"/>
          <w:szCs w:val="20"/>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(c) the aggregate amount of extraordinary, non-operating or non-cash income during such period. Pro forma credit shall be given for</w:t>
      </w:r>
    </w:p>
    <w:p>
      <w:pPr>
        <w:spacing w:after="0" w:line="226" w:lineRule="auto"/>
        <w:rPr>
          <w:sz w:val="20"/>
          <w:szCs w:val="20"/>
          <w:color w:val="auto"/>
        </w:rPr>
      </w:pPr>
      <w:r>
        <w:rPr>
          <w:rFonts w:ascii="Arial" w:cs="Arial" w:eastAsia="Arial" w:hAnsi="Arial"/>
          <w:sz w:val="18"/>
          <w:szCs w:val="18"/>
          <w:color w:val="auto"/>
        </w:rPr>
        <w:t>the EBITDA of any companies (or identifiable business units or divisions) (i) acquired by the Borrower in accordance with the terms of this Agreement as if owned on the first day of the applicable period, and (ii) sold, transferred or otherwise disposed of in accordance with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terms of this Agreement during any period will be treated as if not owned during the entire applicable period.</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(a) any credit institution or investment firm established in any EEA Member Country which is subject to the supervision of an EEA Resolution Authority, (b) any entity established in an EEA Member Country which is a parent of an institution</w:t>
      </w:r>
    </w:p>
    <w:p>
      <w:pPr>
        <w:ind w:right="20"/>
        <w:spacing w:after="0" w:line="232" w:lineRule="auto"/>
        <w:rPr>
          <w:sz w:val="20"/>
          <w:szCs w:val="20"/>
          <w:color w:val="auto"/>
        </w:rPr>
      </w:pPr>
      <w:r>
        <w:rPr>
          <w:rFonts w:ascii="Arial" w:cs="Arial" w:eastAsia="Arial" w:hAnsi="Arial"/>
          <w:sz w:val="19"/>
          <w:szCs w:val="19"/>
          <w:color w:val="auto"/>
        </w:rPr>
        <w:t>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any of the member states of the European Union, Iceland, Liechtenstein and Norway.</w:t>
      </w:r>
    </w:p>
    <w:p>
      <w:pPr>
        <w:spacing w:after="0" w:line="189"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Amount</w:t>
      </w:r>
      <w:r>
        <w:rPr>
          <w:rFonts w:ascii="Arial" w:cs="Arial" w:eastAsia="Arial" w:hAnsi="Arial"/>
          <w:sz w:val="19"/>
          <w:szCs w:val="19"/>
          <w:color w:val="auto"/>
        </w:rPr>
        <w:t>”: (a) with respect to Revolving Loans and Swingline Loans on any date, the aggregate outstanding principal</w:t>
      </w:r>
    </w:p>
    <w:p>
      <w:pPr>
        <w:spacing w:after="0" w:line="226" w:lineRule="auto"/>
        <w:rPr>
          <w:sz w:val="20"/>
          <w:szCs w:val="20"/>
          <w:color w:val="auto"/>
        </w:rPr>
      </w:pPr>
      <w:r>
        <w:rPr>
          <w:rFonts w:ascii="Arial" w:cs="Arial" w:eastAsia="Arial" w:hAnsi="Arial"/>
          <w:sz w:val="18"/>
          <w:szCs w:val="18"/>
          <w:color w:val="auto"/>
        </w:rPr>
        <w:t>amount thereof after giving effect to (i) any borrowings and prepayments or repayments of Revolving Loans and Swingline Loans and (ii) with respect to Swingline Loans, any risk participation among the Lenders, as the case may be, occurring on such date; and (b) with respect</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to any L/C Obligations on any date, the amount of such L/C Obligations on such date after giving effect to any issuance, amendment, extension, renewal or increase of any Letter of Credit occurring on such date and any other changes in the aggregate</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90"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the date on which the conditions precedent set forth in Section 5.1 shall have been satisfied or waived.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the meaning assigned to that term in, and shall be interpreted in accordance with, 15 U.S.C. 7006.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the meaning assigned to that term in, and shall be interpreted in accordance with, 15 U.S.C. 7006.</w:t>
      </w:r>
    </w:p>
    <w:p>
      <w:pPr>
        <w:spacing w:after="0" w:line="18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(a) a Lender; (b) an Affiliate of a Lender; (c) any Person that is (or will be) engaged in making, purchasing, holding or otherwise investing in commercial loans and similar extensions of credit in the ordinary course of business to the extent such</w:t>
      </w:r>
    </w:p>
    <w:p>
      <w:pPr>
        <w:spacing w:after="0" w:line="226" w:lineRule="auto"/>
        <w:rPr>
          <w:sz w:val="20"/>
          <w:szCs w:val="20"/>
          <w:color w:val="auto"/>
        </w:rPr>
      </w:pPr>
      <w:r>
        <w:rPr>
          <w:rFonts w:ascii="Arial" w:cs="Arial" w:eastAsia="Arial" w:hAnsi="Arial"/>
          <w:sz w:val="18"/>
          <w:szCs w:val="18"/>
          <w:color w:val="auto"/>
        </w:rPr>
        <w:t xml:space="preserve">Person is administered or managed by: (i) a Lender; (ii) an Affiliate of a Lender; or (iii) a Person or an Affiliate of a Person that administers or manages a Lender; and (d) any other Person approved by the Administrative Agent, the Swingline Lender and Issuing Lender; </w:t>
      </w:r>
      <w:r>
        <w:rPr>
          <w:rFonts w:ascii="Arial" w:cs="Arial" w:eastAsia="Arial" w:hAnsi="Arial"/>
          <w:sz w:val="18"/>
          <w:szCs w:val="18"/>
          <w:u w:val="single" w:color="auto"/>
          <w:color w:val="auto"/>
        </w:rPr>
        <w:t>provided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that notwithstanding the foregoing, “Eligible Assignee” shall not include the Borrower, any Affiliate or Subsidiary of the Borrower, any Defaulting Lender or any Affiliate of any Defaulting Lender or any natural person.</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any and all foreign, Federal, state, local or municipal laws, rules, orders, regulations, statutes, ordinances, codes, decrees, requirements of any Governmental Authority or other Requirements of Law (including common law) regulating, relating to</w:t>
      </w:r>
    </w:p>
    <w:p>
      <w:pPr>
        <w:ind w:right="20"/>
        <w:spacing w:after="0" w:line="220" w:lineRule="auto"/>
        <w:rPr>
          <w:sz w:val="20"/>
          <w:szCs w:val="20"/>
          <w:color w:val="auto"/>
        </w:rPr>
      </w:pPr>
      <w:r>
        <w:rPr>
          <w:rFonts w:ascii="Arial" w:cs="Arial" w:eastAsia="Arial" w:hAnsi="Arial"/>
          <w:sz w:val="20"/>
          <w:szCs w:val="20"/>
          <w:color w:val="auto"/>
        </w:rPr>
        <w:t>or imposing liability or standards of conduct concerning protection of human health or the environment, as now or may at any time hereafter be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of any Person: (a) all common stock, preferred stock, participations, shares, partnership interests, limited liability</w:t>
      </w:r>
    </w:p>
    <w:p>
      <w:pPr>
        <w:spacing w:after="0" w:line="232" w:lineRule="auto"/>
        <w:rPr>
          <w:sz w:val="20"/>
          <w:szCs w:val="20"/>
          <w:color w:val="auto"/>
        </w:rPr>
      </w:pPr>
      <w:r>
        <w:rPr>
          <w:rFonts w:ascii="Arial" w:cs="Arial" w:eastAsia="Arial" w:hAnsi="Arial"/>
          <w:sz w:val="18"/>
          <w:szCs w:val="18"/>
          <w:color w:val="auto"/>
        </w:rPr>
        <w:t>company interests or other equity interests in and of such Person (regardless of how designated and whether or not voting or non-voting) and</w:t>
      </w:r>
    </w:p>
    <w:p>
      <w:pPr>
        <w:spacing w:after="0"/>
        <w:rPr>
          <w:sz w:val="20"/>
          <w:szCs w:val="20"/>
          <w:color w:val="auto"/>
        </w:rPr>
      </w:pPr>
      <w:r>
        <w:rPr>
          <w:rFonts w:ascii="Arial" w:cs="Arial" w:eastAsia="Arial" w:hAnsi="Arial"/>
          <w:sz w:val="20"/>
          <w:szCs w:val="20"/>
          <w:color w:val="auto"/>
        </w:rPr>
        <w:t>(b) all warrants, options and other rights to acquire any of the foregoing.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the Employee Retirement Income Security Act of 1974, as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as defined in Section 9.12(a).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Deficiency Assignment</w:t>
      </w:r>
      <w:r>
        <w:rPr>
          <w:rFonts w:ascii="Arial" w:cs="Arial" w:eastAsia="Arial" w:hAnsi="Arial"/>
          <w:sz w:val="20"/>
          <w:szCs w:val="20"/>
          <w:color w:val="auto"/>
        </w:rPr>
        <w:t>” : as defined in Section 9.12(d).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Impacted Loans</w:t>
      </w:r>
      <w:r>
        <w:rPr>
          <w:rFonts w:ascii="Arial" w:cs="Arial" w:eastAsia="Arial" w:hAnsi="Arial"/>
          <w:sz w:val="20"/>
          <w:szCs w:val="20"/>
          <w:color w:val="auto"/>
        </w:rPr>
        <w:t>” : as defined in Section 9.12(d).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Return Deficiency</w:t>
      </w:r>
      <w:r>
        <w:rPr>
          <w:rFonts w:ascii="Arial" w:cs="Arial" w:eastAsia="Arial" w:hAnsi="Arial"/>
          <w:sz w:val="20"/>
          <w:szCs w:val="20"/>
          <w:color w:val="auto"/>
        </w:rPr>
        <w:t>” : as defined in Section 9.12(d).</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Eurocurrency Liabilities</w:t>
      </w:r>
      <w:r>
        <w:rPr>
          <w:rFonts w:ascii="Arial" w:cs="Arial" w:eastAsia="Arial" w:hAnsi="Arial"/>
          <w:sz w:val="20"/>
          <w:szCs w:val="20"/>
          <w:color w:val="FF0000"/>
          <w:strike w:val="1"/>
        </w:rPr>
        <w:t>”: as defined</w:t>
      </w:r>
      <w:r>
        <w:rPr>
          <w:rFonts w:ascii="Arial" w:cs="Arial" w:eastAsia="Arial" w:hAnsi="Arial"/>
          <w:sz w:val="20"/>
          <w:szCs w:val="20"/>
          <w:color w:val="FF0000"/>
        </w:rPr>
        <w:t xml:space="preserve"> </w:t>
      </w:r>
      <w:r>
        <w:rPr>
          <w:rFonts w:ascii="Arial" w:cs="Arial" w:eastAsia="Arial" w:hAnsi="Arial"/>
          <w:sz w:val="20"/>
          <w:szCs w:val="20"/>
          <w:color w:val="00C000"/>
        </w:rPr>
        <w:t>in Regulation D of the Board</w:t>
      </w:r>
      <w:r>
        <w:rPr>
          <w:rFonts w:ascii="Arial" w:cs="Arial" w:eastAsia="Arial" w:hAnsi="Arial"/>
          <w:sz w:val="20"/>
          <w:szCs w:val="20"/>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-66040</wp:posOffset>
            </wp:positionV>
            <wp:extent cx="14935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Eurocurrency Reserve Requirements</w:t>
      </w:r>
      <w:r>
        <w:rPr>
          <w:rFonts w:ascii="Arial" w:cs="Arial" w:eastAsia="Arial" w:hAnsi="Arial"/>
          <w:sz w:val="16"/>
          <w:szCs w:val="16"/>
          <w:color w:val="FF0000"/>
          <w:strike w:val="1"/>
        </w:rPr>
        <w:t>”: of any Lender for any Interest Period as applied to a Eurodollar Loan, the reserve percentage</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FF0000"/>
          <w:strike w:val="1"/>
        </w:rPr>
        <w:t>applicable during such Interest Period (or if more than one such percentage shall be so applicable, the daily average of such percentages for those days in such Interest Period during which any such percentage shall be so applicable) under any</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 xml:space="preserve">regulations of the Board or other Governmental Authority having jurisdiction with respect to </w:t>
      </w:r>
      <w:r>
        <w:rPr>
          <w:rFonts w:ascii="Arial" w:cs="Arial" w:eastAsia="Arial" w:hAnsi="Arial"/>
          <w:sz w:val="18"/>
          <w:szCs w:val="18"/>
          <w:color w:val="00C000"/>
          <w:strike w:val="1"/>
        </w:rPr>
        <w:t>determining the maximum reserve requirement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00C000"/>
          <w:strike w:val="1"/>
        </w:rPr>
        <w:t xml:space="preserve">(including </w:t>
      </w:r>
      <w:r>
        <w:rPr>
          <w:rFonts w:ascii="Arial" w:cs="Arial" w:eastAsia="Arial" w:hAnsi="Arial"/>
          <w:sz w:val="20"/>
          <w:szCs w:val="20"/>
          <w:color w:val="FF0000"/>
          <w:strike w:val="1"/>
        </w:rPr>
        <w:t>basic, supplemental and emergency reserves) for such Lender with respect to liabilities or assets consisting of or including</w:t>
      </w:r>
      <w:r>
        <w:rPr>
          <w:rFonts w:ascii="Arial" w:cs="Arial" w:eastAsia="Arial" w:hAnsi="Arial"/>
          <w:sz w:val="20"/>
          <w:szCs w:val="20"/>
          <w:color w:val="00C000"/>
          <w:strike w:val="1"/>
        </w:rPr>
        <w:t xml:space="preserve"> </w:t>
      </w:r>
      <w:r>
        <w:rPr>
          <w:rFonts w:ascii="Arial" w:cs="Arial" w:eastAsia="Arial" w:hAnsi="Arial"/>
          <w:sz w:val="20"/>
          <w:szCs w:val="20"/>
          <w:color w:val="FF0000"/>
          <w:strike w:val="1"/>
        </w:rPr>
        <w:t>Eurocurrency Liabilities having a term equal to such Interest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Eurodollar Base Rate</w:t>
      </w:r>
      <w:r>
        <w:rPr>
          <w:rFonts w:ascii="Arial" w:cs="Arial" w:eastAsia="Arial" w:hAnsi="Arial"/>
          <w:sz w:val="18"/>
          <w:szCs w:val="18"/>
          <w:color w:val="FF0000"/>
          <w:strike w:val="1"/>
        </w:rPr>
        <w:t>”: subject to the implementation of a Benchmark Replacement in accordance with Section 2.12(c), with respect</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FF0000"/>
          <w:strike w:val="1"/>
        </w:rPr>
        <w:t>to each Interest Period pertaining to a Eurodollar Loan, the greater of (a) zero and (b) the rate per annum as published by the ICE Benchmark Administration Limited, a United Kingdom company, or a comparable or successor quoting service approved by the Administrative Agent, at</w:t>
      </w:r>
    </w:p>
    <w:p>
      <w:pPr>
        <w:spacing w:after="0" w:line="235" w:lineRule="auto"/>
        <w:rPr>
          <w:sz w:val="20"/>
          <w:szCs w:val="20"/>
          <w:color w:val="auto"/>
        </w:rPr>
      </w:pPr>
      <w:r>
        <w:rPr>
          <w:rFonts w:ascii="Arial" w:cs="Arial" w:eastAsia="Arial" w:hAnsi="Arial"/>
          <w:sz w:val="18"/>
          <w:szCs w:val="18"/>
          <w:color w:val="FF0000"/>
          <w:strike w:val="1"/>
        </w:rPr>
        <w:t>or about 11:00 a.m., London time (or as soon thereafter as practicable), two Business Days prior to the first day of such Interest Period, for</w:t>
      </w:r>
    </w:p>
    <w:p>
      <w:pPr>
        <w:spacing w:after="0" w:line="226" w:lineRule="auto"/>
        <w:rPr>
          <w:sz w:val="20"/>
          <w:szCs w:val="20"/>
          <w:color w:val="auto"/>
        </w:rPr>
      </w:pPr>
      <w:r>
        <w:rPr>
          <w:rFonts w:ascii="Arial" w:cs="Arial" w:eastAsia="Arial" w:hAnsi="Arial"/>
          <w:sz w:val="18"/>
          <w:szCs w:val="18"/>
          <w:color w:val="FF0000"/>
          <w:strike w:val="1"/>
        </w:rPr>
        <w:t>Dollar deposits being delivered in the London interbank eurodollar currency market for a term comparable to such Interest Period. In the event that such rate is not available as provided in the preceding sentence, the “Eurodollar Base Rate” shall be, at the Administrative Agent’s</w:t>
      </w:r>
    </w:p>
    <w:p>
      <w:pPr>
        <w:spacing w:after="0" w:line="224" w:lineRule="auto"/>
        <w:rPr>
          <w:sz w:val="20"/>
          <w:szCs w:val="20"/>
          <w:color w:val="auto"/>
        </w:rPr>
      </w:pPr>
      <w:r>
        <w:rPr>
          <w:rFonts w:ascii="Arial" w:cs="Arial" w:eastAsia="Arial" w:hAnsi="Arial"/>
          <w:sz w:val="19"/>
          <w:szCs w:val="19"/>
          <w:color w:val="FF0000"/>
          <w:strike w:val="1"/>
        </w:rPr>
        <w:t>discretion, (i) the rate per annum at which Dollar deposits are offered to the Administrative Agent in the London interbank eurodollar</w:t>
      </w:r>
    </w:p>
    <w:p>
      <w:pPr>
        <w:spacing w:after="0" w:line="226" w:lineRule="auto"/>
        <w:rPr>
          <w:sz w:val="20"/>
          <w:szCs w:val="20"/>
          <w:color w:val="auto"/>
        </w:rPr>
      </w:pPr>
      <w:r>
        <w:rPr>
          <w:rFonts w:ascii="Arial" w:cs="Arial" w:eastAsia="Arial" w:hAnsi="Arial"/>
          <w:sz w:val="18"/>
          <w:szCs w:val="18"/>
          <w:color w:val="FF0000"/>
          <w:strike w:val="1"/>
        </w:rPr>
        <w:t>currency market or (ii) the rate per annum at which Dollar deposits are offered to the Administrative Agent in, or by the Administrative Agent to major banks in, any offshore interbank market selected by the Administrative Agent, in each case on the second Business Day prior</w:t>
      </w:r>
    </w:p>
    <w:p>
      <w:pPr>
        <w:spacing w:after="0" w:line="236" w:lineRule="auto"/>
        <w:rPr>
          <w:sz w:val="20"/>
          <w:szCs w:val="20"/>
          <w:color w:val="auto"/>
        </w:rPr>
      </w:pPr>
      <w:r>
        <w:rPr>
          <w:rFonts w:ascii="Arial" w:cs="Arial" w:eastAsia="Arial" w:hAnsi="Arial"/>
          <w:sz w:val="18"/>
          <w:szCs w:val="18"/>
          <w:color w:val="FF0000"/>
          <w:strike w:val="1"/>
        </w:rPr>
        <w:t>to the commencement of such Interest Period at or about 11:00 a.m. London time (or as soon thereafter as practicable) (for delivery on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FF0000"/>
          <w:strike w:val="1"/>
        </w:rPr>
        <w:t>first day of such Interest Period) for a term comparable to such Interest Period and in an amount approximately equal to the amount of the Loan to be made or funded by the Lenders.</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FF0000"/>
          <w:strike w:val="1"/>
        </w:rPr>
        <w:t>Each calculation by the Administrative Agent of the Eurodollar Base Rate shall be conclusive and binding for all purposes, absent manifest error.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FF0000"/>
          <w:strike w:val="1"/>
        </w:rPr>
        <w:t>Notwithstanding the foregoing, (x) in no event shall the Eurodollar Base Rate (including, without limitation, any Benchmark</w:t>
      </w:r>
    </w:p>
    <w:p>
      <w:pPr>
        <w:spacing w:after="0" w:line="226" w:lineRule="auto"/>
        <w:rPr>
          <w:sz w:val="20"/>
          <w:szCs w:val="20"/>
          <w:color w:val="auto"/>
        </w:rPr>
      </w:pPr>
      <w:r>
        <w:rPr>
          <w:rFonts w:ascii="Arial" w:cs="Arial" w:eastAsia="Arial" w:hAnsi="Arial"/>
          <w:sz w:val="18"/>
          <w:szCs w:val="18"/>
          <w:color w:val="FF0000"/>
          <w:strike w:val="1"/>
        </w:rPr>
        <w:t>Replacement with respect thereto) be less than 0% and (y) unless otherwise specified in any amendment to this Agreement entered into in accordance with Section 2.12(c), in the event that a Benchmark Replacement with respect to the Eurodollar Base Rate is implemented, then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all references herein to Eurodollar Base Rate shall be deemed references to such Benchmark Replacement.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Eurodollar Loans</w:t>
      </w:r>
      <w:r>
        <w:rPr>
          <w:rFonts w:ascii="Arial" w:cs="Arial" w:eastAsia="Arial" w:hAnsi="Arial"/>
          <w:sz w:val="20"/>
          <w:szCs w:val="20"/>
          <w:color w:val="FF0000"/>
          <w:strike w:val="1"/>
        </w:rPr>
        <w:t>”: Loans the rate of interest applicable to which is based upon the Eurodollar Rate or Swingline Loans the rate of interest applicable to which is based upon the LIBOR Market Index Rate.</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Eurodollar Rate</w:t>
      </w:r>
      <w:r>
        <w:rPr>
          <w:rFonts w:ascii="Arial" w:cs="Arial" w:eastAsia="Arial" w:hAnsi="Arial"/>
          <w:sz w:val="20"/>
          <w:szCs w:val="20"/>
          <w:color w:val="FF0000"/>
          <w:strike w:val="1"/>
        </w:rPr>
        <w:t>”: with respect to each day during each Interest Period pertaining to a Eurodollar Loan, a rate per annum determined for such day in accordance with the following formula:</w:t>
      </w:r>
    </w:p>
    <w:p>
      <w:pPr>
        <w:spacing w:after="0" w:line="209" w:lineRule="exact"/>
        <w:rPr>
          <w:sz w:val="20"/>
          <w:szCs w:val="20"/>
          <w:color w:val="auto"/>
        </w:rPr>
      </w:pPr>
    </w:p>
    <w:p>
      <w:pPr>
        <w:ind w:left="2180"/>
        <w:spacing w:after="0"/>
        <w:rPr>
          <w:sz w:val="20"/>
          <w:szCs w:val="20"/>
          <w:color w:val="auto"/>
        </w:rPr>
      </w:pPr>
      <w:r>
        <w:rPr>
          <w:rFonts w:ascii="Arial" w:cs="Arial" w:eastAsia="Arial" w:hAnsi="Arial"/>
          <w:sz w:val="20"/>
          <w:szCs w:val="20"/>
          <w:color w:val="FF0000"/>
          <w:strike w:val="1"/>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-143510</wp:posOffset>
            </wp:positionV>
            <wp:extent cx="3034665" cy="3346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034665" cy="334645"/>
                    </a:xfrm>
                    <a:prstGeom prst="rect">
                      <a:avLst/>
                    </a:prstGeom>
                    <a:noFill/>
                  </pic:spPr>
                </pic:pic>
              </a:graphicData>
            </a:graphic>
          </wp:anchor>
        </w:drawing>
      </w:r>
    </w:p>
    <w:p>
      <w:pPr>
        <w:spacing w:after="0" w:line="20" w:lineRule="exact"/>
        <w:rPr>
          <w:sz w:val="20"/>
          <w:szCs w:val="20"/>
          <w:color w:val="auto"/>
        </w:rPr>
      </w:pPr>
    </w:p>
    <w:p>
      <w:pPr>
        <w:ind w:left="2180"/>
        <w:spacing w:after="0"/>
        <w:rPr>
          <w:sz w:val="20"/>
          <w:szCs w:val="20"/>
          <w:color w:val="auto"/>
        </w:rPr>
      </w:pPr>
      <w:r>
        <w:rPr>
          <w:rFonts w:ascii="Arial" w:cs="Arial" w:eastAsia="Arial" w:hAnsi="Arial"/>
          <w:sz w:val="20"/>
          <w:szCs w:val="20"/>
          <w:color w:val="FF0000"/>
          <w:strike w:val="1"/>
        </w:rPr>
        <w:t>1.00 - Eurocurrency Reserve Requirements</w:t>
      </w:r>
    </w:p>
    <w:p>
      <w:pPr>
        <w:spacing w:after="0" w:line="200" w:lineRule="exact"/>
        <w:rPr>
          <w:sz w:val="20"/>
          <w:szCs w:val="20"/>
          <w:color w:val="auto"/>
        </w:rPr>
      </w:pPr>
    </w:p>
    <w:p>
      <w:pPr>
        <w:spacing w:after="0" w:line="353"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Eurodollar</w:t>
      </w:r>
      <w:r>
        <w:rPr>
          <w:rFonts w:ascii="Arial" w:cs="Arial" w:eastAsia="Arial" w:hAnsi="Arial"/>
          <w:sz w:val="18"/>
          <w:szCs w:val="18"/>
          <w:color w:val="FF0000"/>
        </w:rPr>
        <w:t xml:space="preserve"> </w:t>
      </w:r>
      <w:r>
        <w:rPr>
          <w:rFonts w:ascii="Arial" w:cs="Arial" w:eastAsia="Arial" w:hAnsi="Arial"/>
          <w:sz w:val="18"/>
          <w:szCs w:val="18"/>
          <w:u w:val="single" w:color="auto"/>
          <w:color w:val="00C000"/>
        </w:rPr>
        <w:t>Tranche</w:t>
      </w:r>
      <w:r>
        <w:rPr>
          <w:rFonts w:ascii="Arial" w:cs="Arial" w:eastAsia="Arial" w:hAnsi="Arial"/>
          <w:sz w:val="18"/>
          <w:szCs w:val="18"/>
          <w:color w:val="00C000"/>
        </w:rPr>
        <w:t>”: the collective reference to</w:t>
      </w:r>
      <w:r>
        <w:rPr>
          <w:rFonts w:ascii="Arial" w:cs="Arial" w:eastAsia="Arial" w:hAnsi="Arial"/>
          <w:sz w:val="18"/>
          <w:szCs w:val="18"/>
          <w:color w:val="FF0000"/>
        </w:rPr>
        <w:t xml:space="preserve"> </w:t>
      </w:r>
      <w:r>
        <w:rPr>
          <w:rFonts w:ascii="Arial" w:cs="Arial" w:eastAsia="Arial" w:hAnsi="Arial"/>
          <w:sz w:val="18"/>
          <w:szCs w:val="18"/>
          <w:color w:val="FF0000"/>
          <w:strike w:val="1"/>
        </w:rPr>
        <w:t>Eurodollar</w:t>
      </w:r>
      <w:r>
        <w:rPr>
          <w:rFonts w:ascii="Arial" w:cs="Arial" w:eastAsia="Arial" w:hAnsi="Arial"/>
          <w:sz w:val="18"/>
          <w:szCs w:val="18"/>
          <w:color w:val="FF0000"/>
        </w:rPr>
        <w:t xml:space="preserve"> </w:t>
      </w:r>
      <w:r>
        <w:rPr>
          <w:rFonts w:ascii="Arial" w:cs="Arial" w:eastAsia="Arial" w:hAnsi="Arial"/>
          <w:sz w:val="18"/>
          <w:szCs w:val="18"/>
          <w:color w:val="00C000"/>
          <w:strike w:val="1"/>
        </w:rPr>
        <w:t>Loans the then current Interest Periods with respect to all of which begin</w:t>
      </w:r>
      <w:r>
        <w:rPr>
          <w:rFonts w:ascii="Arial" w:cs="Arial" w:eastAsia="Arial" w:hAnsi="Arial"/>
          <w:sz w:val="18"/>
          <w:szCs w:val="18"/>
          <w:color w:val="FF0000"/>
        </w:rPr>
        <w:t xml:space="preserve"> </w:t>
      </w:r>
      <w:r>
        <w:rPr>
          <w:rFonts w:ascii="Arial" w:cs="Arial" w:eastAsia="Arial" w:hAnsi="Arial"/>
          <w:sz w:val="18"/>
          <w:szCs w:val="18"/>
          <w:color w:val="00C000"/>
          <w:strike w:val="1"/>
        </w:rPr>
        <w:t>on the same date and end on the same later date (whether or not such Loans shall originally have been made on the same day)</w:t>
      </w:r>
      <w:r>
        <w:rPr>
          <w:rFonts w:ascii="Arial" w:cs="Arial" w:eastAsia="Arial" w:hAnsi="Arial"/>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-232410</wp:posOffset>
            </wp:positionV>
            <wp:extent cx="18929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9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any of the events specified in Section 8,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the giving of notice, the lapse of time, or both, has been satisfied.</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Securities Exchange Act of 1934, as amended.</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Executive Order No. 13224 on Terrorist Financings: - Blocking Property and Prohibiting Transactions With Persons Who Commit, Threaten To Commit, or Support Terrorism issued on 23rd September, 2001, as amended by Order No. 13268 and as</w:t>
      </w:r>
    </w:p>
    <w:p>
      <w:pPr>
        <w:spacing w:after="0"/>
        <w:rPr>
          <w:sz w:val="20"/>
          <w:szCs w:val="20"/>
          <w:color w:val="auto"/>
        </w:rPr>
      </w:pPr>
      <w:r>
        <w:rPr>
          <w:rFonts w:ascii="Arial" w:cs="Arial" w:eastAsia="Arial" w:hAnsi="Arial"/>
          <w:sz w:val="20"/>
          <w:szCs w:val="20"/>
          <w:color w:val="auto"/>
        </w:rPr>
        <w:t>further amended after the date 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as defined in the recitals hereto.</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as to any Lender at any time, an amount equal to the sum of (a) the aggregate principal amount of all Revolving Loans held by such Lender then outstanding, (b) such Lender’s Percentage of the L/C Obligations then outstanding, (c) such</w:t>
      </w:r>
    </w:p>
    <w:p>
      <w:pPr>
        <w:spacing w:after="0" w:line="220" w:lineRule="auto"/>
        <w:rPr>
          <w:sz w:val="20"/>
          <w:szCs w:val="20"/>
          <w:color w:val="auto"/>
        </w:rPr>
      </w:pPr>
      <w:r>
        <w:rPr>
          <w:rFonts w:ascii="Arial" w:cs="Arial" w:eastAsia="Arial" w:hAnsi="Arial"/>
          <w:sz w:val="20"/>
          <w:szCs w:val="20"/>
          <w:color w:val="auto"/>
        </w:rPr>
        <w:t>Lender’s Percentage of the aggregate principal amount of Swingline Loans then outstanding and (d) the aggregate principal amount of all Term Loans held by such Lender then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Accounting Standards Codification of the Financial Accounting Standards Board.</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Sections 1471 through 1474 of the Code, as of the date of this Agreement (or any amended or successor version that is substantively comparable and not materially more onerous to comply with), any current or future regulations or official interpretations</w:t>
      </w:r>
    </w:p>
    <w:p>
      <w:pPr>
        <w:spacing w:after="0"/>
        <w:rPr>
          <w:sz w:val="20"/>
          <w:szCs w:val="20"/>
          <w:color w:val="auto"/>
        </w:rPr>
      </w:pPr>
      <w:r>
        <w:rPr>
          <w:rFonts w:ascii="Arial" w:cs="Arial" w:eastAsia="Arial" w:hAnsi="Arial"/>
          <w:sz w:val="20"/>
          <w:szCs w:val="20"/>
          <w:color w:val="auto"/>
        </w:rPr>
        <w:t>thereof and any agreement entered into pursuant to Section 1471(b)(1) of the Code.</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for any day, the weighted average of the rates on overnight federal funds transactions with members of the Federal Reserve System, as published on the next succeeding Business Day by the Federal Reserve Bank of New York, or, if such rate</w:t>
      </w:r>
    </w:p>
    <w:p>
      <w:pPr>
        <w:spacing w:after="0" w:line="223" w:lineRule="auto"/>
        <w:rPr>
          <w:sz w:val="20"/>
          <w:szCs w:val="20"/>
          <w:color w:val="auto"/>
        </w:rPr>
      </w:pPr>
      <w:r>
        <w:rPr>
          <w:rFonts w:ascii="Arial" w:cs="Arial" w:eastAsia="Arial" w:hAnsi="Arial"/>
          <w:sz w:val="19"/>
          <w:szCs w:val="19"/>
          <w:color w:val="auto"/>
        </w:rPr>
        <w:t>is not so published for any day that is a Business Day, the average of the quotations for the day of such transactions received by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Administrative Agent from three federal funds brokers of recognized standing selected by it. Notwithstanding the foregoing, if the Federal Funds Effective Rate shall be less than zero, such rate shall be deemed to be zero for purposes of this Agreement.</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collectively, (a) the letter agreement dated as of August 2, 2021, between the Borrower and the Lead Arranger regarding certain fees payable by the Borrower to the Administrative Agent and the Lead Arranger as expressly indicated therein, and (b)</w:t>
      </w:r>
    </w:p>
    <w:p>
      <w:pPr>
        <w:spacing w:after="0"/>
        <w:rPr>
          <w:sz w:val="20"/>
          <w:szCs w:val="20"/>
          <w:color w:val="auto"/>
        </w:rPr>
      </w:pPr>
      <w:r>
        <w:rPr>
          <w:rFonts w:ascii="Arial" w:cs="Arial" w:eastAsia="Arial" w:hAnsi="Arial"/>
          <w:sz w:val="20"/>
          <w:szCs w:val="20"/>
          <w:color w:val="auto"/>
        </w:rPr>
        <w:t>each other letter agreement between the Borrower and any other arranger or agent hereunder.</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Payment Date</w:t>
      </w:r>
      <w:r>
        <w:rPr>
          <w:rFonts w:ascii="Arial" w:cs="Arial" w:eastAsia="Arial" w:hAnsi="Arial"/>
          <w:sz w:val="16"/>
          <w:szCs w:val="16"/>
          <w:color w:val="auto"/>
        </w:rPr>
        <w:t>”: (a) the last day of each calendar quarter during the Commitment Period, (b) the last day of the Commitment Period and (c) the last day of each calendar quarter after the last day of the Commitment Period, so long as any principal amount of the Loans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any Reimbursement Obligations remain outstanding after the last day of the Commitment Period.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October 20,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xml:space="preserve">”: </w:t>
      </w:r>
      <w:r>
        <w:rPr>
          <w:rFonts w:ascii="Arial" w:cs="Arial" w:eastAsia="Arial" w:hAnsi="Arial"/>
          <w:sz w:val="20"/>
          <w:szCs w:val="20"/>
          <w:color w:val="FF0000"/>
          <w:strike w:val="1"/>
        </w:rPr>
        <w:t>the benchmark rate floor, if any, provided in this Agreement initially (as of the execution of this Agreement, the</w:t>
      </w:r>
      <w:r>
        <w:rPr>
          <w:rFonts w:ascii="Arial" w:cs="Arial" w:eastAsia="Arial" w:hAnsi="Arial"/>
          <w:sz w:val="20"/>
          <w:szCs w:val="20"/>
          <w:color w:val="auto"/>
        </w:rPr>
        <w:t xml:space="preserve"> </w:t>
      </w:r>
      <w:r>
        <w:rPr>
          <w:rFonts w:ascii="Arial" w:cs="Arial" w:eastAsia="Arial" w:hAnsi="Arial"/>
          <w:sz w:val="20"/>
          <w:szCs w:val="20"/>
          <w:color w:val="FF0000"/>
          <w:strike w:val="1"/>
        </w:rPr>
        <w:t>modification, amendment or renewal of this Agreement or otherwise) with respect to USD LIBOR, which is 0% as of the Effective Date</w:t>
      </w:r>
      <w:r>
        <w:rPr>
          <w:rFonts w:ascii="Arial" w:cs="Arial" w:eastAsia="Arial" w:hAnsi="Arial"/>
          <w:sz w:val="20"/>
          <w:szCs w:val="20"/>
          <w:u w:val="single" w:color="auto"/>
          <w:color w:val="0000FF"/>
          <w:strike w:val="1"/>
        </w:rPr>
        <w:t>a rate</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of interest equal to 0%</w:t>
      </w:r>
      <w:r>
        <w:rPr>
          <w:rFonts w:ascii="Arial" w:cs="Arial" w:eastAsia="Arial" w:hAnsi="Arial"/>
          <w:sz w:val="20"/>
          <w:szCs w:val="20"/>
          <w:color w:val="000000"/>
          <w:strike w:val="1"/>
        </w:rPr>
        <w:t>.</w:t>
      </w:r>
    </w:p>
    <w:p>
      <w:pPr>
        <w:spacing w:after="0" w:line="157"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Office</w:t>
      </w:r>
      <w:r>
        <w:rPr>
          <w:rFonts w:ascii="Arial" w:cs="Arial" w:eastAsia="Arial" w:hAnsi="Arial"/>
          <w:sz w:val="20"/>
          <w:szCs w:val="20"/>
          <w:color w:val="auto"/>
        </w:rPr>
        <w:t>”: the office of the Administrative Agent specified in Section 10.2 or such other office as may be specified from time to time by the Administrative Agent as its funding office by written notice to the Borrower and the Lenders.</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and, except as noted below, determined on the basis of such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principles in effect on the date hereof and consistent with those used in the preparation of the most recent audited financial statements referred to in Section 4.1. In the event that any “Change in Accounting Principles” (as defined below) shall occur and such change results in a</w:t>
      </w:r>
    </w:p>
    <w:p>
      <w:pPr>
        <w:spacing w:after="0" w:line="236" w:lineRule="auto"/>
        <w:rPr>
          <w:sz w:val="20"/>
          <w:szCs w:val="20"/>
          <w:color w:val="auto"/>
        </w:rPr>
      </w:pPr>
      <w:r>
        <w:rPr>
          <w:rFonts w:ascii="Arial" w:cs="Arial" w:eastAsia="Arial" w:hAnsi="Arial"/>
          <w:sz w:val="18"/>
          <w:szCs w:val="18"/>
          <w:color w:val="auto"/>
        </w:rPr>
        <w:t>change in the method of calculation of financial covenants, standards or terms in this Agreement, then, upon the request of the Borrower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Administrative Agent, the Borrower and the Administrative Agent agree to enter into negotiations in order to amend such provisions of this Agreement so as to reflect equitably such Change in Accounting Principles with the desired result that the criteria for evaluating the</w:t>
      </w:r>
    </w:p>
    <w:p>
      <w:pPr>
        <w:spacing w:after="0" w:line="236" w:lineRule="auto"/>
        <w:rPr>
          <w:sz w:val="20"/>
          <w:szCs w:val="20"/>
          <w:color w:val="auto"/>
        </w:rPr>
      </w:pPr>
      <w:r>
        <w:rPr>
          <w:rFonts w:ascii="Arial" w:cs="Arial" w:eastAsia="Arial" w:hAnsi="Arial"/>
          <w:sz w:val="18"/>
          <w:szCs w:val="18"/>
          <w:color w:val="auto"/>
        </w:rPr>
        <w:t>Borrower’s financial condition shall be the same after such Change in Accounting Principles as if such Change in Accounting Principles had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 been made. Until such time as such an amendment shall have been executed and delivered by the Borrower, the Administrative Agent and the Required Lenders, all financial covenants, standards and terms in this Agreement shall continue to be calculated or construed as if</w:t>
      </w:r>
    </w:p>
    <w:p>
      <w:pPr>
        <w:spacing w:after="0" w:line="224" w:lineRule="auto"/>
        <w:rPr>
          <w:sz w:val="20"/>
          <w:szCs w:val="20"/>
          <w:color w:val="auto"/>
        </w:rPr>
      </w:pPr>
      <w:r>
        <w:rPr>
          <w:rFonts w:ascii="Arial" w:cs="Arial" w:eastAsia="Arial" w:hAnsi="Arial"/>
          <w:sz w:val="19"/>
          <w:szCs w:val="19"/>
          <w:color w:val="auto"/>
        </w:rPr>
        <w:t>such Change in Accounting Principles had not occurred. “</w:t>
      </w:r>
      <w:r>
        <w:rPr>
          <w:rFonts w:ascii="Arial" w:cs="Arial" w:eastAsia="Arial" w:hAnsi="Arial"/>
          <w:sz w:val="19"/>
          <w:szCs w:val="19"/>
          <w:u w:val="single" w:color="auto"/>
          <w:color w:val="auto"/>
        </w:rPr>
        <w:t>Change in Accounting Principles</w:t>
      </w:r>
      <w:r>
        <w:rPr>
          <w:rFonts w:ascii="Arial" w:cs="Arial" w:eastAsia="Arial" w:hAnsi="Arial"/>
          <w:sz w:val="19"/>
          <w:szCs w:val="19"/>
          <w:color w:val="auto"/>
        </w:rPr>
        <w:t>” refers to changes in accounting principles</w:t>
      </w:r>
    </w:p>
    <w:p>
      <w:pPr>
        <w:spacing w:after="0" w:line="220" w:lineRule="auto"/>
        <w:rPr>
          <w:sz w:val="20"/>
          <w:szCs w:val="20"/>
          <w:color w:val="auto"/>
        </w:rPr>
      </w:pPr>
      <w:r>
        <w:rPr>
          <w:rFonts w:ascii="Arial" w:cs="Arial" w:eastAsia="Arial" w:hAnsi="Arial"/>
          <w:sz w:val="20"/>
          <w:szCs w:val="20"/>
          <w:color w:val="auto"/>
        </w:rPr>
        <w:t>required by the promulgation of any rule, regulation, pronouncement or opinion by the Financial Accounting Standards Board or any successor thereto, the SEC or, if applicable, the Public Company Accounting Oversight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any nation or government, any state or other political subdivision thereof, any agency, authority,</w:t>
      </w:r>
    </w:p>
    <w:p>
      <w:pPr>
        <w:spacing w:after="0" w:line="226" w:lineRule="auto"/>
        <w:rPr>
          <w:sz w:val="20"/>
          <w:szCs w:val="20"/>
          <w:color w:val="auto"/>
        </w:rPr>
      </w:pPr>
      <w:r>
        <w:rPr>
          <w:rFonts w:ascii="Arial" w:cs="Arial" w:eastAsia="Arial" w:hAnsi="Arial"/>
          <w:sz w:val="18"/>
          <w:szCs w:val="18"/>
          <w:color w:val="auto"/>
        </w:rPr>
        <w:t>instrumentality, regulatory body, court, central bank or other entity exercising executive, legislative, judicial, taxing, regulatory or administrative functions of or pertaining to government, any securities exchange and any self-regulatory organization (including the National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Association of Insurance Commissioners).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w:t>
      </w:r>
      <w:r>
        <w:rPr>
          <w:rFonts w:ascii="Arial" w:cs="Arial" w:eastAsia="Arial" w:hAnsi="Arial"/>
          <w:sz w:val="18"/>
          <w:szCs w:val="18"/>
          <w:color w:val="auto"/>
        </w:rPr>
        <w:t>”: as to any Person (the “</w:t>
      </w:r>
      <w:r>
        <w:rPr>
          <w:rFonts w:ascii="Arial" w:cs="Arial" w:eastAsia="Arial" w:hAnsi="Arial"/>
          <w:sz w:val="18"/>
          <w:szCs w:val="18"/>
          <w:u w:val="single" w:color="auto"/>
          <w:color w:val="auto"/>
        </w:rPr>
        <w:t>guaranteeing person</w:t>
      </w:r>
      <w:r>
        <w:rPr>
          <w:rFonts w:ascii="Arial" w:cs="Arial" w:eastAsia="Arial" w:hAnsi="Arial"/>
          <w:sz w:val="18"/>
          <w:szCs w:val="18"/>
          <w:color w:val="auto"/>
        </w:rPr>
        <w:t>”), any obligation, including a reimbursement, counterindemnity or similar obligation, of the guaranteeing person that guarantees any Indebtedness, leases, dividends or other obligations (the “</w:t>
      </w:r>
      <w:r>
        <w:rPr>
          <w:rFonts w:ascii="Arial" w:cs="Arial" w:eastAsia="Arial" w:hAnsi="Arial"/>
          <w:sz w:val="18"/>
          <w:szCs w:val="18"/>
          <w:u w:val="single" w:color="auto"/>
          <w:color w:val="auto"/>
        </w:rPr>
        <w:t>primary</w:t>
      </w:r>
    </w:p>
    <w:p>
      <w:pPr>
        <w:spacing w:after="0" w:line="226" w:lineRule="auto"/>
        <w:rPr>
          <w:sz w:val="20"/>
          <w:szCs w:val="20"/>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of any other third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including any obligation of the guaranteeing person, whether or not contingent, (a) to purchase any such primary obligation or any property constituting direct or indirect</w:t>
      </w:r>
    </w:p>
    <w:p>
      <w:pPr>
        <w:spacing w:after="0" w:line="236" w:lineRule="auto"/>
        <w:rPr>
          <w:sz w:val="20"/>
          <w:szCs w:val="20"/>
          <w:color w:val="auto"/>
        </w:rPr>
      </w:pPr>
      <w:r>
        <w:rPr>
          <w:rFonts w:ascii="Arial" w:cs="Arial" w:eastAsia="Arial" w:hAnsi="Arial"/>
          <w:sz w:val="18"/>
          <w:szCs w:val="18"/>
          <w:color w:val="auto"/>
        </w:rPr>
        <w:t>security therefor, (b) to advance or supply funds (i) for the purchase or payment of any such primary obligation or (ii) to maintain working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capital or equity capital of the primary obligor or otherwise to maintain the net worth or solvency of the primary obligor, (c) to purchase property, securities or services primarily for the purpose of assuring the owner of any such primary obligation of the ability of the primary</w:t>
      </w:r>
    </w:p>
    <w:p>
      <w:pPr>
        <w:spacing w:after="0" w:line="236" w:lineRule="auto"/>
        <w:rPr>
          <w:sz w:val="20"/>
          <w:szCs w:val="20"/>
          <w:color w:val="auto"/>
        </w:rPr>
      </w:pPr>
      <w:r>
        <w:rPr>
          <w:rFonts w:ascii="Arial" w:cs="Arial" w:eastAsia="Arial" w:hAnsi="Arial"/>
          <w:sz w:val="18"/>
          <w:szCs w:val="18"/>
          <w:color w:val="auto"/>
        </w:rPr>
        <w:t>obligor to make payment of such primary obligation, (d) otherwise to assure or hold harmless the owner of any such primary obligation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against loss in respect thereof or (e) to reimburse or indemnify an issuer of a letter of credit, surety bond or guarantee issued by such issuer in respect of primary obligations of a primary obligor other than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w:t>
      </w:r>
    </w:p>
    <w:p>
      <w:pPr>
        <w:spacing w:after="0" w:line="236" w:lineRule="auto"/>
        <w:rPr>
          <w:sz w:val="20"/>
          <w:szCs w:val="20"/>
          <w:color w:val="auto"/>
        </w:rPr>
      </w:pPr>
      <w:r>
        <w:rPr>
          <w:rFonts w:ascii="Arial" w:cs="Arial" w:eastAsia="Arial" w:hAnsi="Arial"/>
          <w:sz w:val="18"/>
          <w:szCs w:val="18"/>
          <w:color w:val="auto"/>
        </w:rPr>
        <w:t>Obligation shall not include endorsements of instruments for deposit or collection in the ordinary course of business. The amount of any</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Guarantee Obligation of any guaranteeing person shall be the maximum amount for which such guaranteeing person may be liable pursuant to the terms of the instrument embodying such Guarantee Obligation.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as defined in Section 2.19(d).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Lenders</w:t>
      </w:r>
      <w:r>
        <w:rPr>
          <w:rFonts w:ascii="Arial" w:cs="Arial" w:eastAsia="Arial" w:hAnsi="Arial"/>
          <w:sz w:val="20"/>
          <w:szCs w:val="20"/>
          <w:color w:val="auto"/>
        </w:rPr>
        <w:t>”: as defined in Section 2.19(a).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Increase</w:t>
      </w:r>
      <w:r>
        <w:rPr>
          <w:rFonts w:ascii="Arial" w:cs="Arial" w:eastAsia="Arial" w:hAnsi="Arial"/>
          <w:sz w:val="20"/>
          <w:szCs w:val="20"/>
          <w:color w:val="auto"/>
        </w:rPr>
        <w:t>”: as defined in Section 2.19(a).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as defined in Section 2.19(a).</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xml:space="preserve"> ”: of any Person at any date, without duplication, (a) all obligations of such Person for borrowed money (including convertible notes), (b) all obligations of such Person for</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deferred purchase price of property or services (other than trade payables incurred in the ordinary course of such Person’s business that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are payable on terms customary in the trade), (c) all obligations of such Person evidenced by notes, bonds, debentures or other similar instruments, (d) all indebtedness created or arising under any conditional sale or other title retention agreement with respect to property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acquired by such Person (even though the rights and remedies of the seller or lender under such agreement in the event of default are limited</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to repossession or sale of such property), (e) all obligations of such Person, contingent or otherwise, as an account party or applicant under or in respect of acceptances, letters of credit, surety bonds or similar arrangements (other than reimbursement obligations, which are not due and</w:t>
      </w:r>
    </w:p>
    <w:p>
      <w:pPr>
        <w:spacing w:after="0" w:line="235" w:lineRule="auto"/>
        <w:rPr>
          <w:sz w:val="20"/>
          <w:szCs w:val="20"/>
          <w:color w:val="auto"/>
        </w:rPr>
      </w:pPr>
      <w:r>
        <w:rPr>
          <w:rFonts w:ascii="Arial" w:cs="Arial" w:eastAsia="Arial" w:hAnsi="Arial"/>
          <w:sz w:val="18"/>
          <w:szCs w:val="18"/>
          <w:color w:val="auto"/>
        </w:rPr>
        <w:t>payable on such date, in respect of documentary letters of credit issued to provide for the payment of goods and services in the ordinary</w:t>
      </w:r>
    </w:p>
    <w:p>
      <w:pPr>
        <w:spacing w:after="0" w:line="226" w:lineRule="auto"/>
        <w:rPr>
          <w:sz w:val="20"/>
          <w:szCs w:val="20"/>
          <w:color w:val="auto"/>
        </w:rPr>
      </w:pPr>
      <w:r>
        <w:rPr>
          <w:rFonts w:ascii="Arial" w:cs="Arial" w:eastAsia="Arial" w:hAnsi="Arial"/>
          <w:sz w:val="18"/>
          <w:szCs w:val="18"/>
          <w:color w:val="auto"/>
        </w:rPr>
        <w:t>course of business), (f) net mark to market exposures under Swap Agreements and other financial contracts, other than the use of short-term hedges for risk management purposes, (g) off-balance sheet liabilities, including synthetic leases, but excluding operating leases as defined</w:t>
      </w:r>
    </w:p>
    <w:p>
      <w:pPr>
        <w:spacing w:after="0" w:line="236" w:lineRule="auto"/>
        <w:rPr>
          <w:sz w:val="20"/>
          <w:szCs w:val="20"/>
          <w:color w:val="auto"/>
        </w:rPr>
      </w:pPr>
      <w:r>
        <w:rPr>
          <w:rFonts w:ascii="Arial" w:cs="Arial" w:eastAsia="Arial" w:hAnsi="Arial"/>
          <w:sz w:val="18"/>
          <w:szCs w:val="18"/>
          <w:color w:val="auto"/>
        </w:rPr>
        <w:t>by GAAP, (h) all obligations of such Person under Capital Leases, (i) indebtedness attributable to permitted securitization transactions, (j)</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any other obligation for borrowed money or other financial accommodation which in accordance with GAAP would be shown as a liability on a consolidated balance sheet (subject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below), (k) all Guarantee Obligations or contingent obligations of such Person in</w:t>
      </w:r>
    </w:p>
    <w:p>
      <w:pPr>
        <w:spacing w:after="0" w:line="224" w:lineRule="auto"/>
        <w:rPr>
          <w:sz w:val="20"/>
          <w:szCs w:val="20"/>
          <w:color w:val="auto"/>
        </w:rPr>
      </w:pPr>
      <w:r>
        <w:rPr>
          <w:rFonts w:ascii="Arial" w:cs="Arial" w:eastAsia="Arial" w:hAnsi="Arial"/>
          <w:sz w:val="19"/>
          <w:szCs w:val="19"/>
          <w:color w:val="auto"/>
        </w:rPr>
        <w:t>respect of obligations of the kind referred to in clauses (a) through (j) above, and (l) all obligations of the kind referred to in clauses (a)</w:t>
      </w:r>
    </w:p>
    <w:p>
      <w:pPr>
        <w:spacing w:after="0" w:line="226" w:lineRule="auto"/>
        <w:rPr>
          <w:sz w:val="20"/>
          <w:szCs w:val="20"/>
          <w:color w:val="auto"/>
        </w:rPr>
      </w:pPr>
      <w:r>
        <w:rPr>
          <w:rFonts w:ascii="Arial" w:cs="Arial" w:eastAsia="Arial" w:hAnsi="Arial"/>
          <w:sz w:val="18"/>
          <w:szCs w:val="18"/>
          <w:color w:val="auto"/>
        </w:rPr>
        <w:t>through (k) above secured by (or for which the holder of such obligation has an existing right, contingent or otherwise, to be secured by) any Lien on property (including accounts and contract rights) owned by such Person, whether or not such Person has assumed or become liable</w:t>
      </w:r>
    </w:p>
    <w:p>
      <w:pPr>
        <w:spacing w:after="0" w:line="236" w:lineRule="auto"/>
        <w:rPr>
          <w:sz w:val="20"/>
          <w:szCs w:val="20"/>
          <w:color w:val="auto"/>
        </w:rPr>
      </w:pPr>
      <w:r>
        <w:rPr>
          <w:rFonts w:ascii="Arial" w:cs="Arial" w:eastAsia="Arial" w:hAnsi="Arial"/>
          <w:sz w:val="18"/>
          <w:szCs w:val="18"/>
          <w:color w:val="auto"/>
        </w:rPr>
        <w:t>for the payment of such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Person is not liable for such obligation, the amount of such Person’s Indebtedness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 respect thereto shall be deemed to be the lesser of the stated amount of such obligation and the value of the property subject to such Lien). The Indebtedness of any Person shall include the Indebtedness of any other entity (including any partnership in which such Person is a</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Industrial Loan Corporation</w:t>
      </w:r>
      <w:r>
        <w:rPr>
          <w:rFonts w:ascii="Arial" w:cs="Arial" w:eastAsia="Arial" w:hAnsi="Arial"/>
          <w:sz w:val="18"/>
          <w:szCs w:val="18"/>
          <w:color w:val="auto"/>
        </w:rPr>
        <w:t>”: a financial institution chartered under the laws of any state as an industrial bank, industrial loan and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thrift, or industrial loan company, or any other Person contemplated by 15 U.S.C. 1679(a)(3)(b)(iii), that is not subject to regulation under the Bank Holding Company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the term loan made, or to be made, to the Borrower by the Term Loan Lenders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aggregate principal amount of the Initial Term Loan on the First Amendment Effective Date shall be $300,000,000 and the principal amount of the Initial Term Loan amount of each Term Loan Lender as of the First Amendment Effective Date is set forth opposite the name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of such Term Loan Lender on </w:t>
      </w:r>
      <w:r>
        <w:rPr>
          <w:rFonts w:ascii="Arial" w:cs="Arial" w:eastAsia="Arial" w:hAnsi="Arial"/>
          <w:sz w:val="20"/>
          <w:szCs w:val="20"/>
          <w:u w:val="single" w:color="auto"/>
          <w:color w:val="auto"/>
        </w:rPr>
        <w:t>Schedule 1.1A</w:t>
      </w:r>
      <w:r>
        <w:rPr>
          <w:rFonts w:ascii="Arial" w:cs="Arial" w:eastAsia="Arial" w:hAnsi="Arial"/>
          <w:sz w:val="20"/>
          <w:szCs w:val="20"/>
          <w:color w:val="auto"/>
        </w:rPr>
        <w: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w:t>
      </w:r>
      <w:r>
        <w:rPr>
          <w:rFonts w:ascii="Arial" w:cs="Arial" w:eastAsia="Arial" w:hAnsi="Arial"/>
          <w:sz w:val="20"/>
          <w:szCs w:val="20"/>
          <w:color w:val="auto"/>
        </w:rPr>
        <w:t>”: with respect to any Multiemployer Plan, the condition that such Plan is insolvent within the meaning of Section 4245 of ERISA.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Insolvent</w:t>
      </w:r>
      <w:r>
        <w:rPr>
          <w:rFonts w:ascii="Arial" w:cs="Arial" w:eastAsia="Arial" w:hAnsi="Arial"/>
          <w:sz w:val="20"/>
          <w:szCs w:val="20"/>
          <w:color w:val="auto"/>
        </w:rPr>
        <w:t>”: pertaining to a condition of Insolvency.</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for any four consecutive fiscal quarter period, the ratio of (a) EBITDA of the Borrower and its Subsidiaries for such period to (b) Interest Expense for the Borrower and its Subsidiaries for such period (in each case determined on a</w:t>
      </w:r>
    </w:p>
    <w:p>
      <w:pPr>
        <w:spacing w:after="0"/>
        <w:rPr>
          <w:sz w:val="20"/>
          <w:szCs w:val="20"/>
          <w:color w:val="auto"/>
        </w:rPr>
      </w:pPr>
      <w:r>
        <w:rPr>
          <w:rFonts w:ascii="Arial" w:cs="Arial" w:eastAsia="Arial" w:hAnsi="Arial"/>
          <w:sz w:val="20"/>
          <w:szCs w:val="20"/>
          <w:color w:val="auto"/>
        </w:rPr>
        <w:t>consolidated basis without duplication in accordance with GAAP).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for any period, total interest expense for such period determined on a consolidated basis in accordance with</w:t>
      </w:r>
    </w:p>
    <w:p>
      <w:pPr>
        <w:spacing w:after="0"/>
        <w:rPr>
          <w:sz w:val="20"/>
          <w:szCs w:val="20"/>
          <w:color w:val="auto"/>
        </w:rPr>
      </w:pPr>
      <w:r>
        <w:rPr>
          <w:rFonts w:ascii="Arial" w:cs="Arial" w:eastAsia="Arial" w:hAnsi="Arial"/>
          <w:sz w:val="20"/>
          <w:szCs w:val="20"/>
          <w:color w:val="auto"/>
        </w:rPr>
        <w:t>GAAP.</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ABR Loan, the last day of each calendar quarter to occur while such Loan is outstanding and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the final maturity date of such Loan, (b) as to any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 having an Interest Period of three months or less, the last day of such Interest Period, (c) as to any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 having an Interest Period longer than three months, each day that is three months, or</w:t>
      </w:r>
    </w:p>
    <w:p>
      <w:pPr>
        <w:spacing w:after="0" w:line="235" w:lineRule="auto"/>
        <w:rPr>
          <w:sz w:val="20"/>
          <w:szCs w:val="20"/>
          <w:color w:val="auto"/>
        </w:rPr>
      </w:pPr>
      <w:r>
        <w:rPr>
          <w:rFonts w:ascii="Arial" w:cs="Arial" w:eastAsia="Arial" w:hAnsi="Arial"/>
          <w:sz w:val="18"/>
          <w:szCs w:val="18"/>
          <w:color w:val="auto"/>
        </w:rPr>
        <w:t xml:space="preserve">a whole multiple thereof, after the first day of such Interest Period and the last day of such Interest Period, (d) as to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p>
    <w:p>
      <w:pPr>
        <w:ind w:right="20"/>
        <w:spacing w:after="0" w:line="220" w:lineRule="auto"/>
        <w:rPr>
          <w:sz w:val="20"/>
          <w:szCs w:val="20"/>
          <w:color w:val="auto"/>
        </w:rPr>
      </w:pPr>
      <w:r>
        <w:rPr>
          <w:rFonts w:ascii="Arial" w:cs="Arial" w:eastAsia="Arial" w:hAnsi="Arial"/>
          <w:sz w:val="20"/>
          <w:szCs w:val="20"/>
          <w:color w:val="auto"/>
        </w:rPr>
        <w:t>Loan, the date of any repayment or prepayment made in respect thereof, and (e) as to any Swingline Loan, the day that such Loan is required to be repaid.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as to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w:t>
      </w:r>
      <w:r>
        <w:rPr>
          <w:rFonts w:ascii="Arial" w:cs="Arial" w:eastAsia="Arial" w:hAnsi="Arial"/>
          <w:sz w:val="18"/>
          <w:szCs w:val="18"/>
          <w:color w:val="FF0000"/>
          <w:strike w:val="1"/>
        </w:rPr>
        <w:t>, (a) initially</w:t>
      </w:r>
      <w:r>
        <w:rPr>
          <w:rFonts w:ascii="Arial" w:cs="Arial" w:eastAsia="Arial" w:hAnsi="Arial"/>
          <w:sz w:val="18"/>
          <w:szCs w:val="18"/>
          <w:color w:val="auto"/>
        </w:rPr>
        <w:t xml:space="preserve">, the period commencing on the </w:t>
      </w:r>
      <w:r>
        <w:rPr>
          <w:rFonts w:ascii="Arial" w:cs="Arial" w:eastAsia="Arial" w:hAnsi="Arial"/>
          <w:sz w:val="18"/>
          <w:szCs w:val="18"/>
          <w:color w:val="FF0000"/>
          <w:strike w:val="1"/>
        </w:rPr>
        <w:t>borrowing or conversion date, as the</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FF0000"/>
          <w:strike w:val="1"/>
        </w:rPr>
        <w:t>case may be, with respect to such Eurodollar</w:t>
      </w:r>
      <w:r>
        <w:rPr>
          <w:rFonts w:ascii="Arial" w:cs="Arial" w:eastAsia="Arial" w:hAnsi="Arial"/>
          <w:sz w:val="16"/>
          <w:szCs w:val="16"/>
          <w:u w:val="single" w:color="auto"/>
          <w:color w:val="0000FF"/>
        </w:rPr>
        <w:t>date such SOFR Loan is disbursed or converted to or continued as a SOFR</w:t>
      </w:r>
      <w:r>
        <w:rPr>
          <w:rFonts w:ascii="Arial" w:cs="Arial" w:eastAsia="Arial" w:hAnsi="Arial"/>
          <w:sz w:val="16"/>
          <w:szCs w:val="16"/>
          <w:color w:val="FF0000"/>
        </w:rPr>
        <w:t xml:space="preserve"> </w:t>
      </w:r>
      <w:r>
        <w:rPr>
          <w:rFonts w:ascii="Arial" w:cs="Arial" w:eastAsia="Arial" w:hAnsi="Arial"/>
          <w:sz w:val="16"/>
          <w:szCs w:val="16"/>
          <w:color w:val="000000"/>
        </w:rPr>
        <w:t>Loan and ending</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on</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the date</w:t>
      </w:r>
      <w:r>
        <w:rPr>
          <w:rFonts w:ascii="Arial" w:cs="Arial" w:eastAsia="Arial" w:hAnsi="Arial"/>
          <w:sz w:val="16"/>
          <w:szCs w:val="16"/>
          <w:color w:val="0000FF"/>
        </w:rPr>
        <w:t xml:space="preserve"> </w:t>
      </w:r>
      <w:r>
        <w:rPr>
          <w:rFonts w:ascii="Arial" w:cs="Arial" w:eastAsia="Arial" w:hAnsi="Arial"/>
          <w:sz w:val="16"/>
          <w:szCs w:val="16"/>
          <w:color w:val="000000"/>
        </w:rPr>
        <w:t>one, three or six months thereafter</w:t>
      </w:r>
      <w:r>
        <w:rPr>
          <w:rFonts w:ascii="Arial" w:cs="Arial" w:eastAsia="Arial" w:hAnsi="Arial"/>
          <w:sz w:val="16"/>
          <w:szCs w:val="16"/>
          <w:color w:val="0000FF"/>
        </w:rPr>
        <w:t xml:space="preserve"> </w:t>
      </w:r>
      <w:r>
        <w:rPr>
          <w:rFonts w:ascii="Arial" w:cs="Arial" w:eastAsia="Arial" w:hAnsi="Arial"/>
          <w:sz w:val="16"/>
          <w:szCs w:val="16"/>
          <w:color w:val="FF0000"/>
        </w:rPr>
        <w:t>(or such other period acceptable to the Lenders)</w:t>
      </w:r>
      <w:r>
        <w:rPr>
          <w:rFonts w:ascii="Arial" w:cs="Arial" w:eastAsia="Arial" w:hAnsi="Arial"/>
          <w:sz w:val="16"/>
          <w:szCs w:val="16"/>
          <w:color w:val="000000"/>
        </w:rPr>
        <w:t>,</w:t>
      </w:r>
      <w:r>
        <w:rPr>
          <w:rFonts w:ascii="Arial" w:cs="Arial" w:eastAsia="Arial" w:hAnsi="Arial"/>
          <w:sz w:val="16"/>
          <w:szCs w:val="16"/>
          <w:color w:val="0000FF"/>
        </w:rPr>
        <w:t xml:space="preserve"> in each case </w:t>
      </w:r>
      <w:r>
        <w:rPr>
          <w:rFonts w:ascii="Arial" w:cs="Arial" w:eastAsia="Arial" w:hAnsi="Arial"/>
          <w:sz w:val="16"/>
          <w:szCs w:val="16"/>
          <w:color w:val="000000"/>
        </w:rPr>
        <w:t>as selected by the Borrower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-58420</wp:posOffset>
            </wp:positionV>
            <wp:extent cx="24860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48602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-6985</wp:posOffset>
            </wp:positionV>
            <wp:extent cx="655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55320"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 xml:space="preserve">Notice of Borrowing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Notice of Conversion</w:t>
      </w:r>
      <w:r>
        <w:rPr>
          <w:rFonts w:ascii="Arial" w:cs="Arial" w:eastAsia="Arial" w:hAnsi="Arial"/>
          <w:sz w:val="18"/>
          <w:szCs w:val="18"/>
          <w:color w:val="FF0000"/>
          <w:strike w:val="1"/>
        </w:rPr>
        <w:t>, as the case may be, given with respect thereto; and (b) thereafter, each period commencing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-58420</wp:posOffset>
            </wp:positionV>
            <wp:extent cx="135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color w:val="FF0000"/>
          <w:strike w:val="1"/>
        </w:rPr>
        <w:t xml:space="preserve">the last day of the next preceding Interest Period applicable to such Eurodollar Loan and ending one, three or six months thereafter (or such other period acceptable to the Lenders), as selected by the Borrower by in its </w:t>
      </w:r>
      <w:r>
        <w:rPr>
          <w:rFonts w:ascii="Arial" w:cs="Arial" w:eastAsia="Arial" w:hAnsi="Arial"/>
          <w:sz w:val="18"/>
          <w:szCs w:val="18"/>
          <w:color w:val="0000FF"/>
          <w:strike w:val="1"/>
        </w:rPr>
        <w:t>or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Notice of Interest Period Selection</w:t>
      </w:r>
      <w:r>
        <w:rPr>
          <w:rFonts w:ascii="Arial" w:cs="Arial" w:eastAsia="Arial" w:hAnsi="Arial"/>
          <w:sz w:val="18"/>
          <w:szCs w:val="18"/>
          <w:color w:val="FF0000"/>
          <w:strike w:val="1"/>
        </w:rPr>
        <w:t xml:space="preserve"> to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-6350</wp:posOffset>
            </wp:positionV>
            <wp:extent cx="1447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266" w:lineRule="auto"/>
        <w:rPr>
          <w:sz w:val="20"/>
          <w:szCs w:val="20"/>
          <w:color w:val="auto"/>
        </w:rPr>
      </w:pPr>
      <w:r>
        <w:rPr>
          <w:rFonts w:ascii="Arial" w:cs="Arial" w:eastAsia="Arial" w:hAnsi="Arial"/>
          <w:sz w:val="18"/>
          <w:szCs w:val="18"/>
          <w:color w:val="FF0000"/>
          <w:strike w:val="1"/>
        </w:rPr>
        <w:t>Agent not later than 10:00 a.m. on the date that is three Business Days prior to the last day of the then current Interest Period with respect thereto</w:t>
      </w:r>
      <w:r>
        <w:rPr>
          <w:rFonts w:ascii="Arial" w:cs="Arial" w:eastAsia="Arial" w:hAnsi="Arial"/>
          <w:sz w:val="18"/>
          <w:szCs w:val="18"/>
          <w:u w:val="single" w:color="auto"/>
          <w:color w:val="0000FF"/>
          <w:strike w:val="1"/>
        </w:rPr>
        <w:t>and subject to availability</w:t>
      </w:r>
      <w:r>
        <w:rPr>
          <w:rFonts w:ascii="Arial" w:cs="Arial" w:eastAsia="Arial" w:hAnsi="Arial"/>
          <w:sz w:val="18"/>
          <w:szCs w:val="18"/>
          <w:color w:val="000000"/>
          <w:strike w:val="1"/>
        </w:rPr>
        <w: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that</w:t>
      </w:r>
      <w:r>
        <w:rPr>
          <w:rFonts w:ascii="Arial" w:cs="Arial" w:eastAsia="Arial" w:hAnsi="Arial"/>
          <w:sz w:val="18"/>
          <w:szCs w:val="18"/>
          <w:color w:val="FF0000"/>
          <w:strike w:val="1"/>
        </w:rPr>
        <w:t>, all of the foregoing provisions relating to Interest Periods are subject to the following</w:t>
      </w:r>
      <w:r>
        <w:rPr>
          <w:rFonts w:ascii="Arial" w:cs="Arial" w:eastAsia="Arial" w:hAnsi="Arial"/>
          <w:sz w:val="18"/>
          <w:szCs w:val="18"/>
          <w:color w:val="000000"/>
          <w:strike w:val="1"/>
        </w:rPr>
        <w:t>:</w:t>
      </w:r>
    </w:p>
    <w:p>
      <w:pPr>
        <w:spacing w:after="0" w:line="200" w:lineRule="exact"/>
        <w:rPr>
          <w:sz w:val="20"/>
          <w:szCs w:val="20"/>
          <w:color w:val="auto"/>
        </w:rPr>
      </w:pPr>
    </w:p>
    <w:p>
      <w:pPr>
        <w:spacing w:after="0" w:line="392" w:lineRule="exact"/>
        <w:rPr>
          <w:sz w:val="20"/>
          <w:szCs w:val="20"/>
          <w:color w:val="auto"/>
        </w:rPr>
      </w:pPr>
    </w:p>
    <w:p>
      <w:pPr>
        <w:jc w:val="both"/>
        <w:ind w:firstLine="1952"/>
        <w:spacing w:after="0" w:line="229" w:lineRule="auto"/>
        <w:tabs>
          <w:tab w:leader="none" w:pos="2383" w:val="left"/>
        </w:tabs>
        <w:numPr>
          <w:ilvl w:val="0"/>
          <w:numId w:val="46"/>
        </w:numPr>
        <w:rPr>
          <w:rFonts w:ascii="Arial" w:cs="Arial" w:eastAsia="Arial" w:hAnsi="Arial"/>
          <w:sz w:val="19"/>
          <w:szCs w:val="19"/>
          <w:color w:val="auto"/>
        </w:rPr>
      </w:pPr>
      <w:r>
        <w:rPr>
          <w:rFonts w:ascii="Arial" w:cs="Arial" w:eastAsia="Arial" w:hAnsi="Arial"/>
          <w:sz w:val="19"/>
          <w:szCs w:val="19"/>
          <w:color w:val="00C000"/>
          <w:strike w:val="1"/>
        </w:rPr>
        <w:t>if any Interest Period would otherwise</w:t>
      </w:r>
      <w:r>
        <w:rPr>
          <w:rFonts w:ascii="Arial" w:cs="Arial" w:eastAsia="Arial" w:hAnsi="Arial"/>
          <w:sz w:val="19"/>
          <w:szCs w:val="19"/>
          <w:color w:val="00C000"/>
        </w:rPr>
        <w:t xml:space="preserve"> </w:t>
      </w:r>
      <w:r>
        <w:rPr>
          <w:rFonts w:ascii="Arial" w:cs="Arial" w:eastAsia="Arial" w:hAnsi="Arial"/>
          <w:sz w:val="19"/>
          <w:szCs w:val="19"/>
          <w:color w:val="FF0000"/>
          <w:strike w:val="1"/>
        </w:rPr>
        <w:t>end</w:t>
      </w:r>
      <w:r>
        <w:rPr>
          <w:rFonts w:ascii="Arial" w:cs="Arial" w:eastAsia="Arial" w:hAnsi="Arial"/>
          <w:sz w:val="19"/>
          <w:szCs w:val="19"/>
          <w:color w:val="00C000"/>
        </w:rPr>
        <w:t xml:space="preserve"> on a day that is not a Business Day</w:t>
      </w:r>
      <w:r>
        <w:rPr>
          <w:rFonts w:ascii="Arial" w:cs="Arial" w:eastAsia="Arial" w:hAnsi="Arial"/>
          <w:sz w:val="19"/>
          <w:szCs w:val="19"/>
          <w:color w:val="FF0000"/>
          <w:strike w:val="1"/>
        </w:rPr>
        <w:t>, such Interest Period shall be</w:t>
      </w:r>
      <w:r>
        <w:rPr>
          <w:rFonts w:ascii="Arial" w:cs="Arial" w:eastAsia="Arial" w:hAnsi="Arial"/>
          <w:sz w:val="19"/>
          <w:szCs w:val="19"/>
          <w:color w:val="00C000"/>
        </w:rPr>
        <w:t xml:space="preserve"> </w:t>
      </w:r>
      <w:r>
        <w:rPr>
          <w:rFonts w:ascii="Arial" w:cs="Arial" w:eastAsia="Arial" w:hAnsi="Arial"/>
          <w:sz w:val="19"/>
          <w:szCs w:val="19"/>
          <w:color w:val="FF0000"/>
          <w:strike w:val="1"/>
        </w:rPr>
        <w:t xml:space="preserve">extended to the next succeeding Business Day unless the result of such extension would be to carry such Interest Period into another calendar month in which event </w:t>
      </w:r>
      <w:r>
        <w:rPr>
          <w:rFonts w:ascii="Arial" w:cs="Arial" w:eastAsia="Arial" w:hAnsi="Arial"/>
          <w:sz w:val="19"/>
          <w:szCs w:val="19"/>
          <w:color w:val="00C000"/>
          <w:strike w:val="1"/>
        </w:rPr>
        <w:t>such Interest Period shall</w:t>
      </w:r>
      <w:r>
        <w:rPr>
          <w:rFonts w:ascii="Arial" w:cs="Arial" w:eastAsia="Arial" w:hAnsi="Arial"/>
          <w:sz w:val="19"/>
          <w:szCs w:val="19"/>
          <w:color w:val="FF0000"/>
          <w:strike w:val="1"/>
        </w:rPr>
        <w:t xml:space="preserve"> end </w:t>
      </w:r>
      <w:r>
        <w:rPr>
          <w:rFonts w:ascii="Arial" w:cs="Arial" w:eastAsia="Arial" w:hAnsi="Arial"/>
          <w:sz w:val="19"/>
          <w:szCs w:val="19"/>
          <w:color w:val="00C000"/>
          <w:strike w:val="1"/>
        </w:rPr>
        <w:t>on the immediately preceding Business Day</w:t>
      </w:r>
      <w:r>
        <w:rPr>
          <w:rFonts w:ascii="Arial" w:cs="Arial" w:eastAsia="Arial" w:hAnsi="Arial"/>
          <w:sz w:val="19"/>
          <w:szCs w:val="19"/>
          <w:u w:val="single" w:color="auto"/>
          <w:color w:val="0000FF"/>
          <w:strike w:val="1"/>
        </w:rPr>
        <w:t>the Interest Period shall commence on 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date of advance of or conversion to any SOFR Loan and, in the case of immediately successive Interest Periods, each successive Interest Period shall commence on the date on which the immediately preceding Interest Period expires</w:t>
      </w:r>
      <w:r>
        <w:rPr>
          <w:rFonts w:ascii="Arial" w:cs="Arial" w:eastAsia="Arial" w:hAnsi="Arial"/>
          <w:sz w:val="19"/>
          <w:szCs w:val="19"/>
          <w:color w:val="000000"/>
          <w:strike w:val="1"/>
        </w:rPr>
        <w:t>;</w:t>
      </w:r>
    </w:p>
    <w:p>
      <w:pPr>
        <w:spacing w:after="0" w:line="159" w:lineRule="exact"/>
        <w:rPr>
          <w:rFonts w:ascii="Arial" w:cs="Arial" w:eastAsia="Arial" w:hAnsi="Arial"/>
          <w:sz w:val="19"/>
          <w:szCs w:val="19"/>
          <w:color w:val="auto"/>
        </w:rPr>
      </w:pPr>
    </w:p>
    <w:p>
      <w:pPr>
        <w:jc w:val="both"/>
        <w:ind w:firstLine="1952"/>
        <w:spacing w:after="0" w:line="239" w:lineRule="auto"/>
        <w:tabs>
          <w:tab w:leader="none" w:pos="2424" w:val="left"/>
        </w:tabs>
        <w:numPr>
          <w:ilvl w:val="0"/>
          <w:numId w:val="46"/>
        </w:numPr>
        <w:rPr>
          <w:rFonts w:ascii="Arial" w:cs="Arial" w:eastAsia="Arial" w:hAnsi="Arial"/>
          <w:sz w:val="19"/>
          <w:szCs w:val="19"/>
          <w:color w:val="auto"/>
        </w:rPr>
      </w:pPr>
      <w:r>
        <w:rPr>
          <w:rFonts w:ascii="Arial" w:cs="Arial" w:eastAsia="Arial" w:hAnsi="Arial"/>
          <w:sz w:val="19"/>
          <w:szCs w:val="19"/>
          <w:color w:val="FF0000"/>
          <w:strike w:val="1"/>
        </w:rPr>
        <w:t>the Borrower may not select an</w:t>
      </w:r>
      <w:r>
        <w:rPr>
          <w:rFonts w:ascii="Arial" w:cs="Arial" w:eastAsia="Arial" w:hAnsi="Arial"/>
          <w:sz w:val="19"/>
          <w:szCs w:val="19"/>
          <w:u w:val="single" w:color="auto"/>
          <w:color w:val="0000FF"/>
        </w:rPr>
        <w:t>no</w:t>
      </w:r>
      <w:r>
        <w:rPr>
          <w:rFonts w:ascii="Arial" w:cs="Arial" w:eastAsia="Arial" w:hAnsi="Arial"/>
          <w:sz w:val="19"/>
          <w:szCs w:val="19"/>
          <w:color w:val="FF0000"/>
        </w:rPr>
        <w:t xml:space="preserve"> </w:t>
      </w:r>
      <w:r>
        <w:rPr>
          <w:rFonts w:ascii="Arial" w:cs="Arial" w:eastAsia="Arial" w:hAnsi="Arial"/>
          <w:sz w:val="19"/>
          <w:szCs w:val="19"/>
          <w:color w:val="000000"/>
        </w:rPr>
        <w:t>Interest Period</w:t>
      </w:r>
      <w:r>
        <w:rPr>
          <w:rFonts w:ascii="Arial" w:cs="Arial" w:eastAsia="Arial" w:hAnsi="Arial"/>
          <w:sz w:val="19"/>
          <w:szCs w:val="19"/>
          <w:color w:val="FF0000"/>
        </w:rPr>
        <w:t xml:space="preserve"> </w:t>
      </w:r>
      <w:r>
        <w:rPr>
          <w:rFonts w:ascii="Arial" w:cs="Arial" w:eastAsia="Arial" w:hAnsi="Arial"/>
          <w:sz w:val="19"/>
          <w:szCs w:val="19"/>
          <w:color w:val="FF0000"/>
          <w:strike w:val="1"/>
        </w:rPr>
        <w:t>that would</w:t>
      </w:r>
      <w:r>
        <w:rPr>
          <w:rFonts w:ascii="Arial" w:cs="Arial" w:eastAsia="Arial" w:hAnsi="Arial"/>
          <w:sz w:val="19"/>
          <w:szCs w:val="19"/>
          <w:u w:val="single" w:color="auto"/>
          <w:color w:val="0000FF"/>
        </w:rPr>
        <w:t>shall</w:t>
      </w:r>
      <w:r>
        <w:rPr>
          <w:rFonts w:ascii="Arial" w:cs="Arial" w:eastAsia="Arial" w:hAnsi="Arial"/>
          <w:sz w:val="19"/>
          <w:szCs w:val="19"/>
          <w:color w:val="FF0000"/>
        </w:rPr>
        <w:t xml:space="preserve"> </w:t>
      </w:r>
      <w:r>
        <w:rPr>
          <w:rFonts w:ascii="Arial" w:cs="Arial" w:eastAsia="Arial" w:hAnsi="Arial"/>
          <w:sz w:val="19"/>
          <w:szCs w:val="19"/>
          <w:color w:val="000000"/>
        </w:rPr>
        <w:t>extend beyond the Termination Date or the</w:t>
      </w:r>
      <w:r>
        <w:rPr>
          <w:rFonts w:ascii="Arial" w:cs="Arial" w:eastAsia="Arial" w:hAnsi="Arial"/>
          <w:sz w:val="19"/>
          <w:szCs w:val="19"/>
          <w:color w:val="FF0000"/>
        </w:rPr>
        <w:t xml:space="preserve"> </w:t>
      </w:r>
      <w:r>
        <w:rPr>
          <w:rFonts w:ascii="Arial" w:cs="Arial" w:eastAsia="Arial" w:hAnsi="Arial"/>
          <w:sz w:val="19"/>
          <w:szCs w:val="19"/>
          <w:color w:val="000000"/>
        </w:rPr>
        <w:t xml:space="preserve">Term Loan Maturity Date, as applicable, and Interest Periods shall be selected by the Borrower so as to permit the Borrower to make the quarterly principal </w:t>
      </w:r>
      <w:r>
        <w:rPr>
          <w:rFonts w:ascii="Arial" w:cs="Arial" w:eastAsia="Arial" w:hAnsi="Arial"/>
          <w:sz w:val="19"/>
          <w:szCs w:val="19"/>
          <w:u w:val="single" w:color="auto"/>
          <w:color w:val="0000FF"/>
        </w:rPr>
        <w:t>installment</w:t>
      </w:r>
      <w:r>
        <w:rPr>
          <w:rFonts w:ascii="Arial" w:cs="Arial" w:eastAsia="Arial" w:hAnsi="Arial"/>
          <w:sz w:val="19"/>
          <w:szCs w:val="19"/>
          <w:color w:val="000000"/>
        </w:rPr>
        <w:t xml:space="preserve"> payments pursuant to </w:t>
      </w:r>
      <w:r>
        <w:rPr>
          <w:rFonts w:ascii="Arial" w:cs="Arial" w:eastAsia="Arial" w:hAnsi="Arial"/>
          <w:sz w:val="19"/>
          <w:szCs w:val="19"/>
          <w:u w:val="single" w:color="auto"/>
          <w:color w:val="000000"/>
        </w:rPr>
        <w:t>Section 2.22</w:t>
      </w:r>
      <w:r>
        <w:rPr>
          <w:rFonts w:ascii="Arial" w:cs="Arial" w:eastAsia="Arial" w:hAnsi="Arial"/>
          <w:sz w:val="19"/>
          <w:szCs w:val="19"/>
          <w:color w:val="000000"/>
        </w:rPr>
        <w:t xml:space="preserve"> without payment of any amounts pursuant to </w:t>
      </w:r>
      <w:r>
        <w:rPr>
          <w:rFonts w:ascii="Arial" w:cs="Arial" w:eastAsia="Arial" w:hAnsi="Arial"/>
          <w:sz w:val="19"/>
          <w:szCs w:val="19"/>
          <w:u w:val="single" w:color="auto"/>
          <w:color w:val="000000"/>
        </w:rPr>
        <w:t>Section 2.16</w:t>
      </w:r>
      <w:r>
        <w:rPr>
          <w:rFonts w:ascii="Arial" w:cs="Arial" w:eastAsia="Arial" w:hAnsi="Arial"/>
          <w:sz w:val="19"/>
          <w:szCs w:val="19"/>
          <w:color w:val="000000"/>
        </w:rPr>
        <w:t>;</w:t>
      </w:r>
    </w:p>
    <w:p>
      <w:pPr>
        <w:spacing w:after="0" w:line="157" w:lineRule="exact"/>
        <w:rPr>
          <w:rFonts w:ascii="Arial" w:cs="Arial" w:eastAsia="Arial" w:hAnsi="Arial"/>
          <w:sz w:val="19"/>
          <w:szCs w:val="19"/>
          <w:color w:val="auto"/>
        </w:rPr>
      </w:pPr>
    </w:p>
    <w:p>
      <w:pPr>
        <w:jc w:val="both"/>
        <w:ind w:firstLine="1952"/>
        <w:spacing w:after="0" w:line="227" w:lineRule="auto"/>
        <w:tabs>
          <w:tab w:leader="none" w:pos="2449"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any Interest Period that begins on the last Business Day of a calendar month (or on a day for which there is no numerically corresponding day in the calendar month at the end of such Interest Period) shall end on the last Business Day of </w:t>
      </w:r>
      <w:r>
        <w:rPr>
          <w:rFonts w:ascii="Arial" w:cs="Arial" w:eastAsia="Arial" w:hAnsi="Arial"/>
          <w:sz w:val="20"/>
          <w:szCs w:val="20"/>
          <w:color w:val="FF0000"/>
          <w:strike w:val="1"/>
        </w:rPr>
        <w:t>a</w:t>
      </w:r>
      <w:r>
        <w:rPr>
          <w:rFonts w:ascii="Arial" w:cs="Arial" w:eastAsia="Arial" w:hAnsi="Arial"/>
          <w:sz w:val="20"/>
          <w:szCs w:val="20"/>
          <w:u w:val="single" w:color="auto"/>
          <w:color w:val="0000FF"/>
        </w:rPr>
        <w:t>the relevant</w:t>
      </w:r>
      <w:r>
        <w:rPr>
          <w:rFonts w:ascii="Arial" w:cs="Arial" w:eastAsia="Arial" w:hAnsi="Arial"/>
          <w:sz w:val="20"/>
          <w:szCs w:val="20"/>
          <w:color w:val="auto"/>
        </w:rPr>
        <w:t xml:space="preserve"> calendar month </w:t>
      </w:r>
      <w:r>
        <w:rPr>
          <w:rFonts w:ascii="Arial" w:cs="Arial" w:eastAsia="Arial" w:hAnsi="Arial"/>
          <w:sz w:val="20"/>
          <w:szCs w:val="20"/>
          <w:color w:val="0000FF"/>
        </w:rPr>
        <w:t>at the end of such Interest Period;</w:t>
      </w:r>
    </w:p>
    <w:p>
      <w:pPr>
        <w:spacing w:after="0" w:line="157" w:lineRule="exact"/>
        <w:rPr>
          <w:rFonts w:ascii="Arial" w:cs="Arial" w:eastAsia="Arial" w:hAnsi="Arial"/>
          <w:sz w:val="20"/>
          <w:szCs w:val="20"/>
          <w:color w:val="auto"/>
        </w:rPr>
      </w:pPr>
    </w:p>
    <w:p>
      <w:pPr>
        <w:jc w:val="both"/>
        <w:ind w:firstLine="1952"/>
        <w:spacing w:after="0" w:line="220" w:lineRule="auto"/>
        <w:tabs>
          <w:tab w:leader="none" w:pos="2484" w:val="left"/>
        </w:tabs>
        <w:numPr>
          <w:ilvl w:val="0"/>
          <w:numId w:val="4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if any Interest Period would otherwise expire on a day that is not a Business Day, such Interest Period shall expire on the next succeeding Business Day; provided that</w:t>
      </w:r>
      <w:r>
        <w:rPr>
          <w:rFonts w:ascii="Arial" w:cs="Arial" w:eastAsia="Arial" w:hAnsi="Arial"/>
          <w:sz w:val="20"/>
          <w:szCs w:val="20"/>
          <w:color w:val="0000FF"/>
        </w:rPr>
        <w:t xml:space="preserve"> </w:t>
      </w:r>
      <w:r>
        <w:rPr>
          <w:rFonts w:ascii="Arial" w:cs="Arial" w:eastAsia="Arial" w:hAnsi="Arial"/>
          <w:sz w:val="20"/>
          <w:szCs w:val="20"/>
          <w:u w:val="single" w:color="auto"/>
          <w:color w:val="00C000"/>
        </w:rPr>
        <w:t>if any Interest Period would otherwise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expire</w:t>
      </w:r>
      <w:r>
        <w:rPr>
          <w:rFonts w:ascii="Arial" w:cs="Arial" w:eastAsia="Arial" w:hAnsi="Arial"/>
          <w:sz w:val="20"/>
          <w:szCs w:val="20"/>
          <w:color w:val="0000FF"/>
        </w:rPr>
        <w:t xml:space="preserve"> </w:t>
      </w:r>
      <w:r>
        <w:rPr>
          <w:rFonts w:ascii="Arial" w:cs="Arial" w:eastAsia="Arial" w:hAnsi="Arial"/>
          <w:sz w:val="20"/>
          <w:szCs w:val="20"/>
          <w:color w:val="00C000"/>
        </w:rPr>
        <w:t>on a day that is not a Business Day</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but is a day of the month after which no further Business Day occurs in such month,</w:t>
      </w:r>
      <w:r>
        <w:rPr>
          <w:rFonts w:ascii="Arial" w:cs="Arial" w:eastAsia="Arial" w:hAnsi="Arial"/>
          <w:sz w:val="20"/>
          <w:szCs w:val="20"/>
          <w:color w:val="0000FF"/>
        </w:rPr>
        <w:t xml:space="preserve"> </w:t>
      </w:r>
      <w:r>
        <w:rPr>
          <w:rFonts w:ascii="Arial" w:cs="Arial" w:eastAsia="Arial" w:hAnsi="Arial"/>
          <w:sz w:val="20"/>
          <w:szCs w:val="20"/>
          <w:color w:val="00C000"/>
        </w:rPr>
        <w:t>such Interest Period shall</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expire</w:t>
      </w:r>
      <w:r>
        <w:rPr>
          <w:rFonts w:ascii="Arial" w:cs="Arial" w:eastAsia="Arial" w:hAnsi="Arial"/>
          <w:sz w:val="20"/>
          <w:szCs w:val="20"/>
          <w:color w:val="0000FF"/>
        </w:rPr>
        <w:t xml:space="preserve"> </w:t>
      </w:r>
      <w:r>
        <w:rPr>
          <w:rFonts w:ascii="Arial" w:cs="Arial" w:eastAsia="Arial" w:hAnsi="Arial"/>
          <w:sz w:val="20"/>
          <w:szCs w:val="20"/>
          <w:color w:val="00C000"/>
        </w:rPr>
        <w:t>on the immediately</w:t>
      </w:r>
      <w:r>
        <w:rPr>
          <w:rFonts w:ascii="Arial" w:cs="Arial" w:eastAsia="Arial" w:hAnsi="Arial"/>
          <w:sz w:val="20"/>
          <w:szCs w:val="20"/>
          <w:color w:val="0000FF"/>
        </w:rPr>
        <w:t xml:space="preserve"> </w:t>
      </w:r>
      <w:r>
        <w:rPr>
          <w:rFonts w:ascii="Arial" w:cs="Arial" w:eastAsia="Arial" w:hAnsi="Arial"/>
          <w:sz w:val="20"/>
          <w:szCs w:val="20"/>
          <w:u w:val="single" w:color="auto"/>
          <w:color w:val="00C000"/>
        </w:rPr>
        <w:t>preceding Business Day</w:t>
      </w:r>
      <w:r>
        <w:rPr>
          <w:rFonts w:ascii="Arial" w:cs="Arial" w:eastAsia="Arial" w:hAnsi="Arial"/>
          <w:sz w:val="20"/>
          <w:szCs w:val="20"/>
          <w:color w:val="00000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-2247265</wp:posOffset>
            </wp:positionV>
            <wp:extent cx="18840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1884045" cy="8890"/>
                    </a:xfrm>
                    <a:prstGeom prst="rect">
                      <a:avLst/>
                    </a:prstGeom>
                    <a:noFill/>
                  </pic:spPr>
                </pic:pic>
              </a:graphicData>
            </a:graphic>
          </wp:anchor>
        </w:drawing>
        <w:drawing>
          <wp:anchor simplePos="0" relativeHeight="251657728" behindDoc="1" locked="0" layoutInCell="0" allowOverlap="1">
            <wp:simplePos x="0" y="0"/>
            <wp:positionH relativeFrom="column">
              <wp:posOffset>1122680</wp:posOffset>
            </wp:positionH>
            <wp:positionV relativeFrom="paragraph">
              <wp:posOffset>-1990090</wp:posOffset>
            </wp:positionV>
            <wp:extent cx="38519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851910" cy="8890"/>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-661035</wp:posOffset>
            </wp:positionV>
            <wp:extent cx="17202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720215" cy="889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-275590</wp:posOffset>
            </wp:positionV>
            <wp:extent cx="18326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83261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-146685</wp:posOffset>
            </wp:positionV>
            <wp:extent cx="2730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730500" cy="8890"/>
                    </a:xfrm>
                    <a:prstGeom prst="rect">
                      <a:avLst/>
                    </a:prstGeom>
                    <a:noFill/>
                  </pic:spPr>
                </pic:pic>
              </a:graphicData>
            </a:graphic>
          </wp:anchor>
        </w:drawing>
      </w:r>
    </w:p>
    <w:p>
      <w:pPr>
        <w:spacing w:after="0" w:line="149" w:lineRule="exact"/>
        <w:rPr>
          <w:sz w:val="20"/>
          <w:szCs w:val="20"/>
          <w:color w:val="auto"/>
        </w:rPr>
      </w:pPr>
    </w:p>
    <w:p>
      <w:pPr>
        <w:ind w:firstLine="19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iv</w:t>
      </w:r>
      <w:r>
        <w:rPr>
          <w:rFonts w:ascii="Arial" w:cs="Arial" w:eastAsia="Arial" w:hAnsi="Arial"/>
          <w:sz w:val="20"/>
          <w:szCs w:val="20"/>
          <w:u w:val="single" w:color="auto"/>
          <w:color w:val="0000FF"/>
        </w:rPr>
        <w:t>v</w:t>
      </w:r>
      <w:r>
        <w:rPr>
          <w:rFonts w:ascii="Arial" w:cs="Arial" w:eastAsia="Arial" w:hAnsi="Arial"/>
          <w:sz w:val="20"/>
          <w:szCs w:val="20"/>
          <w:color w:val="auto"/>
        </w:rPr>
        <w:t xml:space="preserve">) no tenor that has been removed from this definition pursuant to </w:t>
      </w:r>
      <w:r>
        <w:rPr>
          <w:rFonts w:ascii="Arial" w:cs="Arial" w:eastAsia="Arial" w:hAnsi="Arial"/>
          <w:sz w:val="20"/>
          <w:szCs w:val="20"/>
          <w:u w:val="single" w:color="auto"/>
          <w:color w:val="auto"/>
        </w:rPr>
        <w:t>Section 2.12(c)(iv)</w:t>
      </w:r>
      <w:r>
        <w:rPr>
          <w:rFonts w:ascii="Arial" w:cs="Arial" w:eastAsia="Arial" w:hAnsi="Arial"/>
          <w:sz w:val="20"/>
          <w:szCs w:val="20"/>
          <w:color w:val="auto"/>
        </w:rPr>
        <w:t xml:space="preserve"> shall be available for specification in any Notice of Borrowing, Notice of Conversion or Notice of Interest Period Selection.</w:t>
      </w:r>
    </w:p>
    <w:p>
      <w:pPr>
        <w:spacing w:after="0" w:line="15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Lender</w:t>
      </w:r>
      <w:r>
        <w:rPr>
          <w:rFonts w:ascii="Arial" w:cs="Arial" w:eastAsia="Arial" w:hAnsi="Arial"/>
          <w:sz w:val="20"/>
          <w:szCs w:val="20"/>
          <w:color w:val="auto"/>
        </w:rPr>
        <w:t>”: Wells Fargo in its capacity as issuer of Letters of Credit hereunder, or any successor issuer of Letters of Credit hereunder.</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Arranger</w:t>
      </w:r>
      <w:r>
        <w:rPr>
          <w:rFonts w:ascii="Arial" w:cs="Arial" w:eastAsia="Arial" w:hAnsi="Arial"/>
          <w:sz w:val="20"/>
          <w:szCs w:val="20"/>
          <w:color w:val="auto"/>
        </w:rPr>
        <w:t>”: Wells Fargo Securities, LLC.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Commitment</w:t>
      </w:r>
      <w:r>
        <w:rPr>
          <w:rFonts w:ascii="Arial" w:cs="Arial" w:eastAsia="Arial" w:hAnsi="Arial"/>
          <w:sz w:val="20"/>
          <w:szCs w:val="20"/>
          <w:color w:val="auto"/>
        </w:rPr>
        <w:t>”: $10,000,000.</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at any time, an amount equal to the sum of (a) the aggregate then undrawn and unexpired amount of the then outstanding Letters of Credit and (b) the aggregate amount of drawings under issued Letters of Credit that have not then been reimbursed pursuant to Section 3.5.</w:t>
      </w:r>
    </w:p>
    <w:p>
      <w:pPr>
        <w:spacing w:after="0" w:line="157"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Participants</w:t>
      </w:r>
      <w:r>
        <w:rPr>
          <w:rFonts w:ascii="Arial" w:cs="Arial" w:eastAsia="Arial" w:hAnsi="Arial"/>
          <w:sz w:val="20"/>
          <w:szCs w:val="20"/>
          <w:color w:val="auto"/>
        </w:rPr>
        <w:t>”: in respect of any Letter of Credit, the collective reference to all the Revolving Loan Lenders other than the Issuing Lender that issued such Letter of Credit.</w:t>
      </w:r>
    </w:p>
    <w:p>
      <w:pPr>
        <w:spacing w:after="0" w:line="16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as defined in the preamble hereto; </w:t>
      </w:r>
      <w:r>
        <w:rPr>
          <w:rFonts w:ascii="Arial" w:cs="Arial" w:eastAsia="Arial" w:hAnsi="Arial"/>
          <w:sz w:val="20"/>
          <w:szCs w:val="20"/>
          <w:u w:val="single" w:color="auto"/>
          <w:color w:val="auto"/>
        </w:rPr>
        <w:t>provided</w:t>
      </w:r>
      <w:r>
        <w:rPr>
          <w:rFonts w:ascii="Arial" w:cs="Arial" w:eastAsia="Arial" w:hAnsi="Arial"/>
          <w:sz w:val="20"/>
          <w:szCs w:val="20"/>
          <w:color w:val="auto"/>
        </w:rPr>
        <w:t>, that unless the context otherwise requires, each reference herein to the Lenders shall be deemed to include any Conduit Lender.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as defined in Section 3.1.</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LIBOR Market Index Rate</w:t>
      </w:r>
      <w:r>
        <w:rPr>
          <w:rFonts w:ascii="Arial" w:cs="Arial" w:eastAsia="Arial" w:hAnsi="Arial"/>
          <w:sz w:val="18"/>
          <w:szCs w:val="18"/>
          <w:color w:val="FF0000"/>
          <w:strike w:val="1"/>
        </w:rPr>
        <w:t>”: subject to the implementation of a Benchmark Replacement in accordance with Section 2.12(c), for any day, in the case of Dollars, the rate for one month interbank offered rate for deposits in Dollars as published by the ICE Benchmark</w:t>
      </w:r>
    </w:p>
    <w:p>
      <w:pPr>
        <w:spacing w:after="0" w:line="235" w:lineRule="auto"/>
        <w:rPr>
          <w:sz w:val="20"/>
          <w:szCs w:val="20"/>
          <w:color w:val="auto"/>
        </w:rPr>
      </w:pPr>
      <w:r>
        <w:rPr>
          <w:rFonts w:ascii="Arial" w:cs="Arial" w:eastAsia="Arial" w:hAnsi="Arial"/>
          <w:sz w:val="18"/>
          <w:szCs w:val="18"/>
          <w:color w:val="FF0000"/>
          <w:strike w:val="1"/>
        </w:rPr>
        <w:t>Administration Limited, a United Kingdom company, or a comparable or successor rate quoting service approved by the Administrative</w:t>
      </w:r>
    </w:p>
    <w:p>
      <w:pPr>
        <w:jc w:val="both"/>
        <w:spacing w:after="0" w:line="250" w:lineRule="auto"/>
        <w:rPr>
          <w:sz w:val="20"/>
          <w:szCs w:val="20"/>
          <w:color w:val="auto"/>
        </w:rPr>
      </w:pPr>
      <w:r>
        <w:rPr>
          <w:rFonts w:ascii="Arial" w:cs="Arial" w:eastAsia="Arial" w:hAnsi="Arial"/>
          <w:sz w:val="18"/>
          <w:szCs w:val="18"/>
          <w:color w:val="FF0000"/>
          <w:strike w:val="1"/>
        </w:rPr>
        <w:t>Agent, at approximately 11:00 A.M. (London time) on such day, or if such day is not a Business Day, then the immediately preceding Business Day (or if not so reported, then as determined by the Administrative Agent from another recognized source or interbank quotation).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any mortgage, pledge, hypothecation, assignment, deposit arrangement, encumbrance, lien (statutory or other), charge or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the foregoing).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any loan made by any Lender pursuant to this Agreement, including Swingline Loans, Revolving Loans and Term Loans.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this Agreement, the Notes, the Fee Letter and the Applications, in each case, including any amendment, waiver, supplement or other modification to any of the foregoing.</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London Banking Day</w:t>
      </w:r>
      <w:r>
        <w:rPr>
          <w:rFonts w:ascii="Arial" w:cs="Arial" w:eastAsia="Arial" w:hAnsi="Arial"/>
          <w:sz w:val="20"/>
          <w:szCs w:val="20"/>
          <w:color w:val="FF0000"/>
          <w:strike w:val="1"/>
        </w:rPr>
        <w:t>”: any day on which dealings in Dollar deposits are conducted by and between banks in the London interbank Eurodollar market.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Marketable Securities</w:t>
      </w:r>
      <w:r>
        <w:rPr>
          <w:rFonts w:ascii="Arial" w:cs="Arial" w:eastAsia="Arial" w:hAnsi="Arial"/>
          <w:sz w:val="20"/>
          <w:szCs w:val="20"/>
          <w:color w:val="auto"/>
        </w:rPr>
        <w:t>”: any of the following:</w:t>
      </w:r>
    </w:p>
    <w:p>
      <w:pPr>
        <w:spacing w:after="0" w:line="175" w:lineRule="exact"/>
        <w:rPr>
          <w:sz w:val="20"/>
          <w:szCs w:val="20"/>
          <w:color w:val="auto"/>
        </w:rPr>
      </w:pPr>
    </w:p>
    <w:p>
      <w:pPr>
        <w:jc w:val="both"/>
        <w:ind w:firstLine="1304"/>
        <w:spacing w:after="0" w:line="239" w:lineRule="auto"/>
        <w:tabs>
          <w:tab w:leader="none" w:pos="1759" w:val="left"/>
        </w:tabs>
        <w:numPr>
          <w:ilvl w:val="0"/>
          <w:numId w:val="47"/>
        </w:numPr>
        <w:rPr>
          <w:rFonts w:ascii="Arial" w:cs="Arial" w:eastAsia="Arial" w:hAnsi="Arial"/>
          <w:sz w:val="19"/>
          <w:szCs w:val="19"/>
          <w:color w:val="auto"/>
        </w:rPr>
      </w:pPr>
      <w:r>
        <w:rPr>
          <w:rFonts w:ascii="Arial" w:cs="Arial" w:eastAsia="Arial" w:hAnsi="Arial"/>
          <w:sz w:val="19"/>
          <w:szCs w:val="19"/>
          <w:color w:val="auto"/>
        </w:rPr>
        <w:t>Direct obligations of, or obligations the principal and interest on which are unconditionally guaranteed by, the United States of America or obligations of any agency of the United States of America to the extent such obligations are backed by the full faith and credit of the United States of America, in each case maturing within one year from the date of acquisition thereof;</w:t>
      </w:r>
    </w:p>
    <w:p>
      <w:pPr>
        <w:spacing w:after="0" w:line="157" w:lineRule="exact"/>
        <w:rPr>
          <w:rFonts w:ascii="Arial" w:cs="Arial" w:eastAsia="Arial" w:hAnsi="Arial"/>
          <w:sz w:val="19"/>
          <w:szCs w:val="19"/>
          <w:color w:val="auto"/>
        </w:rPr>
      </w:pPr>
    </w:p>
    <w:p>
      <w:pPr>
        <w:jc w:val="both"/>
        <w:ind w:firstLine="1304"/>
        <w:spacing w:after="0" w:line="239" w:lineRule="auto"/>
        <w:tabs>
          <w:tab w:leader="none" w:pos="1730" w:val="left"/>
        </w:tabs>
        <w:numPr>
          <w:ilvl w:val="0"/>
          <w:numId w:val="47"/>
        </w:numPr>
        <w:rPr>
          <w:rFonts w:ascii="Arial" w:cs="Arial" w:eastAsia="Arial" w:hAnsi="Arial"/>
          <w:sz w:val="19"/>
          <w:szCs w:val="19"/>
          <w:color w:val="auto"/>
        </w:rPr>
      </w:pPr>
      <w:r>
        <w:rPr>
          <w:rFonts w:ascii="Arial" w:cs="Arial" w:eastAsia="Arial" w:hAnsi="Arial"/>
          <w:sz w:val="19"/>
          <w:szCs w:val="19"/>
          <w:color w:val="auto"/>
        </w:rPr>
        <w:t>Certificates of deposit, time or demand deposit accounts or bankers acceptances maturing within one year from the date of acquisition thereof issued by a commercial bank or trust company organized under the laws of the United States of America or a state thereof or that is a Lender, provided that (i) such deposits or bankers acceptances are denominated in</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Dollars, (ii) such bank or trust company has capital, surplus and undivided profits of not less than $100,000,000 and (iii) such bank or trust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company has certificates of deposit or other debt obligations rated at least A-1 (or its equivalent) by S&amp;P or P-1 (or its equivalent) by Moody’s;</w:t>
      </w:r>
    </w:p>
    <w:p>
      <w:pPr>
        <w:spacing w:after="0" w:line="170" w:lineRule="exact"/>
        <w:rPr>
          <w:sz w:val="20"/>
          <w:szCs w:val="20"/>
          <w:color w:val="auto"/>
        </w:rPr>
      </w:pPr>
    </w:p>
    <w:p>
      <w:pPr>
        <w:jc w:val="both"/>
        <w:ind w:firstLine="1304"/>
        <w:spacing w:after="0" w:line="223" w:lineRule="auto"/>
        <w:tabs>
          <w:tab w:leader="none" w:pos="1752" w:val="left"/>
        </w:tabs>
        <w:numPr>
          <w:ilvl w:val="0"/>
          <w:numId w:val="48"/>
        </w:numPr>
        <w:rPr>
          <w:rFonts w:ascii="Arial" w:cs="Arial" w:eastAsia="Arial" w:hAnsi="Arial"/>
          <w:sz w:val="20"/>
          <w:szCs w:val="20"/>
          <w:color w:val="auto"/>
        </w:rPr>
      </w:pPr>
      <w:r>
        <w:rPr>
          <w:rFonts w:ascii="Arial" w:cs="Arial" w:eastAsia="Arial" w:hAnsi="Arial"/>
          <w:sz w:val="20"/>
          <w:szCs w:val="20"/>
          <w:color w:val="auto"/>
        </w:rPr>
        <w:t>Open market commercial paper maturing within 360 days from the date of acquisition thereof issued by a corporation organized under the laws of the United States of America or a state thereof, provided such commercial paper is rated at least A-1 (or its equivalent) by S&amp;P or P-1 (or its equivalent) by Moody’s;</w:t>
      </w:r>
    </w:p>
    <w:p>
      <w:pPr>
        <w:spacing w:after="0" w:line="168" w:lineRule="exact"/>
        <w:rPr>
          <w:rFonts w:ascii="Arial" w:cs="Arial" w:eastAsia="Arial" w:hAnsi="Arial"/>
          <w:sz w:val="20"/>
          <w:szCs w:val="20"/>
          <w:color w:val="auto"/>
        </w:rPr>
      </w:pPr>
    </w:p>
    <w:p>
      <w:pPr>
        <w:jc w:val="both"/>
        <w:ind w:firstLine="1304"/>
        <w:spacing w:after="0" w:line="264" w:lineRule="auto"/>
        <w:tabs>
          <w:tab w:leader="none" w:pos="1814"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repurchase agreement entered into with a commercial bank or trust company organized under the laws of the United States of America or a state thereof or that is a Lender, provided that (i) such bank or trust company has capital, surplus and undivided profits of not less than $100,000,000, (ii) such bank or trust company has certificates of deposit or other debt obligations rated at least A-1 (or its equivalent) by S&amp;P or P-1 (or its equivalent) by Moody’s, (iii) the repurchase obligations of such bank or trust company under such</w:t>
      </w:r>
    </w:p>
    <w:p>
      <w:pPr>
        <w:spacing w:after="0" w:line="222" w:lineRule="auto"/>
        <w:rPr>
          <w:sz w:val="20"/>
          <w:szCs w:val="20"/>
          <w:color w:val="auto"/>
        </w:rPr>
      </w:pPr>
      <w:r>
        <w:rPr>
          <w:rFonts w:ascii="Arial" w:cs="Arial" w:eastAsia="Arial" w:hAnsi="Arial"/>
          <w:sz w:val="18"/>
          <w:szCs w:val="18"/>
          <w:color w:val="auto"/>
        </w:rPr>
        <w:t>repurchase agreement are fully secured by a perfected security interest in a security or instrument of the type described in clause (a), (b) or</w:t>
      </w:r>
    </w:p>
    <w:p>
      <w:pPr>
        <w:spacing w:after="0" w:line="1" w:lineRule="exact"/>
        <w:rPr>
          <w:sz w:val="20"/>
          <w:szCs w:val="20"/>
          <w:color w:val="auto"/>
        </w:rPr>
      </w:pPr>
    </w:p>
    <w:p>
      <w:pPr>
        <w:ind w:right="20" w:firstLine="8"/>
        <w:spacing w:after="0" w:line="227" w:lineRule="auto"/>
        <w:tabs>
          <w:tab w:leader="none" w:pos="291" w:val="left"/>
        </w:tabs>
        <w:numPr>
          <w:ilvl w:val="0"/>
          <w:numId w:val="49"/>
        </w:numPr>
        <w:rPr>
          <w:rFonts w:ascii="Arial" w:cs="Arial" w:eastAsia="Arial" w:hAnsi="Arial"/>
          <w:sz w:val="20"/>
          <w:szCs w:val="20"/>
          <w:color w:val="auto"/>
        </w:rPr>
      </w:pPr>
      <w:r>
        <w:rPr>
          <w:rFonts w:ascii="Arial" w:cs="Arial" w:eastAsia="Arial" w:hAnsi="Arial"/>
          <w:sz w:val="20"/>
          <w:szCs w:val="20"/>
          <w:color w:val="auto"/>
        </w:rPr>
        <w:t>above and (iv) such security or instrument so securing the repurchase obligations has a fair market value at the time such repurchase agreement is entered into of not less than 100% of such repurchase obligations;</w:t>
      </w:r>
    </w:p>
    <w:p>
      <w:pPr>
        <w:spacing w:after="0" w:line="169" w:lineRule="exact"/>
        <w:rPr>
          <w:rFonts w:ascii="Arial" w:cs="Arial" w:eastAsia="Arial" w:hAnsi="Arial"/>
          <w:sz w:val="20"/>
          <w:szCs w:val="20"/>
          <w:color w:val="auto"/>
        </w:rPr>
      </w:pPr>
    </w:p>
    <w:p>
      <w:pPr>
        <w:ind w:firstLine="1304"/>
        <w:spacing w:after="0" w:line="229" w:lineRule="auto"/>
        <w:tabs>
          <w:tab w:leader="none" w:pos="1774" w:val="left"/>
        </w:tabs>
        <w:numPr>
          <w:ilvl w:val="1"/>
          <w:numId w:val="49"/>
        </w:numPr>
        <w:rPr>
          <w:rFonts w:ascii="Arial" w:cs="Arial" w:eastAsia="Arial" w:hAnsi="Arial"/>
          <w:sz w:val="20"/>
          <w:szCs w:val="20"/>
          <w:color w:val="auto"/>
        </w:rPr>
      </w:pPr>
      <w:r>
        <w:rPr>
          <w:rFonts w:ascii="Arial" w:cs="Arial" w:eastAsia="Arial" w:hAnsi="Arial"/>
          <w:sz w:val="20"/>
          <w:szCs w:val="20"/>
          <w:color w:val="auto"/>
        </w:rPr>
        <w:t>shares of any money market mutual or similar fund that has all or at least 95% of its assets invested continuously in investments satisfying the requirements of clauses (a) through (d) of this definition;</w:t>
      </w:r>
    </w:p>
    <w:p>
      <w:pPr>
        <w:spacing w:after="0" w:line="168" w:lineRule="exact"/>
        <w:rPr>
          <w:rFonts w:ascii="Arial" w:cs="Arial" w:eastAsia="Arial" w:hAnsi="Arial"/>
          <w:sz w:val="20"/>
          <w:szCs w:val="20"/>
          <w:color w:val="auto"/>
        </w:rPr>
      </w:pPr>
    </w:p>
    <w:p>
      <w:pPr>
        <w:jc w:val="both"/>
        <w:ind w:right="20" w:firstLine="1304"/>
        <w:spacing w:after="0" w:line="220" w:lineRule="auto"/>
        <w:tabs>
          <w:tab w:leader="none" w:pos="1807" w:val="left"/>
        </w:tabs>
        <w:numPr>
          <w:ilvl w:val="1"/>
          <w:numId w:val="49"/>
        </w:numPr>
        <w:rPr>
          <w:rFonts w:ascii="Arial" w:cs="Arial" w:eastAsia="Arial" w:hAnsi="Arial"/>
          <w:sz w:val="20"/>
          <w:szCs w:val="20"/>
          <w:color w:val="auto"/>
        </w:rPr>
      </w:pPr>
      <w:r>
        <w:rPr>
          <w:rFonts w:ascii="Arial" w:cs="Arial" w:eastAsia="Arial" w:hAnsi="Arial"/>
          <w:sz w:val="20"/>
          <w:szCs w:val="20"/>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155" w:lineRule="exact"/>
        <w:rPr>
          <w:rFonts w:ascii="Arial" w:cs="Arial" w:eastAsia="Arial" w:hAnsi="Arial"/>
          <w:sz w:val="20"/>
          <w:szCs w:val="20"/>
          <w:color w:val="auto"/>
        </w:rPr>
      </w:pPr>
    </w:p>
    <w:p>
      <w:pPr>
        <w:jc w:val="both"/>
        <w:ind w:firstLine="1304"/>
        <w:spacing w:after="0" w:line="227" w:lineRule="auto"/>
        <w:tabs>
          <w:tab w:leader="none" w:pos="1795" w:val="left"/>
        </w:tabs>
        <w:numPr>
          <w:ilvl w:val="1"/>
          <w:numId w:val="49"/>
        </w:numPr>
        <w:rPr>
          <w:rFonts w:ascii="Arial" w:cs="Arial" w:eastAsia="Arial" w:hAnsi="Arial"/>
          <w:sz w:val="20"/>
          <w:szCs w:val="20"/>
          <w:color w:val="auto"/>
        </w:rPr>
      </w:pPr>
      <w:r>
        <w:rPr>
          <w:rFonts w:ascii="Arial" w:cs="Arial" w:eastAsia="Arial" w:hAnsi="Arial"/>
          <w:sz w:val="20"/>
          <w:szCs w:val="20"/>
          <w:color w:val="auto"/>
        </w:rPr>
        <w:t>other marketable securities entered into in compliance with the investment policies of the Borrower delivered to the Administrative Agent prior to the Effective Date and any modifications to such investment policies after such date approved by the Administrative Agent.</w:t>
      </w:r>
    </w:p>
    <w:p>
      <w:pPr>
        <w:spacing w:after="0" w:line="15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any event or circumstance that has had or could reasonably be expected to have a material adverse effect on (a) the assets, liabilities, financial condition, businesses or operations of the Borrower and its Subsidiaries (taken as a whole); (b) the</w:t>
      </w:r>
    </w:p>
    <w:p>
      <w:pPr>
        <w:spacing w:after="0" w:line="226" w:lineRule="auto"/>
        <w:rPr>
          <w:sz w:val="20"/>
          <w:szCs w:val="20"/>
          <w:color w:val="auto"/>
        </w:rPr>
      </w:pPr>
      <w:r>
        <w:rPr>
          <w:rFonts w:ascii="Arial" w:cs="Arial" w:eastAsia="Arial" w:hAnsi="Arial"/>
          <w:sz w:val="18"/>
          <w:szCs w:val="18"/>
          <w:color w:val="auto"/>
        </w:rPr>
        <w:t>ability of the Borrower to pay or perform the Obligations in accordance with the terms of this Agreement and the other Loan Documents; (c) the rights and remedies of the Administrative Agent, the Issuing Lender or any Lender under this Agreement, the other Loan Documents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related document, instrument or agreement; or (d) the validity or enforceability of any of the Loan Documents.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Materials of Environmental Concern</w:t>
      </w:r>
      <w:r>
        <w:rPr>
          <w:rFonts w:ascii="Arial" w:cs="Arial" w:eastAsia="Arial" w:hAnsi="Arial"/>
          <w:sz w:val="18"/>
          <w:szCs w:val="18"/>
          <w:color w:val="auto"/>
        </w:rPr>
        <w:t>”: any gasoline or petroleum (including crude oil or any fraction thereof) or petroleum products or any hazardous or toxic substances, materials or wastes, defined or regulated as such in or under any Environmental Law, including</w:t>
      </w:r>
    </w:p>
    <w:p>
      <w:pPr>
        <w:spacing w:after="0"/>
        <w:rPr>
          <w:sz w:val="20"/>
          <w:szCs w:val="20"/>
          <w:color w:val="auto"/>
        </w:rPr>
      </w:pPr>
      <w:r>
        <w:rPr>
          <w:rFonts w:ascii="Arial" w:cs="Arial" w:eastAsia="Arial" w:hAnsi="Arial"/>
          <w:sz w:val="20"/>
          <w:szCs w:val="20"/>
          <w:color w:val="auto"/>
        </w:rPr>
        <w:t>asbestos, polychlorinated biphenyls and urea-formaldehyde insulation.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Moody’s Investors Service, Inc.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a Plan that is a multiemployer plan as defined in Section 4001(a)(3) of ERISA.</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w:t>
      </w:r>
      <w:r>
        <w:rPr>
          <w:rFonts w:ascii="Arial" w:cs="Arial" w:eastAsia="Arial" w:hAnsi="Arial"/>
          <w:sz w:val="20"/>
          <w:szCs w:val="20"/>
          <w:color w:val="auto"/>
        </w:rPr>
        <w:t>”: as defined in Section 2.19(b).</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Non-Excluded Taxes</w:t>
      </w:r>
      <w:r>
        <w:rPr>
          <w:rFonts w:ascii="Arial" w:cs="Arial" w:eastAsia="Arial" w:hAnsi="Arial"/>
          <w:sz w:val="20"/>
          <w:szCs w:val="20"/>
          <w:color w:val="auto"/>
        </w:rPr>
        <w:t>”: as defined in Section 2.15(a).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as defined in Section 2.15(d).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the collective reference to the Revolving Loan Notes, the Term Loan Notes and the Swingline Note.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as defined in Section 2.2.</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w:t>
      </w:r>
      <w:r>
        <w:rPr>
          <w:rFonts w:ascii="Arial" w:cs="Arial" w:eastAsia="Arial" w:hAnsi="Arial"/>
          <w:sz w:val="20"/>
          <w:szCs w:val="20"/>
          <w:color w:val="auto"/>
        </w:rPr>
        <w:t>”: as defined in Section 2.8(a).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Interest Period Selection</w:t>
      </w:r>
      <w:r>
        <w:rPr>
          <w:rFonts w:ascii="Arial" w:cs="Arial" w:eastAsia="Arial" w:hAnsi="Arial"/>
          <w:sz w:val="20"/>
          <w:szCs w:val="20"/>
          <w:color w:val="auto"/>
        </w:rPr>
        <w:t>”: as defined in Section 2.8(b).</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Swingline Borrowing</w:t>
      </w:r>
      <w:r>
        <w:rPr>
          <w:rFonts w:ascii="Arial" w:cs="Arial" w:eastAsia="Arial" w:hAnsi="Arial"/>
          <w:sz w:val="20"/>
          <w:szCs w:val="20"/>
          <w:color w:val="auto"/>
        </w:rPr>
        <w:t>”: as defined in Section 2.4(a).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Notification</w:t>
      </w:r>
      <w:r>
        <w:rPr>
          <w:rFonts w:ascii="Arial" w:cs="Arial" w:eastAsia="Arial" w:hAnsi="Arial"/>
          <w:sz w:val="20"/>
          <w:szCs w:val="20"/>
          <w:color w:val="auto"/>
        </w:rPr>
        <w:t>”: as defined in Section 10.2(d).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the unpaid principal of and interest on (including, without limitation, interest accruing after the maturity of the Loans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Reimbursement Obligations and interest accruing after the filing of any petition in bankruptcy, or the commencement of any insolvency, reorganization or like proceeding, relating to the Borrower, whether or not a claim for post-filing or post-petition interest is allowed in such</w:t>
      </w:r>
    </w:p>
    <w:p>
      <w:pPr>
        <w:spacing w:after="0" w:line="236" w:lineRule="auto"/>
        <w:rPr>
          <w:sz w:val="20"/>
          <w:szCs w:val="20"/>
          <w:color w:val="auto"/>
        </w:rPr>
      </w:pPr>
      <w:r>
        <w:rPr>
          <w:rFonts w:ascii="Arial" w:cs="Arial" w:eastAsia="Arial" w:hAnsi="Arial"/>
          <w:sz w:val="18"/>
          <w:szCs w:val="18"/>
          <w:color w:val="auto"/>
        </w:rPr>
        <w:t>proceeding) the Loans, the Reimbursement Obligations and all other obligations and liabilities of the Borrower to the Administrative Agent,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Issuing Lender or any Lender, whether direct or indirect, absolute or contingent, due or to become due, or now existing or hereafter incurred, which may arise under, out of, or in connection with, this Agreement, any other Loan Document or any other document made,</w:t>
      </w:r>
    </w:p>
    <w:p>
      <w:pPr>
        <w:spacing w:after="0" w:line="224" w:lineRule="auto"/>
        <w:rPr>
          <w:sz w:val="20"/>
          <w:szCs w:val="20"/>
          <w:color w:val="auto"/>
        </w:rPr>
      </w:pPr>
      <w:r>
        <w:rPr>
          <w:rFonts w:ascii="Arial" w:cs="Arial" w:eastAsia="Arial" w:hAnsi="Arial"/>
          <w:sz w:val="19"/>
          <w:szCs w:val="19"/>
          <w:color w:val="auto"/>
        </w:rPr>
        <w:t>delivered or given in connection herewith or therewith, whether on account of principal, interest, reimbursement obligations, fees,</w:t>
      </w:r>
    </w:p>
    <w:p>
      <w:pPr>
        <w:spacing w:after="0" w:line="220" w:lineRule="auto"/>
        <w:rPr>
          <w:sz w:val="20"/>
          <w:szCs w:val="20"/>
          <w:color w:val="auto"/>
        </w:rPr>
      </w:pPr>
      <w:r>
        <w:rPr>
          <w:rFonts w:ascii="Arial" w:cs="Arial" w:eastAsia="Arial" w:hAnsi="Arial"/>
          <w:sz w:val="20"/>
          <w:szCs w:val="20"/>
          <w:color w:val="auto"/>
        </w:rPr>
        <w:t>indemnities, costs, expenses (including, without limitation, all fees, charges and disbursements of counsel to the Administrative Agent, the Issuing Lender or any Lender that are required to be paid by the Borrower pursuant hereto) or otherwise.</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Borrower Debt Agreements</w:t>
      </w:r>
      <w:r>
        <w:rPr>
          <w:rFonts w:ascii="Arial" w:cs="Arial" w:eastAsia="Arial" w:hAnsi="Arial"/>
          <w:sz w:val="19"/>
          <w:szCs w:val="19"/>
          <w:color w:val="auto"/>
        </w:rPr>
        <w:t>”: (a) the Senior Notes, and (b) any agreement or instrument, entered into individually or in concert or in connection with any other agreement or instrument, creating, evidencing or having borrowing capacity of Indebtedness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outstanding of the Borrower equal to or greater than $100,000,000 in the aggregate.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any and all present or future stamp or documentary taxes or any other excise or property taxes, charges or similar levies arising from any payment made hereunder or from the execution, delivery or enforcement of, or otherwise with respect to, this</w:t>
      </w:r>
    </w:p>
    <w:p>
      <w:pPr>
        <w:spacing w:after="0"/>
        <w:rPr>
          <w:sz w:val="20"/>
          <w:szCs w:val="20"/>
          <w:color w:val="auto"/>
        </w:rPr>
      </w:pPr>
      <w:r>
        <w:rPr>
          <w:rFonts w:ascii="Arial" w:cs="Arial" w:eastAsia="Arial" w:hAnsi="Arial"/>
          <w:sz w:val="20"/>
          <w:szCs w:val="20"/>
          <w:color w:val="auto"/>
        </w:rPr>
        <w:t>Agreement or any other Loan Document.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as defined in Section 10.6(c).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as defined in Section 10.16.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Recipient</w:t>
      </w:r>
      <w:r>
        <w:rPr>
          <w:rFonts w:ascii="Arial" w:cs="Arial" w:eastAsia="Arial" w:hAnsi="Arial"/>
          <w:sz w:val="20"/>
          <w:szCs w:val="20"/>
          <w:color w:val="auto"/>
        </w:rPr>
        <w:t>” : as defined in Section 9.12(a).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the Pension Benefit Guaranty Corporation established pursuant to Subtitle A of Title IV of ERISA (or any successor).</w:t>
      </w:r>
    </w:p>
    <w:p>
      <w:pPr>
        <w:spacing w:after="0" w:line="187"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Percentage</w:t>
      </w:r>
      <w:r>
        <w:rPr>
          <w:rFonts w:ascii="Arial" w:cs="Arial" w:eastAsia="Arial" w:hAnsi="Arial"/>
          <w:sz w:val="20"/>
          <w:szCs w:val="20"/>
          <w:color w:val="auto"/>
        </w:rPr>
        <w:t>”: as to any Revolving Loan Lender at any time, the percentage which such Lender’s Commitment then constitutes of the Total Commitments or, at any time after the</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Commitments shall have expired or terminated, the percentage which the aggregate principal amount of such Lender’s Revolving Loans then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outstanding constitutes of the aggregate principal amount of the Revolving Loans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the Revolving Loans are paid in full prior to the reduction to zero of the Total Extensions of Credit, the Percentages shall be determined in a</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manner designed to ensure that the other outstanding Extensions of Credit (other than Extensions of Credit described in clause (d) of the definition thereof) shall be held by the Lenders on a comparable basis.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as defined in Section 7.4.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Liens permitted by Section 7.5.</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an individual, partnership, corporation, limited liability company, business trust, joint stock company, trust, unincorporated association, joint venture, Governmental Authority or other entity of whatever nature.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at a particular time, any employee benefit plan that is covered by Title IV of ERISA and in respect of which the Borrower 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 Commonly Controlled Entity is (or, if such plan were terminated at such time, would under Section 4069 of ERISA be deemed to be) an “employer” as defined in Section 3(5)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as defined in Section 10.2(c).</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any right or interest in or to property of any kind whatsoever, whether real, personal or mixed and whether tangible or intangible.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Target</w:t>
      </w:r>
      <w:r>
        <w:rPr>
          <w:rFonts w:ascii="Arial" w:cs="Arial" w:eastAsia="Arial" w:hAnsi="Arial"/>
          <w:sz w:val="20"/>
          <w:szCs w:val="20"/>
          <w:color w:val="auto"/>
        </w:rPr>
        <w:t>”: as defined in Section 7.4(b).</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a prohibited transaction class exemption issued by the U.S. Department of Labor, as any such exemption may be amended from time to time.</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Reference Time</w:t>
      </w:r>
      <w:r>
        <w:rPr>
          <w:rFonts w:ascii="Arial" w:cs="Arial" w:eastAsia="Arial" w:hAnsi="Arial"/>
          <w:sz w:val="18"/>
          <w:szCs w:val="18"/>
          <w:color w:val="FF0000"/>
          <w:strike w:val="1"/>
        </w:rPr>
        <w:t>”: with respect to any setting of the then-current Benchmark means (1) if such Benchmark is USD LIBOR, 11:00 a.m. (London time) on the day that is two (2) London Banking Days preceding the date of such setting, and (2) if such Benchmark is not</w:t>
      </w:r>
    </w:p>
    <w:p>
      <w:pPr>
        <w:spacing w:after="0"/>
        <w:rPr>
          <w:sz w:val="20"/>
          <w:szCs w:val="20"/>
          <w:color w:val="auto"/>
        </w:rPr>
      </w:pPr>
      <w:r>
        <w:rPr>
          <w:rFonts w:ascii="Arial" w:cs="Arial" w:eastAsia="Arial" w:hAnsi="Arial"/>
          <w:sz w:val="20"/>
          <w:szCs w:val="20"/>
          <w:color w:val="FF0000"/>
          <w:strike w:val="1"/>
        </w:rPr>
        <w:t>USD LIBOR, the time determined by the Administrative Agent in its reasonable discretion.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Refunded Swingline Loans</w:t>
      </w:r>
      <w:r>
        <w:rPr>
          <w:rFonts w:ascii="Arial" w:cs="Arial" w:eastAsia="Arial" w:hAnsi="Arial"/>
          <w:sz w:val="20"/>
          <w:szCs w:val="20"/>
          <w:color w:val="auto"/>
        </w:rPr>
        <w:t>”: as defined in Section 2.4(b).</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as defined in Section 10.6(b)(iv).</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Regulation U of the Board as in effect from time to time.</w:t>
      </w:r>
    </w:p>
    <w:p>
      <w:pPr>
        <w:spacing w:after="0" w:line="189"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the obligation of the Borrower to reimburse the Issuing Lender pursuant to Section 3.5 for amounts drawn under Letters of Credit issued by the Issuing Lender.</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the Board or the Federal Reserve Bank of New York, or a committee officially endorsed or convened by the Board or the Federal Reserve Bank of New York, or any successor thereto.</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Reorganization</w:t>
      </w:r>
      <w:r>
        <w:rPr>
          <w:rFonts w:ascii="Arial" w:cs="Arial" w:eastAsia="Arial" w:hAnsi="Arial"/>
          <w:sz w:val="20"/>
          <w:szCs w:val="20"/>
          <w:color w:val="auto"/>
        </w:rPr>
        <w:t>”: with respect to any Multiemployer Plan, the condition that such plan is in reorganization within the meaning of Section 4241 of ERISA.</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any of the events set forth in Section 4043(c) of ERISA, other than those events as to which the thirty-day notice period is waived under subsections .27, .28, .29, .30, .31, .32, .34 or .35 of PBGC Reg. § 4043.</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at any time, any combination of two or more Lenders having Total Credit Exposures representing more than fifty percent (50%) of the Total Credit Exposures of all Lenders or, if the Commitments have been terminated, any combination of two or</w:t>
      </w:r>
    </w:p>
    <w:p>
      <w:pPr>
        <w:jc w:val="both"/>
        <w:spacing w:after="0" w:line="255" w:lineRule="auto"/>
        <w:rPr>
          <w:sz w:val="20"/>
          <w:szCs w:val="20"/>
          <w:color w:val="auto"/>
        </w:rPr>
      </w:pPr>
      <w:r>
        <w:rPr>
          <w:rFonts w:ascii="Arial" w:cs="Arial" w:eastAsia="Arial" w:hAnsi="Arial"/>
          <w:sz w:val="16"/>
          <w:szCs w:val="16"/>
          <w:color w:val="auto"/>
        </w:rPr>
        <w:t>more Lenders holding more than fifty percent (50%) of the Revolving Loan Exposure and outstanding Term Loans at such time. In each case, at any time any Lender is a Defaulting Lender, all Defaulting Lenders shall be excluded in determining “Required Lenders” and “Required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Lenders” shall mean non-Defaulting Lenders otherwise meeting the criteria set forth in this definition.</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(a) the Certificate of Incorporation and By-Laws or other organizational or governing documents of such Person, and (b) any law, treaty, rule or regulation or determination of an arbitrator or a court or other Governmental</w:t>
      </w:r>
    </w:p>
    <w:p>
      <w:pPr>
        <w:jc w:val="both"/>
        <w:ind w:right="20"/>
        <w:spacing w:after="0" w:line="227" w:lineRule="auto"/>
        <w:rPr>
          <w:sz w:val="20"/>
          <w:szCs w:val="20"/>
          <w:color w:val="auto"/>
        </w:rPr>
      </w:pPr>
      <w:r>
        <w:rPr>
          <w:rFonts w:ascii="Arial" w:cs="Arial" w:eastAsia="Arial" w:hAnsi="Arial"/>
          <w:sz w:val="20"/>
          <w:szCs w:val="20"/>
          <w:color w:val="auto"/>
        </w:rPr>
        <w:t>Authority, in each case applicable to or binding upon such Person or any of its property or to which such Person or any of its property is subject.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Resolution Authority</w:t>
      </w:r>
      <w:r>
        <w:rPr>
          <w:rFonts w:ascii="Arial" w:cs="Arial" w:eastAsia="Arial" w:hAnsi="Arial"/>
          <w:sz w:val="19"/>
          <w:szCs w:val="19"/>
          <w:color w:val="auto"/>
        </w:rPr>
        <w:t>”: an EEA Resolution Authority or, with respect to any UK Financial Institution, a UK Resolution Authority.</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the chief executive officer, president, chief financial officer, treasurer or general counsel of the Borrower, but in any event, with respect to financial matters, the chief financial officer or treasurer of the Borrower.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Increase</w:t>
      </w:r>
      <w:r>
        <w:rPr>
          <w:rFonts w:ascii="Arial" w:cs="Arial" w:eastAsia="Arial" w:hAnsi="Arial"/>
          <w:sz w:val="20"/>
          <w:szCs w:val="20"/>
          <w:color w:val="auto"/>
        </w:rPr>
        <w:t>”: as defined in Section 2.19(a).</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 Exposure</w:t>
      </w:r>
      <w:r>
        <w:rPr>
          <w:rFonts w:ascii="Arial" w:cs="Arial" w:eastAsia="Arial" w:hAnsi="Arial"/>
          <w:sz w:val="19"/>
          <w:szCs w:val="19"/>
          <w:color w:val="auto"/>
        </w:rPr>
        <w:t>”: as to any Revolving Loan Lender at any time, the aggregate principal amount at such time of its outstanding Revolving Loans and such Revolving Loan Lender’s participation in L/C Obligations and Swingline Loans at such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Lender</w:t>
      </w:r>
      <w:r>
        <w:rPr>
          <w:rFonts w:ascii="Arial" w:cs="Arial" w:eastAsia="Arial" w:hAnsi="Arial"/>
          <w:sz w:val="20"/>
          <w:szCs w:val="20"/>
          <w:color w:val="auto"/>
        </w:rPr>
        <w:t>”: a Lender with a Commitment.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Notes</w:t>
      </w:r>
      <w:r>
        <w:rPr>
          <w:rFonts w:ascii="Arial" w:cs="Arial" w:eastAsia="Arial" w:hAnsi="Arial"/>
          <w:sz w:val="20"/>
          <w:szCs w:val="20"/>
          <w:color w:val="auto"/>
        </w:rPr>
        <w:t>”: as defined in Section 2.13(f).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Loans</w:t>
      </w:r>
      <w:r>
        <w:rPr>
          <w:rFonts w:ascii="Arial" w:cs="Arial" w:eastAsia="Arial" w:hAnsi="Arial"/>
          <w:sz w:val="20"/>
          <w:szCs w:val="20"/>
          <w:color w:val="auto"/>
        </w:rPr>
        <w:t>”: as defined in Section 2.1.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Standard &amp; Poor’s Ratings Services.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(a) the $400,000,000 of senior notes issued pursuant to that certain Senior Notes Indenture, dated May 8, 2018, among the Borrower and U.S. Bank National Association, as trustee, and (b) the $350,000,000 of senior notes issued pursuant to that certain Senior Notes Indenture, dated December 6, 2019, among the Borrower and U.S. Bank National Association, as trustee.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any Plan that is covered by Title IV of ERISA, but that is not a Multiemployer Plan.</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xml:space="preserve">”: </w:t>
      </w:r>
      <w:r>
        <w:rPr>
          <w:rFonts w:ascii="Arial" w:cs="Arial" w:eastAsia="Arial" w:hAnsi="Arial"/>
          <w:sz w:val="20"/>
          <w:szCs w:val="20"/>
          <w:color w:val="FF0000"/>
        </w:rPr>
        <w:t>with respect to any Business Day,</w:t>
      </w:r>
      <w:r>
        <w:rPr>
          <w:rFonts w:ascii="Arial" w:cs="Arial" w:eastAsia="Arial" w:hAnsi="Arial"/>
          <w:sz w:val="20"/>
          <w:szCs w:val="20"/>
          <w:color w:val="auto"/>
        </w:rPr>
        <w:t xml:space="preserve"> a rate </w:t>
      </w:r>
      <w:r>
        <w:rPr>
          <w:rFonts w:ascii="Arial" w:cs="Arial" w:eastAsia="Arial" w:hAnsi="Arial"/>
          <w:sz w:val="20"/>
          <w:szCs w:val="20"/>
          <w:color w:val="FF0000"/>
          <w:strike w:val="1"/>
        </w:rPr>
        <w:t>per annum</w:t>
      </w:r>
      <w:r>
        <w:rPr>
          <w:rFonts w:ascii="Arial" w:cs="Arial" w:eastAsia="Arial" w:hAnsi="Arial"/>
          <w:sz w:val="20"/>
          <w:szCs w:val="20"/>
          <w:color w:val="auto"/>
        </w:rPr>
        <w:t xml:space="preserve"> equal to the secured overnight financing rate </w:t>
      </w:r>
      <w:r>
        <w:rPr>
          <w:rFonts w:ascii="Arial" w:cs="Arial" w:eastAsia="Arial" w:hAnsi="Arial"/>
          <w:sz w:val="20"/>
          <w:szCs w:val="20"/>
          <w:color w:val="FF0000"/>
          <w:strike w:val="1"/>
        </w:rPr>
        <w:t>for such Business Day</w:t>
      </w:r>
      <w:r>
        <w:rPr>
          <w:rFonts w:ascii="Arial" w:cs="Arial" w:eastAsia="Arial" w:hAnsi="Arial"/>
          <w:sz w:val="20"/>
          <w:szCs w:val="20"/>
          <w:color w:val="auto"/>
        </w:rPr>
        <w:t xml:space="preserve"> </w:t>
      </w:r>
      <w:r>
        <w:rPr>
          <w:rFonts w:ascii="Arial" w:cs="Arial" w:eastAsia="Arial" w:hAnsi="Arial"/>
          <w:sz w:val="20"/>
          <w:szCs w:val="20"/>
          <w:color w:val="FF0000"/>
          <w:strike w:val="1"/>
        </w:rPr>
        <w:t>published</w:t>
      </w:r>
      <w:r>
        <w:rPr>
          <w:rFonts w:ascii="Arial" w:cs="Arial" w:eastAsia="Arial" w:hAnsi="Arial"/>
          <w:sz w:val="20"/>
          <w:szCs w:val="20"/>
          <w:u w:val="single" w:color="auto"/>
          <w:color w:val="0000FF"/>
        </w:rPr>
        <w:t>as administered</w:t>
      </w:r>
      <w:r>
        <w:rPr>
          <w:rFonts w:ascii="Arial" w:cs="Arial" w:eastAsia="Arial" w:hAnsi="Arial"/>
          <w:sz w:val="20"/>
          <w:szCs w:val="20"/>
          <w:color w:val="FF0000"/>
        </w:rPr>
        <w:t xml:space="preserve"> </w:t>
      </w:r>
      <w:r>
        <w:rPr>
          <w:rFonts w:ascii="Arial" w:cs="Arial" w:eastAsia="Arial" w:hAnsi="Arial"/>
          <w:sz w:val="20"/>
          <w:szCs w:val="20"/>
          <w:color w:val="000000"/>
        </w:rPr>
        <w:t>by the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-207010</wp:posOffset>
            </wp:positionV>
            <wp:extent cx="1786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Administrator </w:t>
      </w:r>
      <w:r>
        <w:rPr>
          <w:rFonts w:ascii="Arial" w:cs="Arial" w:eastAsia="Arial" w:hAnsi="Arial"/>
          <w:sz w:val="20"/>
          <w:szCs w:val="20"/>
          <w:color w:val="FF0000"/>
        </w:rPr>
        <w:t>on the SOFR Administrator’s Website on the immediately succeeding Business Day</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-66040</wp:posOffset>
            </wp:positionV>
            <wp:extent cx="42551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4255135" cy="8255"/>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the Federal Reserve Bank of New York (or a successor administrator of the secured overnight financing</w:t>
      </w:r>
    </w:p>
    <w:p>
      <w:pPr>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Administrator’s Website</w:t>
      </w:r>
      <w:r>
        <w:rPr>
          <w:rFonts w:ascii="Arial" w:cs="Arial" w:eastAsia="Arial" w:hAnsi="Arial"/>
          <w:sz w:val="18"/>
          <w:szCs w:val="18"/>
          <w:color w:val="FF0000"/>
          <w:strike w:val="1"/>
        </w:rPr>
        <w:t>”: the website of the Federal Reserve Bank of New York, currently at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http://www.newyorkfed.org</w:t>
      </w:r>
      <w:r>
        <w:rPr>
          <w:rFonts w:ascii="Arial" w:cs="Arial" w:eastAsia="Arial" w:hAnsi="Arial"/>
          <w:sz w:val="18"/>
          <w:szCs w:val="18"/>
          <w:color w:val="FF0000"/>
          <w:strike w:val="1"/>
        </w:rPr>
        <w:t>, or</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FF0000"/>
          <w:strike w:val="1"/>
        </w:rPr>
        <w:t>any successor source for the secured overnight financing rate identified as such by the SOFR Administrator from time to time</w:t>
      </w:r>
      <w:r>
        <w:rPr>
          <w:rFonts w:ascii="Arial" w:cs="Arial" w:eastAsia="Arial" w:hAnsi="Arial"/>
          <w:sz w:val="20"/>
          <w:szCs w:val="20"/>
          <w:u w:val="single" w:color="auto"/>
          <w:color w:val="0000FF"/>
          <w:strike w:val="1"/>
        </w:rPr>
        <w:t>Loan”: any</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Loan bearing interest at a rate based on Adjusted Term SOFR.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0000FF"/>
        </w:rPr>
        <w:t xml:space="preserve">“SOFR </w:t>
      </w:r>
      <w:r>
        <w:rPr>
          <w:rFonts w:ascii="Arial" w:cs="Arial" w:eastAsia="Arial" w:hAnsi="Arial"/>
          <w:sz w:val="19"/>
          <w:szCs w:val="19"/>
          <w:u w:val="single" w:color="auto"/>
          <w:color w:val="00C000"/>
        </w:rPr>
        <w:t>Tranche”: the collective reference to</w:t>
      </w:r>
      <w:r>
        <w:rPr>
          <w:rFonts w:ascii="Arial" w:cs="Arial" w:eastAsia="Arial" w:hAnsi="Arial"/>
          <w:sz w:val="19"/>
          <w:szCs w:val="19"/>
          <w:u w:val="single" w:color="auto"/>
          <w:color w:val="0000FF"/>
        </w:rPr>
        <w:t xml:space="preserve"> SOFR </w:t>
      </w:r>
      <w:r>
        <w:rPr>
          <w:rFonts w:ascii="Arial" w:cs="Arial" w:eastAsia="Arial" w:hAnsi="Arial"/>
          <w:sz w:val="19"/>
          <w:szCs w:val="19"/>
          <w:u w:val="single" w:color="auto"/>
          <w:color w:val="00C000"/>
        </w:rPr>
        <w:t>Loans the then current Interest Periods with respect to all of which begin on the</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C000"/>
        </w:rPr>
        <w:t>same date and end on the same later date (whether or not such Loans shall originally have been made on the same day)</w:t>
      </w:r>
      <w:r>
        <w:rPr>
          <w:rFonts w:ascii="Arial" w:cs="Arial" w:eastAsia="Arial" w:hAnsi="Arial"/>
          <w:sz w:val="19"/>
          <w:szCs w:val="19"/>
          <w:color w:val="000000"/>
        </w:rPr>
        <w:t>.</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with respect to any Person on any date, that on such date (a) the fair value of the property of such Person is greater than the fair value of the liabilities (including contingent, subordinated, matured and unliquidated liabilities) of such Person, (b) the present fair</w:t>
      </w:r>
    </w:p>
    <w:p>
      <w:pPr>
        <w:jc w:val="both"/>
        <w:spacing w:after="0" w:line="226" w:lineRule="auto"/>
        <w:rPr>
          <w:sz w:val="20"/>
          <w:szCs w:val="20"/>
          <w:color w:val="auto"/>
        </w:rPr>
      </w:pPr>
      <w:r>
        <w:rPr>
          <w:rFonts w:ascii="Arial" w:cs="Arial" w:eastAsia="Arial" w:hAnsi="Arial"/>
          <w:sz w:val="18"/>
          <w:szCs w:val="18"/>
          <w:color w:val="auto"/>
        </w:rPr>
        <w:t>saleable value of the assets of such Person is greater than the amount that will be required to pay the probable liability of such Person on its debts as they become absolute and matured, (c) such Person does not intend to, and does not believe that it will, incur debts or liabilities</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beyond such Person’s ability to pay as such debts and liabilities mature and (d) such Person is not engaged in or about to engage in business or transactions for which such Person’s Property would constitute an unreasonably small capital.</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Exchange Act Filings</w:t>
      </w:r>
      <w:r>
        <w:rPr>
          <w:rFonts w:ascii="Arial" w:cs="Arial" w:eastAsia="Arial" w:hAnsi="Arial"/>
          <w:sz w:val="20"/>
          <w:szCs w:val="20"/>
          <w:color w:val="auto"/>
        </w:rPr>
        <w:t>”: the Borrower’s Form 10-K annual report for the year ended September 30, 2020, and each and all of the Form 8-Ks (and to the extent applicable proxy statements) filed by the Borrower with the SEC after September 30, 2020, and prior to the date that is one Business Day before the date of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a corporation, partnership, limited liability company or other entity of which shares of Capital Stock</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having ordinary voting power (other than Capital Stock having such power only by reason of the happening of a contingency) to elect a majority of the board of directors or other managers of such corporation, partnership or other entity are at the time owned, or the management</w:t>
      </w:r>
    </w:p>
    <w:p>
      <w:pPr>
        <w:spacing w:after="0" w:line="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each Subsidiary which is party to the Subsidiary Guaranty.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Guaranty</w:t>
      </w:r>
      <w:r>
        <w:rPr>
          <w:rFonts w:ascii="Arial" w:cs="Arial" w:eastAsia="Arial" w:hAnsi="Arial"/>
          <w:sz w:val="20"/>
          <w:szCs w:val="20"/>
          <w:color w:val="auto"/>
        </w:rPr>
        <w:t>”: as defined in Section 6.11.</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any agreement with respect to any swap, forward, future or derivative transaction or option or similar agreement involving, or settled by reference to, one or more rates, currencies, commodities, equity or debt instruments or securities, or economic,</w:t>
      </w:r>
    </w:p>
    <w:p>
      <w:pPr>
        <w:jc w:val="both"/>
        <w:spacing w:after="0" w:line="227" w:lineRule="auto"/>
        <w:rPr>
          <w:sz w:val="20"/>
          <w:szCs w:val="20"/>
          <w:color w:val="auto"/>
        </w:rPr>
      </w:pPr>
      <w:r>
        <w:rPr>
          <w:rFonts w:ascii="Arial" w:cs="Arial" w:eastAsia="Arial" w:hAnsi="Arial"/>
          <w:sz w:val="20"/>
          <w:szCs w:val="20"/>
          <w:color w:val="auto"/>
        </w:rPr>
        <w:t>financial or pricing indices or measures of economic, financial or pricing risk or value or any similar transaction or any combination of these transactions.</w:t>
      </w:r>
    </w:p>
    <w:p>
      <w:pPr>
        <w:spacing w:after="0" w:line="15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the obligation of the Swingline Lender to make Swingline Loans pursuant to Section 2.3 in an aggregate principal amount at any one time outstanding not to exceed $25,000,000.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Wells Fargo, in its capacity as the lender of Swingline Loans, or any successor swing line lender hereunder.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Loans</w:t>
      </w:r>
      <w:r>
        <w:rPr>
          <w:rFonts w:ascii="Arial" w:cs="Arial" w:eastAsia="Arial" w:hAnsi="Arial"/>
          <w:sz w:val="20"/>
          <w:szCs w:val="20"/>
          <w:color w:val="auto"/>
        </w:rPr>
        <w:t>”: as defined in Section 2.3.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Note</w:t>
      </w:r>
      <w:r>
        <w:rPr>
          <w:rFonts w:ascii="Arial" w:cs="Arial" w:eastAsia="Arial" w:hAnsi="Arial"/>
          <w:sz w:val="20"/>
          <w:szCs w:val="20"/>
          <w:color w:val="auto"/>
        </w:rPr>
        <w:t>”: as defined in Section 2.13(g).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Participation Amount</w:t>
      </w:r>
      <w:r>
        <w:rPr>
          <w:rFonts w:ascii="Arial" w:cs="Arial" w:eastAsia="Arial" w:hAnsi="Arial"/>
          <w:sz w:val="20"/>
          <w:szCs w:val="20"/>
          <w:color w:val="auto"/>
        </w:rPr>
        <w:t>”: as defined in Section 2.4(c).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Lender</w:t>
      </w:r>
      <w:r>
        <w:rPr>
          <w:rFonts w:ascii="Arial" w:cs="Arial" w:eastAsia="Arial" w:hAnsi="Arial"/>
          <w:sz w:val="20"/>
          <w:szCs w:val="20"/>
          <w:color w:val="auto"/>
        </w:rPr>
        <w:t>”: any Lender holding outstanding Term Loans.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xml:space="preserve">”: (a) with regard to the Initial Term Loans, the first to occur of (i) August 19, 2026, and (ii) the date of acceleration of the Obligations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(b) with regard to any Incremental Term Loan, the earlier of (i) the maturity date thereof as determined by the applicable Lenders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(ii) the acceleration of the Obligations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Notes</w:t>
      </w:r>
      <w:r>
        <w:rPr>
          <w:rFonts w:ascii="Arial" w:cs="Arial" w:eastAsia="Arial" w:hAnsi="Arial"/>
          <w:sz w:val="20"/>
          <w:szCs w:val="20"/>
          <w:color w:val="auto"/>
        </w:rPr>
        <w:t>”: as defined in Section 2.13(h).</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Loans</w:t>
      </w:r>
      <w:r>
        <w:rPr>
          <w:rFonts w:ascii="Arial" w:cs="Arial" w:eastAsia="Arial" w:hAnsi="Arial"/>
          <w:sz w:val="19"/>
          <w:szCs w:val="19"/>
          <w:color w:val="auto"/>
        </w:rPr>
        <w:t>”: the Initial Term Loans and any Incremental Term Loan, and “</w:t>
      </w:r>
      <w:r>
        <w:rPr>
          <w:rFonts w:ascii="Arial" w:cs="Arial" w:eastAsia="Arial" w:hAnsi="Arial"/>
          <w:sz w:val="19"/>
          <w:szCs w:val="19"/>
          <w:u w:val="single" w:color="auto"/>
          <w:color w:val="auto"/>
        </w:rPr>
        <w:t>Term Loan</w:t>
      </w:r>
      <w:r>
        <w:rPr>
          <w:rFonts w:ascii="Arial" w:cs="Arial" w:eastAsia="Arial" w:hAnsi="Arial"/>
          <w:sz w:val="19"/>
          <w:szCs w:val="19"/>
          <w:color w:val="auto"/>
        </w:rPr>
        <w:t>” means any of such Term Loans.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xml:space="preserve">”: </w:t>
      </w:r>
      <w:r>
        <w:rPr>
          <w:rFonts w:ascii="Arial" w:cs="Arial" w:eastAsia="Arial" w:hAnsi="Arial"/>
          <w:sz w:val="20"/>
          <w:szCs w:val="20"/>
          <w:color w:val="FF0000"/>
          <w:strike w:val="1"/>
        </w:rPr>
        <w:t>for the applicable Corresponding Tenor as of the applicable Reference Time,</w:t>
      </w:r>
      <w:r>
        <w:rPr>
          <w:rFonts w:ascii="Arial" w:cs="Arial" w:eastAsia="Arial" w:hAnsi="Arial"/>
          <w:sz w:val="20"/>
          <w:szCs w:val="20"/>
          <w:color w:val="auto"/>
        </w:rPr>
        <w:t xml:space="preserve"> </w:t>
      </w:r>
      <w:r>
        <w:rPr>
          <w:rFonts w:ascii="Arial" w:cs="Arial" w:eastAsia="Arial" w:hAnsi="Arial"/>
          <w:sz w:val="20"/>
          <w:szCs w:val="20"/>
          <w:color w:val="00C000"/>
        </w:rPr>
        <w:t>the forward-looking term rate based on</w:t>
      </w:r>
      <w:r>
        <w:rPr>
          <w:rFonts w:ascii="Arial" w:cs="Arial" w:eastAsia="Arial" w:hAnsi="Arial"/>
          <w:sz w:val="20"/>
          <w:szCs w:val="20"/>
          <w:color w:val="auto"/>
        </w:rPr>
        <w:t xml:space="preserve"> </w:t>
      </w:r>
      <w:r>
        <w:rPr>
          <w:rFonts w:ascii="Arial" w:cs="Arial" w:eastAsia="Arial" w:hAnsi="Arial"/>
          <w:sz w:val="20"/>
          <w:szCs w:val="20"/>
          <w:color w:val="FF0000"/>
          <w:strike w:val="1"/>
        </w:rPr>
        <w:t>SOFR that has been selected or recommended by the Relevant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-198755</wp:posOffset>
            </wp:positionV>
            <wp:extent cx="20300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030095" cy="8255"/>
                    </a:xfrm>
                    <a:prstGeom prst="rect">
                      <a:avLst/>
                    </a:prstGeom>
                    <a:noFill/>
                  </pic:spPr>
                </pic:pic>
              </a:graphicData>
            </a:graphic>
          </wp:anchor>
        </w:drawing>
      </w:r>
    </w:p>
    <w:p>
      <w:pPr>
        <w:spacing w:after="0" w:line="14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Term SOFR Notice</w:t>
      </w:r>
      <w:r>
        <w:rPr>
          <w:rFonts w:ascii="Arial" w:cs="Arial" w:eastAsia="Arial" w:hAnsi="Arial"/>
          <w:sz w:val="20"/>
          <w:szCs w:val="20"/>
          <w:color w:val="FF0000"/>
          <w:strike w:val="1"/>
        </w:rPr>
        <w:t>”: a notification by the Administrative Agent to the Lenders and the Borrower of the occurrence of a Term SOFR Transition Event.</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Term SOFR Transition Event</w:t>
      </w:r>
      <w:r>
        <w:rPr>
          <w:rFonts w:ascii="Arial" w:cs="Arial" w:eastAsia="Arial" w:hAnsi="Arial"/>
          <w:sz w:val="18"/>
          <w:szCs w:val="18"/>
          <w:color w:val="FF0000"/>
          <w:strike w:val="1"/>
        </w:rPr>
        <w:t>”: the determination</w:t>
      </w:r>
      <w:r>
        <w:rPr>
          <w:rFonts w:ascii="Arial" w:cs="Arial" w:eastAsia="Arial" w:hAnsi="Arial"/>
          <w:sz w:val="18"/>
          <w:szCs w:val="18"/>
          <w:color w:val="FF0000"/>
        </w:rPr>
        <w:t xml:space="preserve"> </w:t>
      </w:r>
      <w:r>
        <w:rPr>
          <w:rFonts w:ascii="Arial" w:cs="Arial" w:eastAsia="Arial" w:hAnsi="Arial"/>
          <w:sz w:val="18"/>
          <w:szCs w:val="18"/>
          <w:color w:val="00C000"/>
        </w:rPr>
        <w:t>by the Administrative Agent</w:t>
      </w:r>
      <w:r>
        <w:rPr>
          <w:rFonts w:ascii="Arial" w:cs="Arial" w:eastAsia="Arial" w:hAnsi="Arial"/>
          <w:sz w:val="18"/>
          <w:szCs w:val="18"/>
          <w:color w:val="FF0000"/>
        </w:rPr>
        <w:t xml:space="preserve"> </w:t>
      </w:r>
      <w:r>
        <w:rPr>
          <w:rFonts w:ascii="Arial" w:cs="Arial" w:eastAsia="Arial" w:hAnsi="Arial"/>
          <w:sz w:val="18"/>
          <w:szCs w:val="18"/>
          <w:color w:val="FF0000"/>
          <w:strike w:val="1"/>
        </w:rPr>
        <w:t>that (a) Term SOFR has been recommended for use</w:t>
      </w:r>
      <w:r>
        <w:rPr>
          <w:rFonts w:ascii="Arial" w:cs="Arial" w:eastAsia="Arial" w:hAnsi="Arial"/>
          <w:sz w:val="18"/>
          <w:szCs w:val="18"/>
          <w:color w:val="FF0000"/>
        </w:rPr>
        <w:t xml:space="preserve"> </w:t>
      </w:r>
      <w:r>
        <w:rPr>
          <w:rFonts w:ascii="Arial" w:cs="Arial" w:eastAsia="Arial" w:hAnsi="Arial"/>
          <w:sz w:val="18"/>
          <w:szCs w:val="18"/>
          <w:color w:val="FF0000"/>
          <w:strike w:val="1"/>
        </w:rPr>
        <w:t>by the Relevant Governmental Body, (b) the administration of Term SOFR is administratively feasible for the Administrative Agent and (c)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-187325</wp:posOffset>
            </wp:positionV>
            <wp:extent cx="15309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jc w:val="both"/>
        <w:spacing w:after="0" w:line="226" w:lineRule="auto"/>
        <w:rPr>
          <w:sz w:val="20"/>
          <w:szCs w:val="20"/>
          <w:color w:val="auto"/>
        </w:rPr>
      </w:pPr>
      <w:r>
        <w:rPr>
          <w:rFonts w:ascii="Arial" w:cs="Arial" w:eastAsia="Arial" w:hAnsi="Arial"/>
          <w:sz w:val="18"/>
          <w:szCs w:val="18"/>
          <w:color w:val="FF0000"/>
          <w:strike w:val="1"/>
        </w:rPr>
        <w:t xml:space="preserve">Benchmark Transition Event or an Early Opt-in Election, as applicable, has previously occurred resulting in the replacement of the then-current Benchmark for all purposes hereunder and under any Loan Document in accordance with </w:t>
      </w:r>
      <w:r>
        <w:rPr>
          <w:rFonts w:ascii="Arial" w:cs="Arial" w:eastAsia="Arial" w:hAnsi="Arial"/>
          <w:sz w:val="18"/>
          <w:szCs w:val="18"/>
          <w:u w:val="single" w:color="auto"/>
          <w:color w:val="FF0000"/>
          <w:strike w:val="1"/>
        </w:rPr>
        <w:t>Section 2.12(c)</w:t>
      </w:r>
      <w:r>
        <w:rPr>
          <w:rFonts w:ascii="Arial" w:cs="Arial" w:eastAsia="Arial" w:hAnsi="Arial"/>
          <w:sz w:val="18"/>
          <w:szCs w:val="18"/>
          <w:color w:val="FF0000"/>
          <w:strike w:val="1"/>
        </w:rPr>
        <w:t xml:space="preserve"> with a Benchmark</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Replacement the Unadjusted Benchmark Replacement component of which is not Term</w:t>
      </w:r>
    </w:p>
    <w:p>
      <w:pPr>
        <w:spacing w:after="0" w:line="159" w:lineRule="exact"/>
        <w:rPr>
          <w:sz w:val="20"/>
          <w:szCs w:val="20"/>
          <w:color w:val="auto"/>
        </w:rPr>
      </w:pPr>
    </w:p>
    <w:p>
      <w:pPr>
        <w:jc w:val="both"/>
        <w:ind w:firstLine="656"/>
        <w:spacing w:after="0" w:line="237" w:lineRule="auto"/>
        <w:tabs>
          <w:tab w:leader="none" w:pos="1151"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90" w:lineRule="exact"/>
        <w:rPr>
          <w:sz w:val="20"/>
          <w:szCs w:val="20"/>
          <w:color w:val="auto"/>
        </w:rPr>
      </w:pPr>
    </w:p>
    <w:p>
      <w:pPr>
        <w:jc w:val="both"/>
        <w:ind w:firstLine="656"/>
        <w:spacing w:after="0" w:line="223" w:lineRule="auto"/>
        <w:tabs>
          <w:tab w:leader="none" w:pos="1115" w:val="left"/>
        </w:tabs>
        <w:numPr>
          <w:ilvl w:val="0"/>
          <w:numId w:val="51"/>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calculation with respect to an ABR Loan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(Eastern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“Term SOFR Adjustment”: a percentage equal to 0.10% per annum.</w:t>
      </w:r>
    </w:p>
    <w:p>
      <w:pPr>
        <w:spacing w:after="0" w:line="189"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u w:val="single" w:color="auto"/>
          <w:color w:val="0000FF"/>
        </w:rPr>
        <w:t>“Term SOFR Administrator”: CME Group Benchmark Administration Limited (CBA) (or a successor administrator of the Term SOFR Reference Rate selected</w:t>
      </w:r>
      <w:r>
        <w:rPr>
          <w:rFonts w:ascii="Arial" w:cs="Arial" w:eastAsia="Arial" w:hAnsi="Arial"/>
          <w:sz w:val="20"/>
          <w:szCs w:val="20"/>
          <w:color w:val="0000FF"/>
        </w:rPr>
        <w:t xml:space="preserve"> </w:t>
      </w:r>
      <w:r>
        <w:rPr>
          <w:rFonts w:ascii="Arial" w:cs="Arial" w:eastAsia="Arial" w:hAnsi="Arial"/>
          <w:sz w:val="20"/>
          <w:szCs w:val="20"/>
          <w:color w:val="00C000"/>
        </w:rPr>
        <w:t>by the Administrative Agent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-27305</wp:posOffset>
            </wp:positionV>
            <wp:extent cx="14966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1496695" cy="8890"/>
                    </a:xfrm>
                    <a:prstGeom prst="rect">
                      <a:avLst/>
                    </a:prstGeom>
                    <a:noFill/>
                  </pic:spPr>
                </pic:pic>
              </a:graphicData>
            </a:graphic>
          </wp:anchor>
        </w:drawing>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“Term SOFR Reference Rate:”</w:t>
      </w:r>
      <w:r>
        <w:rPr>
          <w:rFonts w:ascii="Arial" w:cs="Arial" w:eastAsia="Arial" w:hAnsi="Arial"/>
          <w:sz w:val="20"/>
          <w:szCs w:val="20"/>
          <w:color w:val="0000FF"/>
        </w:rPr>
        <w:t xml:space="preserve"> </w:t>
      </w:r>
      <w:r>
        <w:rPr>
          <w:rFonts w:ascii="Arial" w:cs="Arial" w:eastAsia="Arial" w:hAnsi="Arial"/>
          <w:sz w:val="20"/>
          <w:szCs w:val="20"/>
          <w:color w:val="00C000"/>
        </w:rPr>
        <w:t>the forward-looking term rate based on</w:t>
      </w:r>
      <w:r>
        <w:rPr>
          <w:rFonts w:ascii="Arial" w:cs="Arial" w:eastAsia="Arial" w:hAnsi="Arial"/>
          <w:sz w:val="20"/>
          <w:szCs w:val="20"/>
          <w:color w:val="0000FF"/>
        </w:rPr>
        <w:t xml:space="preserve"> </w:t>
      </w:r>
      <w:r>
        <w:rPr>
          <w:rFonts w:ascii="Arial" w:cs="Arial" w:eastAsia="Arial" w:hAnsi="Arial"/>
          <w:sz w:val="20"/>
          <w:szCs w:val="20"/>
          <w:color w:val="000000"/>
        </w:rPr>
        <w:t>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1974215</wp:posOffset>
            </wp:positionH>
            <wp:positionV relativeFrom="paragraph">
              <wp:posOffset>-14605</wp:posOffset>
            </wp:positionV>
            <wp:extent cx="19958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995805" cy="8890"/>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August 19, 2026, or such earlier date as otherwise determined pursuant to Section 2.6.</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Commitments</w:t>
      </w:r>
      <w:r>
        <w:rPr>
          <w:rFonts w:ascii="Arial" w:cs="Arial" w:eastAsia="Arial" w:hAnsi="Arial"/>
          <w:sz w:val="20"/>
          <w:szCs w:val="20"/>
          <w:color w:val="auto"/>
        </w:rPr>
        <w:t>”: at any time, $600,000,000 or, if such amount is reduced pursuant to Section 2.6, the amount to which so reduced and in effect at such time or, if such amount is increased pursuant to Section 2.19, the amount to which it is increased and in effect at such time.</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as to any Lender at any time, the unused Commitments, Revolving Loan Exposure and outstanding Term Loans of such Lender at such time.</w:t>
      </w:r>
    </w:p>
    <w:p>
      <w:pPr>
        <w:spacing w:after="0" w:line="155"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Extensions of Credit</w:t>
      </w:r>
      <w:r>
        <w:rPr>
          <w:rFonts w:ascii="Arial" w:cs="Arial" w:eastAsia="Arial" w:hAnsi="Arial"/>
          <w:sz w:val="20"/>
          <w:szCs w:val="20"/>
          <w:color w:val="auto"/>
        </w:rPr>
        <w:t>”: at any time, the aggregate amount of the Extensions of Credit of all Lenders at such time (other than Extensions of Credit described in clause (d) of the definition thereof).</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at the end of any fiscal quarter, the ratio of (a) Indebtedness of the Borrower and its Subsidiaries on a consolidated basis at such time minus the amount of cash and Marketable Securities (valued at fair market value) at such time in excess of</w:t>
      </w:r>
    </w:p>
    <w:p>
      <w:pPr>
        <w:spacing w:after="0"/>
        <w:rPr>
          <w:sz w:val="20"/>
          <w:szCs w:val="20"/>
          <w:color w:val="auto"/>
        </w:rPr>
      </w:pPr>
      <w:r>
        <w:rPr>
          <w:rFonts w:ascii="Arial" w:cs="Arial" w:eastAsia="Arial" w:hAnsi="Arial"/>
          <w:sz w:val="20"/>
          <w:szCs w:val="20"/>
          <w:color w:val="auto"/>
        </w:rPr>
        <w:t>$50,000,000, to (b) EBITDA for the four consecutive quarter period ended as of the end of the such fiscal quarter.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any Assignee or Participant.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xml:space="preserve">”: as to any Loan, its nature as an ABR Loan or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any BRRD Undertaking (as such term is defined under the PRA Rulebook (as amended from time to</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time) promulgated by the United Kingdom Prudential Regulation Authority) or any person falling within IFPRU 11.6 of the FCA Handbook (as amended from time to time) promulgated by the United Kingdom Financial Conduct Authority, which includes certain credit institutions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investment firms, and certain affiliates of such credit institutions or investment firms.</w:t>
      </w:r>
    </w:p>
    <w:p>
      <w:pPr>
        <w:spacing w:after="0" w:line="173"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the Bank of England or any other public administrative authority having responsibility for the resolution of any UK Financial Institution.</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9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the applicable Benchmark Replacement excluding the related Benchmark Replacement Adjustment.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the United States of America.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Revolving Commitment</w:t>
      </w:r>
      <w:r>
        <w:rPr>
          <w:rFonts w:ascii="Arial" w:cs="Arial" w:eastAsia="Arial" w:hAnsi="Arial"/>
          <w:sz w:val="18"/>
          <w:szCs w:val="18"/>
          <w:color w:val="auto"/>
        </w:rPr>
        <w:t>”: at any time, the remainder of (a) the Total Commitments at such time minus (b) the sum of the</w:t>
      </w:r>
    </w:p>
    <w:p>
      <w:pPr>
        <w:spacing w:after="0" w:line="1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Effective Amount of all Revolving Loans and the Effective Amount of all L/C Obligations outstanding at such time. For the avoidance of doubt, Swingline Loans shall not be counted as Revolving Loans for purposes of determining the amount of Unused Revolving Commitment.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FF0000"/>
        </w:rPr>
        <w:t>USD LIBOR</w:t>
      </w:r>
      <w:r>
        <w:rPr>
          <w:rFonts w:ascii="Arial" w:cs="Arial" w:eastAsia="Arial" w:hAnsi="Arial"/>
          <w:sz w:val="18"/>
          <w:szCs w:val="18"/>
          <w:color w:val="FF0000"/>
        </w:rPr>
        <w:t>”: the London interbank offered rate for Dollars</w:t>
      </w:r>
      <w:r>
        <w:rPr>
          <w:rFonts w:ascii="Arial" w:cs="Arial" w:eastAsia="Arial" w:hAnsi="Arial"/>
          <w:sz w:val="18"/>
          <w:szCs w:val="18"/>
          <w:u w:val="single" w:color="auto"/>
          <w:color w:val="0000FF"/>
        </w:rPr>
        <w:t>U.S. Government Securities Business Day”: any day except for (a)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-51435</wp:posOffset>
            </wp:positionV>
            <wp:extent cx="31222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122295" cy="8255"/>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u w:val="single" w:color="auto"/>
          <w:color w:val="0000FF"/>
        </w:rPr>
        <w:t>Saturday, (b) a Sunday or (c) a day on which the Securities Industry and Financial Markets Association recommends that the fixed income departments of its members be closed for the entire day for purposes of trading in United States government securities; provided, that for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purposes of notice requirements in Sections 2.2, 2.7, 2.8 and 2.23, in each case, such day is also a Business Day</w:t>
      </w:r>
      <w:r>
        <w:rPr>
          <w:rFonts w:ascii="Arial" w:cs="Arial" w:eastAsia="Arial" w:hAnsi="Arial"/>
          <w:sz w:val="20"/>
          <w:szCs w:val="20"/>
          <w:color w:val="000000"/>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w:t>
      </w:r>
      <w:r>
        <w:rPr>
          <w:rFonts w:ascii="Arial" w:cs="Arial" w:eastAsia="Arial" w:hAnsi="Arial"/>
          <w:sz w:val="20"/>
          <w:szCs w:val="20"/>
          <w:color w:val="auto"/>
        </w:rPr>
        <w:t>”: as defined in the preamble hereto.</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(a) with respect to any EEA Resolution Authority, the write-down and conversion powers of such EEA Resolution Authority from time to time under the Bail-In Legislation for the applicable EEA Member Country, which write-down</w:t>
      </w:r>
    </w:p>
    <w:p>
      <w:pPr>
        <w:spacing w:after="0" w:line="226" w:lineRule="auto"/>
        <w:rPr>
          <w:sz w:val="20"/>
          <w:szCs w:val="20"/>
          <w:color w:val="auto"/>
        </w:rPr>
      </w:pPr>
      <w:r>
        <w:rPr>
          <w:rFonts w:ascii="Arial" w:cs="Arial" w:eastAsia="Arial" w:hAnsi="Arial"/>
          <w:sz w:val="18"/>
          <w:szCs w:val="18"/>
          <w:color w:val="auto"/>
        </w:rPr>
        <w:t>and conversion powers are described in the EU Bail-In Legislation Schedule and (b) with respect to the United Kingdom, any powers of the applicable Resolution Authority under the Bail-In Legislation to cancel, reduce, modify or change the form of a liability of any UK Financial</w:t>
      </w:r>
    </w:p>
    <w:p>
      <w:pPr>
        <w:spacing w:after="0" w:line="224" w:lineRule="auto"/>
        <w:rPr>
          <w:sz w:val="20"/>
          <w:szCs w:val="20"/>
          <w:color w:val="auto"/>
        </w:rPr>
      </w:pPr>
      <w:r>
        <w:rPr>
          <w:rFonts w:ascii="Arial" w:cs="Arial" w:eastAsia="Arial" w:hAnsi="Arial"/>
          <w:sz w:val="19"/>
          <w:szCs w:val="19"/>
          <w:color w:val="auto"/>
        </w:rPr>
        <w:t>Institution or any contract or instrument under which that liability arises, to convert all or part of that liability into shares, securities or</w:t>
      </w:r>
    </w:p>
    <w:p>
      <w:pPr>
        <w:spacing w:after="0" w:line="255" w:lineRule="auto"/>
        <w:rPr>
          <w:sz w:val="20"/>
          <w:szCs w:val="20"/>
          <w:color w:val="auto"/>
        </w:rPr>
      </w:pPr>
      <w:r>
        <w:rPr>
          <w:rFonts w:ascii="Arial" w:cs="Arial" w:eastAsia="Arial" w:hAnsi="Arial"/>
          <w:sz w:val="16"/>
          <w:szCs w:val="16"/>
          <w:color w:val="auto"/>
        </w:rPr>
        <w:t>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ancillary to any of those powers.</w:t>
      </w:r>
    </w:p>
    <w:p>
      <w:pPr>
        <w:spacing w:after="0" w:line="1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65" w:lineRule="auto"/>
        <w:tabs>
          <w:tab w:leader="none" w:pos="1755" w:val="left"/>
        </w:tabs>
        <w:numPr>
          <w:ilvl w:val="1"/>
          <w:numId w:val="52"/>
        </w:numPr>
        <w:rPr>
          <w:rFonts w:ascii="Arial" w:cs="Arial" w:eastAsia="Arial" w:hAnsi="Arial"/>
          <w:sz w:val="16"/>
          <w:szCs w:val="16"/>
          <w:color w:val="auto"/>
        </w:rPr>
      </w:pPr>
      <w:r>
        <w:rPr>
          <w:rFonts w:ascii="Arial" w:cs="Arial" w:eastAsia="Arial" w:hAnsi="Arial"/>
          <w:sz w:val="16"/>
          <w:szCs w:val="16"/>
          <w:color w:val="auto"/>
        </w:rPr>
        <w:t>Unless otherwise specified therein, all terms defined in this Agreement shall have the defined meanings when used in the other Loan Documents or any certificate or other document made or delivered pursuant hereto or thereto. As used herein and, except as otherwise provided therein, in the other Loan Documents, and any certificate or other document made or delivered pursuant hereto or thereto,</w:t>
      </w:r>
    </w:p>
    <w:p>
      <w:pPr>
        <w:jc w:val="both"/>
        <w:ind w:firstLine="8"/>
        <w:spacing w:after="0" w:line="210" w:lineRule="auto"/>
        <w:tabs>
          <w:tab w:leader="none" w:pos="237"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accounting terms relating to the Borrower and its Subsidiaries defined in Section 1.1 and accounting terms partly defined in Section 1.1, to the extent not defined, shall have the respective meanings given to them under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for purposes of determining compliance with any covenant, including any financial covenant, Indebtedness of the Borrower shall be deemed to be carried at 100% of the outstanding principal amount thereof, and the effects of FASB ASC 825 (and FASB ASC 470-20, if applicable) on financial liabilities shall be disregarded and (B)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capitalized on the balance sheet in the financial statements, (ii) the words “include”, “includes” and “including” shall be deemed to be followed by the phrase “without limitation”, (iii) the word “incur” shall be construed to mean incur, create, issue, assume, suffer to</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exist or become liable in respect of (and the words “incurred” and “incurrence” shall have correlative meanings), (iv) the words “asset” and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“property” shall be construed to have the same meaning and effect and to refer to any and all tangible and intangible assets and properties, including cash, Capital Stock, securities, revenues, accounts, leasehold interests and contract rights, and (v) references to agreements or other</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Contractual Obligations shall, unless otherwise specified, be deemed to refer to such agreements or Contractual Obligations as amended, supplemented, restated or otherwise modified from time to time.</w:t>
      </w:r>
    </w:p>
    <w:p>
      <w:pPr>
        <w:spacing w:after="0" w:line="156" w:lineRule="exact"/>
        <w:rPr>
          <w:sz w:val="20"/>
          <w:szCs w:val="20"/>
          <w:color w:val="auto"/>
        </w:rPr>
      </w:pPr>
    </w:p>
    <w:p>
      <w:pPr>
        <w:jc w:val="both"/>
        <w:ind w:firstLine="1304"/>
        <w:spacing w:after="0" w:line="227" w:lineRule="auto"/>
        <w:tabs>
          <w:tab w:leader="none" w:pos="1731"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57" w:lineRule="exact"/>
        <w:rPr>
          <w:rFonts w:ascii="Arial" w:cs="Arial" w:eastAsia="Arial" w:hAnsi="Arial"/>
          <w:sz w:val="20"/>
          <w:szCs w:val="20"/>
          <w:color w:val="auto"/>
        </w:rPr>
      </w:pPr>
    </w:p>
    <w:p>
      <w:pPr>
        <w:ind w:right="20" w:firstLine="1304"/>
        <w:spacing w:after="0" w:line="236" w:lineRule="auto"/>
        <w:tabs>
          <w:tab w:leader="none" w:pos="1796" w:val="left"/>
        </w:tabs>
        <w:numPr>
          <w:ilvl w:val="0"/>
          <w:numId w:val="54"/>
        </w:numPr>
        <w:rPr>
          <w:rFonts w:ascii="Arial" w:cs="Arial" w:eastAsia="Arial" w:hAnsi="Arial"/>
          <w:sz w:val="20"/>
          <w:szCs w:val="20"/>
          <w:color w:val="auto"/>
        </w:rPr>
      </w:pPr>
      <w:r>
        <w:rPr>
          <w:rFonts w:ascii="Arial" w:cs="Arial" w:eastAsia="Arial" w:hAnsi="Arial"/>
          <w:sz w:val="20"/>
          <w:szCs w:val="20"/>
          <w:color w:val="auto"/>
        </w:rPr>
        <w:t>All references in this Agreement and each of the other Loan Documents to a time of day shall mean Minneapolis, Minnesota, time, unless otherwise indicated.</w:t>
      </w:r>
    </w:p>
    <w:p>
      <w:pPr>
        <w:spacing w:after="0" w:line="166" w:lineRule="exact"/>
        <w:rPr>
          <w:rFonts w:ascii="Arial" w:cs="Arial" w:eastAsia="Arial" w:hAnsi="Arial"/>
          <w:sz w:val="20"/>
          <w:szCs w:val="20"/>
          <w:color w:val="auto"/>
        </w:rPr>
      </w:pPr>
    </w:p>
    <w:p>
      <w:pPr>
        <w:ind w:left="1780" w:hanging="476"/>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w:t>
      </w:r>
    </w:p>
    <w:p>
      <w:pPr>
        <w:spacing w:after="0"/>
        <w:rPr>
          <w:rFonts w:ascii="Arial" w:cs="Arial" w:eastAsia="Arial" w:hAnsi="Arial"/>
          <w:sz w:val="18"/>
          <w:szCs w:val="18"/>
          <w:color w:val="auto"/>
        </w:rPr>
      </w:pPr>
      <w:r>
        <w:rPr>
          <w:rFonts w:ascii="Arial" w:cs="Arial" w:eastAsia="Arial" w:hAnsi="Arial"/>
          <w:sz w:val="20"/>
          <w:szCs w:val="20"/>
          <w:color w:val="auto"/>
        </w:rPr>
        <w:t>terms.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Rounding</w:t>
      </w:r>
      <w:r>
        <w:rPr>
          <w:rFonts w:ascii="Arial" w:cs="Arial" w:eastAsia="Arial" w:hAnsi="Arial"/>
          <w:sz w:val="18"/>
          <w:szCs w:val="18"/>
          <w:color w:val="auto"/>
        </w:rPr>
        <w:t>.</w:t>
      </w:r>
    </w:p>
    <w:p>
      <w:pPr>
        <w:spacing w:after="0" w:line="189" w:lineRule="exact"/>
        <w:rPr>
          <w:sz w:val="20"/>
          <w:szCs w:val="20"/>
          <w:color w:val="auto"/>
        </w:rPr>
      </w:pPr>
    </w:p>
    <w:p>
      <w:pPr>
        <w:ind w:right="340" w:firstLine="933"/>
        <w:spacing w:after="0" w:line="236" w:lineRule="auto"/>
        <w:rPr>
          <w:sz w:val="20"/>
          <w:szCs w:val="20"/>
          <w:color w:val="auto"/>
        </w:rPr>
      </w:pPr>
      <w:r>
        <w:rPr>
          <w:rFonts w:ascii="Arial" w:cs="Arial" w:eastAsia="Arial" w:hAnsi="Arial"/>
          <w:sz w:val="18"/>
          <w:szCs w:val="18"/>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w:t>
      </w:r>
    </w:p>
    <w:p>
      <w:pPr>
        <w:ind w:right="140"/>
        <w:spacing w:after="0" w:line="227" w:lineRule="auto"/>
        <w:rPr>
          <w:sz w:val="20"/>
          <w:szCs w:val="20"/>
          <w:color w:val="auto"/>
        </w:rPr>
      </w:pPr>
      <w:r>
        <w:rPr>
          <w:rFonts w:ascii="Arial" w:cs="Arial" w:eastAsia="Arial" w:hAnsi="Arial"/>
          <w:sz w:val="20"/>
          <w:szCs w:val="20"/>
          <w:color w:val="auto"/>
        </w:rPr>
        <w:t>expressed in this Agreement and rounding the result up or down to the nearest number (with a round-up if there is no nearest number) to the number of places by which such ratio is expressed in this Agreement.</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u w:val="single" w:color="auto"/>
          <w:color w:val="auto"/>
        </w:rPr>
        <w:t>Reference to and Effect on the Existing Credit Agreement and the other Loan Documents</w:t>
      </w:r>
      <w:r>
        <w:rPr>
          <w:rFonts w:ascii="Arial" w:cs="Arial" w:eastAsia="Arial" w:hAnsi="Arial"/>
          <w:sz w:val="16"/>
          <w:szCs w:val="16"/>
          <w:color w:val="auto"/>
        </w:rPr>
        <w:t>.</w:t>
      </w:r>
    </w:p>
    <w:p>
      <w:pPr>
        <w:spacing w:after="0" w:line="189" w:lineRule="exact"/>
        <w:rPr>
          <w:sz w:val="20"/>
          <w:szCs w:val="20"/>
          <w:color w:val="auto"/>
        </w:rPr>
      </w:pPr>
    </w:p>
    <w:p>
      <w:pPr>
        <w:ind w:right="100" w:firstLine="933"/>
        <w:spacing w:after="0" w:line="236" w:lineRule="auto"/>
        <w:rPr>
          <w:sz w:val="20"/>
          <w:szCs w:val="20"/>
          <w:color w:val="auto"/>
        </w:rPr>
      </w:pPr>
      <w:r>
        <w:rPr>
          <w:rFonts w:ascii="Arial" w:cs="Arial" w:eastAsia="Arial" w:hAnsi="Arial"/>
          <w:sz w:val="18"/>
          <w:szCs w:val="18"/>
          <w:color w:val="auto"/>
        </w:rPr>
        <w:t>From and after the Effective Date: all terms and conditions of the Existing Credit Agreement and any other “Loan Document” as defined therein, as amended and restated by this Agreement and the other Loan Documents being executed and delivered on the Effective</w:t>
      </w:r>
    </w:p>
    <w:p>
      <w:pPr>
        <w:ind w:right="300"/>
        <w:spacing w:after="0" w:line="227" w:lineRule="auto"/>
        <w:rPr>
          <w:sz w:val="20"/>
          <w:szCs w:val="20"/>
          <w:color w:val="auto"/>
        </w:rPr>
      </w:pPr>
      <w:r>
        <w:rPr>
          <w:rFonts w:ascii="Arial" w:cs="Arial" w:eastAsia="Arial" w:hAnsi="Arial"/>
          <w:sz w:val="20"/>
          <w:szCs w:val="20"/>
          <w:color w:val="auto"/>
        </w:rPr>
        <w:t>Date, shall be and remain in full force and effect, as so amended and restated, and shall constitute the legal, valid, binding and enforceable obligations of the parties thereto. Without limiting the generality of the foregoing:</w:t>
      </w:r>
    </w:p>
    <w:p>
      <w:pPr>
        <w:spacing w:after="0" w:line="156" w:lineRule="exact"/>
        <w:rPr>
          <w:sz w:val="20"/>
          <w:szCs w:val="20"/>
          <w:color w:val="auto"/>
        </w:rPr>
      </w:pPr>
    </w:p>
    <w:p>
      <w:pPr>
        <w:jc w:val="both"/>
        <w:ind w:left="1300" w:firstLine="652"/>
        <w:spacing w:after="0" w:line="220" w:lineRule="auto"/>
        <w:tabs>
          <w:tab w:leader="none" w:pos="2333"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terms and conditions of the Existing Credit Agreement shall be amended and restated as set forth herein and, as so amended and restated, shall be amended and restated in their entirety, but shall be amended and restated only with respect to the rights, duties and obligations among the Borrower, the Lenders, the Lead Arranger and the Administrative Agent accruing from and after the Effective Date;</w:t>
      </w:r>
    </w:p>
    <w:p>
      <w:pPr>
        <w:spacing w:after="0" w:line="169" w:lineRule="exact"/>
        <w:rPr>
          <w:rFonts w:ascii="Arial" w:cs="Arial" w:eastAsia="Arial" w:hAnsi="Arial"/>
          <w:sz w:val="20"/>
          <w:szCs w:val="20"/>
          <w:color w:val="auto"/>
        </w:rPr>
      </w:pPr>
    </w:p>
    <w:p>
      <w:pPr>
        <w:jc w:val="both"/>
        <w:ind w:left="1300" w:firstLine="652"/>
        <w:spacing w:after="0" w:line="218" w:lineRule="auto"/>
        <w:tabs>
          <w:tab w:leader="none" w:pos="2427"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this Agreement shall not in any way release or impair the rights, duties or Obligations created pursuant to the Existing Credit Agreement or any other Loan Document or affect the relative priorities thereof, in each case to the extent in force and effect prior to the Effective Date, except as modified hereby or by documents, instruments and agreements executed and delivered in connection herewith, and all of such rights, duties and Obligations are assumed, ratified and affirmed by the Borrower;</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90" w:lineRule="exact"/>
        <w:rPr>
          <w:sz w:val="20"/>
          <w:szCs w:val="20"/>
          <w:color w:val="auto"/>
        </w:rPr>
      </w:pPr>
    </w:p>
    <w:p>
      <w:pPr>
        <w:jc w:val="both"/>
        <w:ind w:left="1300" w:firstLine="652"/>
        <w:spacing w:after="0" w:line="231" w:lineRule="auto"/>
        <w:tabs>
          <w:tab w:leader="none" w:pos="2551" w:val="left"/>
        </w:tabs>
        <w:numPr>
          <w:ilvl w:val="0"/>
          <w:numId w:val="56"/>
        </w:numPr>
        <w:rPr>
          <w:rFonts w:ascii="Arial" w:cs="Arial" w:eastAsia="Arial" w:hAnsi="Arial"/>
          <w:sz w:val="19"/>
          <w:szCs w:val="19"/>
          <w:color w:val="auto"/>
        </w:rPr>
      </w:pPr>
      <w:r>
        <w:rPr>
          <w:rFonts w:ascii="Arial" w:cs="Arial" w:eastAsia="Arial" w:hAnsi="Arial"/>
          <w:sz w:val="19"/>
          <w:szCs w:val="19"/>
          <w:color w:val="auto"/>
        </w:rPr>
        <w:t>all indemnification obligations of the Borrower under the Existing Credit Agreement and any other Loan Documents shall survive the execution and delivery of this Agreement and shall continue in full force and effect for the benefit of the Lenders, the Lead Arranger, the Administrative Agent, and any other Person indemnified under the Existing Credit Agreement or any other Loan Document at any time prior to the Effective Date;</w:t>
      </w:r>
    </w:p>
    <w:p>
      <w:pPr>
        <w:spacing w:after="0" w:line="171" w:lineRule="exact"/>
        <w:rPr>
          <w:rFonts w:ascii="Arial" w:cs="Arial" w:eastAsia="Arial" w:hAnsi="Arial"/>
          <w:sz w:val="19"/>
          <w:szCs w:val="19"/>
          <w:color w:val="auto"/>
        </w:rPr>
      </w:pPr>
    </w:p>
    <w:p>
      <w:pPr>
        <w:jc w:val="both"/>
        <w:ind w:left="1300" w:firstLine="652"/>
        <w:spacing w:after="0" w:line="215" w:lineRule="auto"/>
        <w:tabs>
          <w:tab w:leader="none" w:pos="2457"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Obligations incurred under the Existing Credit Agreement shall, to the extent outstanding on the Effective Date, continue outstanding and shall not be deemed to be paid, released, discharged, extinguished or otherwise satisfied by the execution of this Agreement, and this Agreement shall not constitute a refinancing, substitution or novation of such Obligations or any of the other rights, duties and obligations of the parties hereunder, in each case except as otherwise provided for by the terms of this Agreement; and</w:t>
      </w:r>
    </w:p>
    <w:p>
      <w:pPr>
        <w:spacing w:after="0" w:line="171" w:lineRule="exact"/>
        <w:rPr>
          <w:rFonts w:ascii="Arial" w:cs="Arial" w:eastAsia="Arial" w:hAnsi="Arial"/>
          <w:sz w:val="20"/>
          <w:szCs w:val="20"/>
          <w:color w:val="auto"/>
        </w:rPr>
      </w:pPr>
    </w:p>
    <w:p>
      <w:pPr>
        <w:jc w:val="both"/>
        <w:ind w:left="1300" w:firstLine="652"/>
        <w:spacing w:after="0" w:line="231" w:lineRule="auto"/>
        <w:tabs>
          <w:tab w:leader="none" w:pos="2391"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Agreement shall not operate as a waiver of any right, power or remedy of the Lenders, the Lead Arranger or the Administrative Agent under the Existing Credit Agreement, nor constitute a waiver of any covenant, agreement or obligation under the Existing Credit Agreement, except to the extent that any such covenant, agreement or obligation is no longer set forth herein or is modified hereby.</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u w:val="single" w:color="auto"/>
          <w:color w:val="auto"/>
        </w:rPr>
        <w:t>Rates</w:t>
      </w:r>
      <w:r>
        <w:rPr>
          <w:rFonts w:ascii="Arial" w:cs="Arial" w:eastAsia="Arial" w:hAnsi="Arial"/>
          <w:sz w:val="16"/>
          <w:szCs w:val="16"/>
          <w:color w:val="auto"/>
        </w:rPr>
        <w:t>.</w:t>
      </w:r>
    </w:p>
    <w:p>
      <w:pPr>
        <w:spacing w:after="0" w:line="175" w:lineRule="exact"/>
        <w:rPr>
          <w:sz w:val="20"/>
          <w:szCs w:val="20"/>
          <w:color w:val="auto"/>
        </w:rPr>
      </w:pPr>
    </w:p>
    <w:p>
      <w:pPr>
        <w:ind w:right="60" w:firstLine="933"/>
        <w:spacing w:after="0" w:line="24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FF0000"/>
          <w:strike w:val="1"/>
        </w:rPr>
        <w:t>interest rate on Eurodollar Loans and ABR Loans (when determined by reference to clause (c) of the definition of the ABR)</w:t>
      </w:r>
      <w:r>
        <w:rPr>
          <w:rFonts w:ascii="Arial" w:cs="Arial" w:eastAsia="Arial" w:hAnsi="Arial"/>
          <w:sz w:val="18"/>
          <w:szCs w:val="18"/>
          <w:color w:val="auto"/>
        </w:rPr>
        <w:t xml:space="preserve"> </w:t>
      </w:r>
      <w:r>
        <w:rPr>
          <w:rFonts w:ascii="Arial" w:cs="Arial" w:eastAsia="Arial" w:hAnsi="Arial"/>
          <w:sz w:val="18"/>
          <w:szCs w:val="18"/>
          <w:color w:val="FF0000"/>
          <w:strike w:val="1"/>
        </w:rPr>
        <w:t>may be determined by reference to the Eurodollar Base Rate or the LIBOR Market Index Rate, which are derived from the London interbank</w:t>
      </w:r>
    </w:p>
    <w:p>
      <w:pPr>
        <w:ind w:right="160"/>
        <w:spacing w:after="0" w:line="226" w:lineRule="auto"/>
        <w:rPr>
          <w:sz w:val="20"/>
          <w:szCs w:val="20"/>
          <w:color w:val="auto"/>
        </w:rPr>
      </w:pPr>
      <w:r>
        <w:rPr>
          <w:rFonts w:ascii="Arial" w:cs="Arial" w:eastAsia="Arial" w:hAnsi="Arial"/>
          <w:sz w:val="18"/>
          <w:szCs w:val="18"/>
          <w:color w:val="FF0000"/>
          <w:strike w:val="1"/>
        </w:rPr>
        <w:t>offered rate. The London interbank offered rate is intended to represent the rate at which contributing banks may obtain short-term borrowings from each other in the London interbank market. On March 5, 2021, ICE Benchmark Administration (“</w:t>
      </w:r>
      <w:r>
        <w:rPr>
          <w:rFonts w:ascii="Arial" w:cs="Arial" w:eastAsia="Arial" w:hAnsi="Arial"/>
          <w:sz w:val="18"/>
          <w:szCs w:val="18"/>
          <w:u w:val="single" w:color="auto"/>
          <w:color w:val="FF0000"/>
          <w:strike w:val="1"/>
        </w:rPr>
        <w:t>IBA</w:t>
      </w:r>
      <w:r>
        <w:rPr>
          <w:rFonts w:ascii="Arial" w:cs="Arial" w:eastAsia="Arial" w:hAnsi="Arial"/>
          <w:sz w:val="18"/>
          <w:szCs w:val="18"/>
          <w:color w:val="FF0000"/>
          <w:strike w:val="1"/>
        </w:rPr>
        <w:t>”), the administrator</w:t>
      </w:r>
    </w:p>
    <w:p>
      <w:pPr>
        <w:spacing w:after="0" w:line="2"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FF0000"/>
          <w:strike w:val="1"/>
        </w:rPr>
        <w:t>of the London interbank offered rate, and the Financial Conduct Authority (the “</w:t>
      </w:r>
      <w:r>
        <w:rPr>
          <w:rFonts w:ascii="Arial" w:cs="Arial" w:eastAsia="Arial" w:hAnsi="Arial"/>
          <w:sz w:val="18"/>
          <w:szCs w:val="18"/>
          <w:u w:val="single" w:color="auto"/>
          <w:color w:val="FF0000"/>
          <w:strike w:val="1"/>
        </w:rPr>
        <w:t>FCA</w:t>
      </w:r>
      <w:r>
        <w:rPr>
          <w:rFonts w:ascii="Arial" w:cs="Arial" w:eastAsia="Arial" w:hAnsi="Arial"/>
          <w:sz w:val="18"/>
          <w:szCs w:val="18"/>
          <w:color w:val="FF0000"/>
          <w:strike w:val="1"/>
        </w:rPr>
        <w:t>”), the regulatory supervisor of IBA, announced in public statements (the “</w:t>
      </w:r>
      <w:r>
        <w:rPr>
          <w:rFonts w:ascii="Arial" w:cs="Arial" w:eastAsia="Arial" w:hAnsi="Arial"/>
          <w:sz w:val="18"/>
          <w:szCs w:val="18"/>
          <w:u w:val="single" w:color="auto"/>
          <w:color w:val="FF0000"/>
          <w:strike w:val="1"/>
        </w:rPr>
        <w:t>Announcements</w:t>
      </w:r>
      <w:r>
        <w:rPr>
          <w:rFonts w:ascii="Arial" w:cs="Arial" w:eastAsia="Arial" w:hAnsi="Arial"/>
          <w:sz w:val="18"/>
          <w:szCs w:val="18"/>
          <w:color w:val="FF0000"/>
          <w:strike w:val="1"/>
        </w:rPr>
        <w:t>”) that the final publication or representativeness date for the London interbank offered rate for</w:t>
      </w:r>
    </w:p>
    <w:p>
      <w:pPr>
        <w:spacing w:after="0" w:line="236" w:lineRule="auto"/>
        <w:rPr>
          <w:sz w:val="20"/>
          <w:szCs w:val="20"/>
          <w:color w:val="auto"/>
        </w:rPr>
      </w:pPr>
      <w:r>
        <w:rPr>
          <w:rFonts w:ascii="Arial" w:cs="Arial" w:eastAsia="Arial" w:hAnsi="Arial"/>
          <w:sz w:val="18"/>
          <w:szCs w:val="18"/>
          <w:color w:val="FF0000"/>
          <w:strike w:val="1"/>
        </w:rPr>
        <w:t>Dollars for: (a) 1-week and 2-month tenor settings will be December 31, 2021 and (b) overnight, 1-month, 3-month, 6-month and 12-month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tenor settings will be June 30, 2023. No successor administrator for IBA was identified in such Announcements. As a result, it is possible that commencing immediately after such dates, the London interbank offered rate for such tenors may no longer be available or may no longer be</w:t>
      </w:r>
    </w:p>
    <w:p>
      <w:pPr>
        <w:spacing w:after="0" w:line="236" w:lineRule="auto"/>
        <w:rPr>
          <w:sz w:val="20"/>
          <w:szCs w:val="20"/>
          <w:color w:val="auto"/>
        </w:rPr>
      </w:pPr>
      <w:r>
        <w:rPr>
          <w:rFonts w:ascii="Arial" w:cs="Arial" w:eastAsia="Arial" w:hAnsi="Arial"/>
          <w:sz w:val="18"/>
          <w:szCs w:val="18"/>
          <w:color w:val="FF0000"/>
          <w:strike w:val="1"/>
        </w:rPr>
        <w:t>deemed a representative reference rate upon which to determine the interest rate on Eurodollar Loans or ABR Loans (when determined by</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FF0000"/>
          <w:strike w:val="1"/>
        </w:rPr>
        <w:t>reference to clause (c) of the definition of the ABR). There is no assurance that the dates set forth in the Announcements will not change or that IBA or the FCA will not take further action that could impact the availability, composition or characteristics of any London interbank</w:t>
      </w:r>
    </w:p>
    <w:p>
      <w:pPr>
        <w:spacing w:after="0" w:line="236" w:lineRule="auto"/>
        <w:rPr>
          <w:sz w:val="20"/>
          <w:szCs w:val="20"/>
          <w:color w:val="auto"/>
        </w:rPr>
      </w:pPr>
      <w:r>
        <w:rPr>
          <w:rFonts w:ascii="Arial" w:cs="Arial" w:eastAsia="Arial" w:hAnsi="Arial"/>
          <w:sz w:val="18"/>
          <w:szCs w:val="18"/>
          <w:color w:val="FF0000"/>
          <w:strike w:val="1"/>
        </w:rPr>
        <w:t>offered rate. Public and private sector industry initiatives have been and continue, as of the date hereof, to be underway to implement new or</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FF0000"/>
          <w:strike w:val="1"/>
        </w:rPr>
        <w:t xml:space="preserve">alternative reference rates to be used in place of the London interbank offered rate. In the event that the London interbank offered rate or any other then-current Benchmark is no longer available or in certain other circumstances set forth in </w:t>
      </w:r>
      <w:r>
        <w:rPr>
          <w:rFonts w:ascii="Arial" w:cs="Arial" w:eastAsia="Arial" w:hAnsi="Arial"/>
          <w:sz w:val="18"/>
          <w:szCs w:val="18"/>
          <w:u w:val="single" w:color="auto"/>
          <w:color w:val="FF0000"/>
          <w:strike w:val="1"/>
        </w:rPr>
        <w:t>Section 2.12(c)</w:t>
      </w:r>
      <w:r>
        <w:rPr>
          <w:rFonts w:ascii="Arial" w:cs="Arial" w:eastAsia="Arial" w:hAnsi="Arial"/>
          <w:sz w:val="18"/>
          <w:szCs w:val="18"/>
          <w:color w:val="FF0000"/>
          <w:strike w:val="1"/>
        </w:rPr>
        <w:t xml:space="preserve">, such </w:t>
      </w:r>
      <w:r>
        <w:rPr>
          <w:rFonts w:ascii="Arial" w:cs="Arial" w:eastAsia="Arial" w:hAnsi="Arial"/>
          <w:sz w:val="18"/>
          <w:szCs w:val="18"/>
          <w:u w:val="single" w:color="auto"/>
          <w:color w:val="FF0000"/>
          <w:strike w:val="1"/>
        </w:rPr>
        <w:t>Section 2.12(c)</w:t>
      </w:r>
    </w:p>
    <w:p>
      <w:pPr>
        <w:spacing w:after="0" w:line="236" w:lineRule="auto"/>
        <w:rPr>
          <w:sz w:val="20"/>
          <w:szCs w:val="20"/>
          <w:color w:val="auto"/>
        </w:rPr>
      </w:pPr>
      <w:r>
        <w:rPr>
          <w:rFonts w:ascii="Arial" w:cs="Arial" w:eastAsia="Arial" w:hAnsi="Arial"/>
          <w:sz w:val="18"/>
          <w:szCs w:val="18"/>
          <w:color w:val="FF0000"/>
          <w:strike w:val="1"/>
        </w:rPr>
        <w:t xml:space="preserve">provides a mechanism for determining an alternative rate of interest. The Administrative Agent will notify the Borrower, pursuant to </w:t>
      </w:r>
      <w:r>
        <w:rPr>
          <w:rFonts w:ascii="Arial" w:cs="Arial" w:eastAsia="Arial" w:hAnsi="Arial"/>
          <w:sz w:val="18"/>
          <w:szCs w:val="18"/>
          <w:u w:val="single" w:color="auto"/>
          <w:color w:val="FF0000"/>
          <w:strike w:val="1"/>
        </w:rPr>
        <w:t>Section</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u w:val="single" w:color="auto"/>
          <w:color w:val="FF0000"/>
        </w:rPr>
        <w:t>2.12(c)</w:t>
      </w:r>
      <w:r>
        <w:rPr>
          <w:rFonts w:ascii="Arial" w:cs="Arial" w:eastAsia="Arial" w:hAnsi="Arial"/>
          <w:sz w:val="16"/>
          <w:szCs w:val="16"/>
          <w:color w:val="FF0000"/>
        </w:rPr>
        <w:t xml:space="preserve">, of any change to the reference rate upon which the interest rate on Eurodollar Loans and ABR Loans (when determined by reference </w:t>
      </w:r>
      <w:r>
        <w:rPr>
          <w:rFonts w:ascii="Arial" w:cs="Arial" w:eastAsia="Arial" w:hAnsi="Arial"/>
          <w:sz w:val="16"/>
          <w:szCs w:val="16"/>
          <w:color w:val="FF0000"/>
          <w:strike w:val="1"/>
        </w:rPr>
        <w:t>to clause (c) of the definition of the ABR) is based. However, the</w:t>
      </w:r>
      <w:r>
        <w:rPr>
          <w:rFonts w:ascii="Arial" w:cs="Arial" w:eastAsia="Arial" w:hAnsi="Arial"/>
          <w:sz w:val="16"/>
          <w:szCs w:val="16"/>
          <w:color w:val="FF0000"/>
        </w:rPr>
        <w:t xml:space="preserve"> </w:t>
      </w:r>
      <w:r>
        <w:rPr>
          <w:rFonts w:ascii="Arial" w:cs="Arial" w:eastAsia="Arial" w:hAnsi="Arial"/>
          <w:sz w:val="16"/>
          <w:szCs w:val="16"/>
          <w:color w:val="000000"/>
        </w:rPr>
        <w:t>Administrative Agent does not warrant or accept any responsibility for,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0885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088505"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shall not have any liability with respect to,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w:t>
      </w:r>
      <w:r>
        <w:rPr>
          <w:rFonts w:ascii="Arial" w:cs="Arial" w:eastAsia="Arial" w:hAnsi="Arial"/>
          <w:sz w:val="18"/>
          <w:szCs w:val="18"/>
          <w:color w:val="auto"/>
        </w:rPr>
        <w:t>) the continuation of, administration of, submission of, calculation of or any other matter related</w:t>
      </w:r>
    </w:p>
    <w:p>
      <w:pPr>
        <w:spacing w:after="0" w:line="250" w:lineRule="auto"/>
        <w:rPr>
          <w:sz w:val="20"/>
          <w:szCs w:val="20"/>
          <w:color w:val="auto"/>
        </w:rPr>
      </w:pPr>
      <w:r>
        <w:rPr>
          <w:rFonts w:ascii="Arial" w:cs="Arial" w:eastAsia="Arial" w:hAnsi="Arial"/>
          <w:sz w:val="18"/>
          <w:szCs w:val="18"/>
          <w:color w:val="auto"/>
        </w:rPr>
        <w:t xml:space="preserve">to the </w:t>
      </w:r>
      <w:r>
        <w:rPr>
          <w:rFonts w:ascii="Arial" w:cs="Arial" w:eastAsia="Arial" w:hAnsi="Arial"/>
          <w:sz w:val="18"/>
          <w:szCs w:val="18"/>
          <w:color w:val="FF0000"/>
          <w:strike w:val="1"/>
        </w:rPr>
        <w:t>London interbank offered rate or other</w:t>
      </w:r>
      <w:r>
        <w:rPr>
          <w:rFonts w:ascii="Arial" w:cs="Arial" w:eastAsia="Arial" w:hAnsi="Arial"/>
          <w:sz w:val="18"/>
          <w:szCs w:val="18"/>
          <w:u w:val="single" w:color="auto"/>
          <w:color w:val="0000FF"/>
        </w:rPr>
        <w:t>Term SOFR Reference Rate, Adjusted Term SOFR or Term SOFR, or any component definition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thereof or</w:t>
      </w:r>
      <w:r>
        <w:rPr>
          <w:rFonts w:ascii="Arial" w:cs="Arial" w:eastAsia="Arial" w:hAnsi="Arial"/>
          <w:sz w:val="18"/>
          <w:szCs w:val="18"/>
          <w:color w:val="0000FF"/>
        </w:rPr>
        <w:t xml:space="preserve"> </w:t>
      </w:r>
      <w:r>
        <w:rPr>
          <w:rFonts w:ascii="Arial" w:cs="Arial" w:eastAsia="Arial" w:hAnsi="Arial"/>
          <w:sz w:val="18"/>
          <w:szCs w:val="18"/>
          <w:color w:val="000000"/>
        </w:rPr>
        <w:t>rates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referred to</w:t>
      </w:r>
      <w:r>
        <w:rPr>
          <w:rFonts w:ascii="Arial" w:cs="Arial" w:eastAsia="Arial" w:hAnsi="Arial"/>
          <w:sz w:val="18"/>
          <w:szCs w:val="18"/>
          <w:color w:val="0000FF"/>
        </w:rPr>
        <w:t xml:space="preserve"> </w:t>
      </w:r>
      <w:r>
        <w:rPr>
          <w:rFonts w:ascii="Arial" w:cs="Arial" w:eastAsia="Arial" w:hAnsi="Arial"/>
          <w:sz w:val="18"/>
          <w:szCs w:val="18"/>
          <w:color w:val="000000"/>
        </w:rPr>
        <w:t>in the definition</w:t>
      </w:r>
      <w:r>
        <w:rPr>
          <w:rFonts w:ascii="Arial" w:cs="Arial" w:eastAsia="Arial" w:hAnsi="Arial"/>
          <w:sz w:val="18"/>
          <w:szCs w:val="18"/>
          <w:color w:val="0000FF"/>
        </w:rPr>
        <w:t xml:space="preserve"> </w:t>
      </w:r>
      <w:r>
        <w:rPr>
          <w:rFonts w:ascii="Arial" w:cs="Arial" w:eastAsia="Arial" w:hAnsi="Arial"/>
          <w:sz w:val="18"/>
          <w:szCs w:val="18"/>
          <w:color w:val="FF0000"/>
          <w:strike w:val="1"/>
        </w:rPr>
        <w:t>of “Eurodollar Base Rate”, “LIBOR Market Index Rate”</w:t>
      </w:r>
      <w:r>
        <w:rPr>
          <w:rFonts w:ascii="Arial" w:cs="Arial" w:eastAsia="Arial" w:hAnsi="Arial"/>
          <w:sz w:val="18"/>
          <w:szCs w:val="18"/>
          <w:u w:val="single" w:color="auto"/>
          <w:color w:val="0000FF"/>
        </w:rPr>
        <w:t>thereof,</w:t>
      </w:r>
      <w:r>
        <w:rPr>
          <w:rFonts w:ascii="Arial" w:cs="Arial" w:eastAsia="Arial" w:hAnsi="Arial"/>
          <w:sz w:val="18"/>
          <w:szCs w:val="18"/>
          <w:color w:val="0000FF"/>
        </w:rPr>
        <w:t xml:space="preserve"> </w:t>
      </w:r>
      <w:r>
        <w:rPr>
          <w:rFonts w:ascii="Arial" w:cs="Arial" w:eastAsia="Arial" w:hAnsi="Arial"/>
          <w:sz w:val="18"/>
          <w:szCs w:val="18"/>
          <w:color w:val="000000"/>
        </w:rPr>
        <w:t>or with respect to any alternative,</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successor or replacement rate thereto (including </w:t>
      </w:r>
      <w:r>
        <w:rPr>
          <w:rFonts w:ascii="Arial" w:cs="Arial" w:eastAsia="Arial" w:hAnsi="Arial"/>
          <w:sz w:val="18"/>
          <w:szCs w:val="18"/>
          <w:color w:val="FF0000"/>
        </w:rPr>
        <w:t>any then-current Benchmark or</w:t>
      </w:r>
      <w:r>
        <w:rPr>
          <w:rFonts w:ascii="Arial" w:cs="Arial" w:eastAsia="Arial" w:hAnsi="Arial"/>
          <w:sz w:val="18"/>
          <w:szCs w:val="18"/>
          <w:color w:val="auto"/>
        </w:rPr>
        <w:t xml:space="preserve"> any Benchmark Replacement), including whether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-51435</wp:posOffset>
            </wp:positionV>
            <wp:extent cx="1604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ind w:right="240"/>
        <w:spacing w:after="0" w:line="255" w:lineRule="auto"/>
        <w:rPr>
          <w:sz w:val="20"/>
          <w:szCs w:val="20"/>
          <w:color w:val="auto"/>
        </w:rPr>
      </w:pPr>
      <w:r>
        <w:rPr>
          <w:rFonts w:ascii="Arial" w:cs="Arial" w:eastAsia="Arial" w:hAnsi="Arial"/>
          <w:sz w:val="16"/>
          <w:szCs w:val="16"/>
          <w:color w:val="auto"/>
        </w:rPr>
        <w:t xml:space="preserve">composition or characteristics of any such alternative, successor or replacement rate (including any Benchmark Replacement), as it may or may not be adjusted pursuant to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will be similar to, or produce the same value or economic equivalence of, </w:t>
      </w:r>
      <w:r>
        <w:rPr>
          <w:rFonts w:ascii="Arial" w:cs="Arial" w:eastAsia="Arial" w:hAnsi="Arial"/>
          <w:sz w:val="16"/>
          <w:szCs w:val="16"/>
          <w:color w:val="FF0000"/>
          <w:strike w:val="1"/>
        </w:rPr>
        <w:t>the Eurodollar</w:t>
      </w:r>
    </w:p>
    <w:p>
      <w:pPr>
        <w:spacing w:after="0" w:line="235" w:lineRule="auto"/>
        <w:rPr>
          <w:sz w:val="20"/>
          <w:szCs w:val="20"/>
          <w:color w:val="auto"/>
        </w:rPr>
      </w:pPr>
      <w:r>
        <w:rPr>
          <w:rFonts w:ascii="Arial" w:cs="Arial" w:eastAsia="Arial" w:hAnsi="Arial"/>
          <w:sz w:val="18"/>
          <w:szCs w:val="18"/>
          <w:color w:val="FF0000"/>
          <w:strike w:val="1"/>
        </w:rPr>
        <w:t>Base Rate, the LIBOR Market Index Rate or any other Benchmark,</w:t>
      </w:r>
      <w:r>
        <w:rPr>
          <w:rFonts w:ascii="Arial" w:cs="Arial" w:eastAsia="Arial" w:hAnsi="Arial"/>
          <w:sz w:val="18"/>
          <w:szCs w:val="18"/>
          <w:color w:val="FF0000"/>
        </w:rPr>
        <w:t xml:space="preserve"> </w:t>
      </w:r>
      <w:r>
        <w:rPr>
          <w:rFonts w:ascii="Arial" w:cs="Arial" w:eastAsia="Arial" w:hAnsi="Arial"/>
          <w:sz w:val="18"/>
          <w:szCs w:val="18"/>
          <w:color w:val="000000"/>
        </w:rPr>
        <w:t>or have the same volume or liquidity as</w:t>
      </w:r>
      <w:r>
        <w:rPr>
          <w:rFonts w:ascii="Arial" w:cs="Arial" w:eastAsia="Arial" w:hAnsi="Arial"/>
          <w:sz w:val="18"/>
          <w:szCs w:val="18"/>
          <w:color w:val="FF0000"/>
        </w:rPr>
        <w:t xml:space="preserve"> did</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the</w:t>
      </w:r>
      <w:r>
        <w:rPr>
          <w:rFonts w:ascii="Arial" w:cs="Arial" w:eastAsia="Arial" w:hAnsi="Arial"/>
          <w:sz w:val="18"/>
          <w:szCs w:val="18"/>
          <w:color w:val="FF0000"/>
        </w:rPr>
        <w:t xml:space="preserve"> </w:t>
      </w:r>
      <w:r>
        <w:rPr>
          <w:rFonts w:ascii="Arial" w:cs="Arial" w:eastAsia="Arial" w:hAnsi="Arial"/>
          <w:sz w:val="18"/>
          <w:szCs w:val="18"/>
          <w:color w:val="FF0000"/>
          <w:strike w:val="1"/>
        </w:rPr>
        <w:t>London interbank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-58420</wp:posOffset>
            </wp:positionV>
            <wp:extent cx="1917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ind w:right="160"/>
        <w:spacing w:after="0" w:line="226" w:lineRule="auto"/>
        <w:rPr>
          <w:sz w:val="20"/>
          <w:szCs w:val="20"/>
          <w:color w:val="auto"/>
        </w:rPr>
      </w:pPr>
      <w:r>
        <w:rPr>
          <w:rFonts w:ascii="Arial" w:cs="Arial" w:eastAsia="Arial" w:hAnsi="Arial"/>
          <w:sz w:val="18"/>
          <w:szCs w:val="18"/>
          <w:color w:val="FF0000"/>
          <w:strike w:val="1"/>
        </w:rPr>
        <w:t>rate</w:t>
      </w:r>
      <w:r>
        <w:rPr>
          <w:rFonts w:ascii="Arial" w:cs="Arial" w:eastAsia="Arial" w:hAnsi="Arial"/>
          <w:sz w:val="18"/>
          <w:szCs w:val="18"/>
          <w:u w:val="single" w:color="auto"/>
          <w:color w:val="0000FF"/>
        </w:rPr>
        <w:t>Term SOFR Reference Rate, Adjusted Term SOFR, Term SOFR</w:t>
      </w:r>
      <w:r>
        <w:rPr>
          <w:rFonts w:ascii="Arial" w:cs="Arial" w:eastAsia="Arial" w:hAnsi="Arial"/>
          <w:sz w:val="18"/>
          <w:szCs w:val="18"/>
          <w:color w:val="FF0000"/>
        </w:rPr>
        <w:t xml:space="preserve"> </w:t>
      </w:r>
      <w:r>
        <w:rPr>
          <w:rFonts w:ascii="Arial" w:cs="Arial" w:eastAsia="Arial" w:hAnsi="Arial"/>
          <w:sz w:val="18"/>
          <w:szCs w:val="18"/>
          <w:color w:val="000000"/>
        </w:rPr>
        <w:t>or any other Benchmark prior to its discontinuance or unavailability, or</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000000"/>
        </w:rPr>
        <w:t xml:space="preserve">) the effect, implementation or composition of any </w:t>
      </w:r>
      <w:r>
        <w:rPr>
          <w:rFonts w:ascii="Arial" w:cs="Arial" w:eastAsia="Arial" w:hAnsi="Arial"/>
          <w:sz w:val="18"/>
          <w:szCs w:val="18"/>
          <w:color w:val="FF0000"/>
          <w:strike w:val="1"/>
        </w:rPr>
        <w:t>Benchmark Replacement</w:t>
      </w:r>
      <w:r>
        <w:rPr>
          <w:rFonts w:ascii="Arial" w:cs="Arial" w:eastAsia="Arial" w:hAnsi="Arial"/>
          <w:sz w:val="18"/>
          <w:szCs w:val="18"/>
          <w:color w:val="000000"/>
        </w:rPr>
        <w:t xml:space="preserve"> Conforming Changes. The Administrative Agent and its</w:t>
      </w:r>
    </w:p>
    <w:p>
      <w:pPr>
        <w:spacing w:after="0" w:line="236" w:lineRule="auto"/>
        <w:rPr>
          <w:sz w:val="20"/>
          <w:szCs w:val="20"/>
          <w:color w:val="auto"/>
        </w:rPr>
      </w:pPr>
      <w:r>
        <w:rPr>
          <w:rFonts w:ascii="Arial" w:cs="Arial" w:eastAsia="Arial" w:hAnsi="Arial"/>
          <w:sz w:val="18"/>
          <w:szCs w:val="18"/>
          <w:color w:val="auto"/>
        </w:rPr>
        <w:t xml:space="preserve">Affiliates or other related entities may engage in transactions that affect the calculation of </w:t>
      </w:r>
      <w:r>
        <w:rPr>
          <w:rFonts w:ascii="Arial" w:cs="Arial" w:eastAsia="Arial" w:hAnsi="Arial"/>
          <w:sz w:val="18"/>
          <w:szCs w:val="18"/>
          <w:color w:val="FF0000"/>
          <w:strike w:val="1"/>
        </w:rPr>
        <w:t>a Benchmark</w:t>
      </w:r>
      <w:r>
        <w:rPr>
          <w:rFonts w:ascii="Arial" w:cs="Arial" w:eastAsia="Arial" w:hAnsi="Arial"/>
          <w:sz w:val="18"/>
          <w:szCs w:val="18"/>
          <w:u w:val="single" w:color="auto"/>
          <w:color w:val="0000FF"/>
        </w:rPr>
        <w:t>the Term SOFR Reference Rate,</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u w:val="single" w:color="auto"/>
          <w:color w:val="0000FF"/>
        </w:rPr>
        <w:t>Adjusted Term SOFR, Term SOFR</w:t>
      </w:r>
      <w:r>
        <w:rPr>
          <w:rFonts w:ascii="Arial" w:cs="Arial" w:eastAsia="Arial" w:hAnsi="Arial"/>
          <w:sz w:val="16"/>
          <w:szCs w:val="16"/>
          <w:color w:val="000000"/>
        </w:rPr>
        <w:t>, any alternative, successor or replacement rate (including any Benchmark Replacement) or any relevant</w:t>
      </w:r>
      <w:r>
        <w:rPr>
          <w:rFonts w:ascii="Arial" w:cs="Arial" w:eastAsia="Arial" w:hAnsi="Arial"/>
          <w:sz w:val="16"/>
          <w:szCs w:val="16"/>
          <w:color w:val="0000FF"/>
        </w:rPr>
        <w:t xml:space="preserve"> </w:t>
      </w:r>
      <w:r>
        <w:rPr>
          <w:rFonts w:ascii="Arial" w:cs="Arial" w:eastAsia="Arial" w:hAnsi="Arial"/>
          <w:sz w:val="16"/>
          <w:szCs w:val="16"/>
          <w:color w:val="000000"/>
        </w:rPr>
        <w:t>adjustments thereto and such transactions may be adverse to the Borrower. The Administrative Agent may select information sources or</w:t>
      </w:r>
    </w:p>
    <w:p>
      <w:pPr>
        <w:spacing w:after="0" w:line="235" w:lineRule="auto"/>
        <w:rPr>
          <w:sz w:val="20"/>
          <w:szCs w:val="20"/>
          <w:color w:val="auto"/>
        </w:rPr>
      </w:pPr>
      <w:r>
        <w:rPr>
          <w:rFonts w:ascii="Arial" w:cs="Arial" w:eastAsia="Arial" w:hAnsi="Arial"/>
          <w:sz w:val="18"/>
          <w:szCs w:val="18"/>
          <w:color w:val="auto"/>
        </w:rPr>
        <w:t xml:space="preserve">services in its reasonable discretion to ascertain </w:t>
      </w:r>
      <w:r>
        <w:rPr>
          <w:rFonts w:ascii="Arial" w:cs="Arial" w:eastAsia="Arial" w:hAnsi="Arial"/>
          <w:sz w:val="18"/>
          <w:szCs w:val="18"/>
          <w:color w:val="FF0000"/>
          <w:strike w:val="1"/>
        </w:rPr>
        <w:t>any</w:t>
      </w:r>
      <w:r>
        <w:rPr>
          <w:rFonts w:ascii="Arial" w:cs="Arial" w:eastAsia="Arial" w:hAnsi="Arial"/>
          <w:sz w:val="18"/>
          <w:szCs w:val="18"/>
          <w:u w:val="single" w:color="auto"/>
          <w:color w:val="0000FF"/>
        </w:rPr>
        <w:t>the Term SOFR Reference Rate, Adjusted Term SOFR or Term SOFR, or any other</w:t>
      </w:r>
    </w:p>
    <w:p>
      <w:pPr>
        <w:ind w:right="320"/>
        <w:spacing w:after="0" w:line="226" w:lineRule="auto"/>
        <w:rPr>
          <w:sz w:val="20"/>
          <w:szCs w:val="20"/>
          <w:color w:val="auto"/>
        </w:rPr>
      </w:pPr>
      <w:r>
        <w:rPr>
          <w:rFonts w:ascii="Arial" w:cs="Arial" w:eastAsia="Arial" w:hAnsi="Arial"/>
          <w:sz w:val="18"/>
          <w:szCs w:val="18"/>
          <w:color w:val="auto"/>
        </w:rPr>
        <w:t xml:space="preserve">Benchmark, any component definition thereof or rates </w:t>
      </w:r>
      <w:r>
        <w:rPr>
          <w:rFonts w:ascii="Arial" w:cs="Arial" w:eastAsia="Arial" w:hAnsi="Arial"/>
          <w:sz w:val="18"/>
          <w:szCs w:val="18"/>
          <w:color w:val="FF0000"/>
          <w:strike w:val="1"/>
        </w:rPr>
        <w:t>referenced</w:t>
      </w:r>
      <w:r>
        <w:rPr>
          <w:rFonts w:ascii="Arial" w:cs="Arial" w:eastAsia="Arial" w:hAnsi="Arial"/>
          <w:sz w:val="18"/>
          <w:szCs w:val="18"/>
          <w:u w:val="single" w:color="auto"/>
          <w:color w:val="0000FF"/>
        </w:rPr>
        <w:t>referred to</w:t>
      </w:r>
      <w:r>
        <w:rPr>
          <w:rFonts w:ascii="Arial" w:cs="Arial" w:eastAsia="Arial" w:hAnsi="Arial"/>
          <w:sz w:val="18"/>
          <w:szCs w:val="18"/>
          <w:color w:val="auto"/>
        </w:rPr>
        <w:t xml:space="preserve"> in the definition thereof, in each case pursuant to the terms of this Agreement, and shall have no liability to the Borrower, any Lender or any other person or entity for damages of any kind, including</w:t>
      </w:r>
    </w:p>
    <w:p>
      <w:pPr>
        <w:spacing w:after="0" w:line="236" w:lineRule="auto"/>
        <w:rPr>
          <w:sz w:val="20"/>
          <w:szCs w:val="20"/>
          <w:color w:val="auto"/>
        </w:rPr>
      </w:pPr>
      <w:r>
        <w:rPr>
          <w:rFonts w:ascii="Arial" w:cs="Arial" w:eastAsia="Arial" w:hAnsi="Arial"/>
          <w:sz w:val="18"/>
          <w:szCs w:val="18"/>
          <w:color w:val="auto"/>
        </w:rPr>
        <w:t>direct or indirect, special, punitive, incidental or consequential damages, costs, losses or expenses (whether in tort, contract or otherwise and</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whether at law or in equity), for any error or calculation of any such rate (or component thereof) provided by any such information source or service.</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Divisions</w:t>
      </w:r>
      <w:r>
        <w:rPr>
          <w:rFonts w:ascii="Arial" w:cs="Arial" w:eastAsia="Arial" w:hAnsi="Arial"/>
          <w:sz w:val="18"/>
          <w:szCs w:val="18"/>
          <w:color w:val="auto"/>
        </w:rPr>
        <w:t>.</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w:t>
      </w:r>
    </w:p>
    <w:p>
      <w:pPr>
        <w:spacing w:after="0" w:line="226" w:lineRule="auto"/>
        <w:rPr>
          <w:sz w:val="20"/>
          <w:szCs w:val="20"/>
          <w:color w:val="auto"/>
        </w:rPr>
      </w:pPr>
      <w:r>
        <w:rPr>
          <w:rFonts w:ascii="Arial" w:cs="Arial" w:eastAsia="Arial" w:hAnsi="Arial"/>
          <w:sz w:val="18"/>
          <w:szCs w:val="18"/>
          <w:color w:val="auto"/>
        </w:rPr>
        <w:t>liability of a different Person, then it shall be deemed to have been transferred from the original Person to the subsequent Person, and (b) if any new Person comes into existence, such new Person shall be deemed to have been organized on the first date of its existence by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holders of its Equity Securities at such time.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2</w:t>
      </w:r>
    </w:p>
    <w:p>
      <w:pPr>
        <w:jc w:val="center"/>
        <w:spacing w:after="0"/>
        <w:rPr>
          <w:sz w:val="20"/>
          <w:szCs w:val="20"/>
          <w:color w:val="auto"/>
        </w:rPr>
      </w:pPr>
      <w:r>
        <w:rPr>
          <w:rFonts w:ascii="Arial" w:cs="Arial" w:eastAsia="Arial" w:hAnsi="Arial"/>
          <w:sz w:val="20"/>
          <w:szCs w:val="20"/>
          <w:b w:val="1"/>
          <w:bCs w:val="1"/>
          <w:color w:val="auto"/>
        </w:rPr>
        <w:t>AMOUNT AND TERMS OF COMMITMENTS AND LOANS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Commitments</w:t>
      </w:r>
    </w:p>
    <w:p>
      <w:pPr>
        <w:spacing w:after="0" w:line="189" w:lineRule="exact"/>
        <w:rPr>
          <w:sz w:val="20"/>
          <w:szCs w:val="20"/>
          <w:color w:val="auto"/>
        </w:rPr>
      </w:pPr>
    </w:p>
    <w:p>
      <w:pPr>
        <w:jc w:val="both"/>
        <w:ind w:firstLine="8"/>
        <w:spacing w:after="0" w:line="235" w:lineRule="auto"/>
        <w:tabs>
          <w:tab w:leader="none" w:pos="1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the terms and subject to conditions hereof, each Revolving Loan Lender severally agrees to make revolving credit loans (“</w:t>
      </w:r>
      <w:r>
        <w:rPr>
          <w:rFonts w:ascii="Arial" w:cs="Arial" w:eastAsia="Arial" w:hAnsi="Arial"/>
          <w:sz w:val="18"/>
          <w:szCs w:val="18"/>
          <w:u w:val="single" w:color="auto"/>
          <w:color w:val="auto"/>
        </w:rPr>
        <w:t>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to the Borrower from time to time during the Commitment Period in an aggregate principal amount at any one time outstanding which, when added to such Revolving Loan Lender’s Percentage of the sum of (i) the L/C Obligations then outstanding and (ii) the aggregate principal amount of the Swingline Loans then outstanding, does not exceed the amount of such Revolving Loan Lender’s Commitment. During the Commitment Period, the Borrower may use the Commitments by borrowing, prepaying the Revolving Loans in whole or in part, and reborrowing, all in accordance with the terms and conditions hereof. The Revolving Loans may from time to time be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or ABR Loans, as determined by the Borrower and notified to the Administrative Agent in accordance with Sections 2.2 and 2.8. The Borrower shall repay all outstanding Revolving Loans on the Termination Date.</w:t>
      </w:r>
    </w:p>
    <w:p>
      <w:pPr>
        <w:spacing w:after="0" w:line="1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Procedure for Revolving Loan Borrowing</w:t>
      </w:r>
    </w:p>
    <w:p>
      <w:pPr>
        <w:spacing w:after="0" w:line="189" w:lineRule="exact"/>
        <w:rPr>
          <w:sz w:val="20"/>
          <w:szCs w:val="20"/>
          <w:color w:val="auto"/>
        </w:rPr>
      </w:pPr>
    </w:p>
    <w:p>
      <w:pPr>
        <w:jc w:val="both"/>
        <w:ind w:firstLine="8"/>
        <w:spacing w:after="0" w:line="223" w:lineRule="auto"/>
        <w:tabs>
          <w:tab w:leader="none" w:pos="99"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Borrower may borrow under the Commitments during the Commitment Period on any Business Day, provided that the Borrower shall give the Administrative Agent irrevocable notice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duly executed by a Responsible Officer and appropriately completed (a “</w:t>
      </w:r>
      <w:r>
        <w:rPr>
          <w:rFonts w:ascii="Arial" w:cs="Arial" w:eastAsia="Arial" w:hAnsi="Arial"/>
          <w:sz w:val="20"/>
          <w:szCs w:val="20"/>
          <w:u w:val="single" w:color="auto"/>
          <w:color w:val="auto"/>
        </w:rPr>
        <w:t>Notice of Borrowing</w:t>
      </w:r>
      <w:r>
        <w:rPr>
          <w:rFonts w:ascii="Arial" w:cs="Arial" w:eastAsia="Arial" w:hAnsi="Arial"/>
          <w:sz w:val="20"/>
          <w:szCs w:val="20"/>
          <w:color w:val="auto"/>
        </w:rPr>
        <w:t>”), (which notice must be received by the Administrative Agent prior to</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12:00 Noon (a) three </w:t>
      </w:r>
      <w:r>
        <w:rPr>
          <w:rFonts w:ascii="Arial" w:cs="Arial" w:eastAsia="Arial" w:hAnsi="Arial"/>
          <w:sz w:val="18"/>
          <w:szCs w:val="18"/>
          <w:u w:val="single" w:color="auto"/>
          <w:color w:val="0000FF"/>
        </w:rPr>
        <w:t>U.S. Government Securities</w:t>
      </w:r>
      <w:r>
        <w:rPr>
          <w:rFonts w:ascii="Arial" w:cs="Arial" w:eastAsia="Arial" w:hAnsi="Arial"/>
          <w:sz w:val="18"/>
          <w:szCs w:val="18"/>
          <w:color w:val="auto"/>
        </w:rPr>
        <w:t xml:space="preserve"> Business Days prior to the requested Borrowing Date, in the case of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Loans, or (b) one Business Day prior to the requested Borrowing Date, in the case of ABR Loans) specifying (i) the amount and Type of Revolving Loans to be borrowed, (ii) the requested Borrowing Date and (iii) in the case of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the respective amounts of</w:t>
      </w:r>
    </w:p>
    <w:p>
      <w:pPr>
        <w:spacing w:after="0" w:line="224" w:lineRule="auto"/>
        <w:rPr>
          <w:sz w:val="20"/>
          <w:szCs w:val="20"/>
          <w:color w:val="auto"/>
        </w:rPr>
      </w:pPr>
      <w:r>
        <w:rPr>
          <w:rFonts w:ascii="Arial" w:cs="Arial" w:eastAsia="Arial" w:hAnsi="Arial"/>
          <w:sz w:val="19"/>
          <w:szCs w:val="19"/>
          <w:color w:val="auto"/>
        </w:rPr>
        <w:t xml:space="preserve">each such Type of Loan and the respective lengths of the initial Interest Period therefor. </w:t>
      </w:r>
      <w:r>
        <w:rPr>
          <w:rFonts w:ascii="Arial" w:cs="Arial" w:eastAsia="Arial" w:hAnsi="Arial"/>
          <w:sz w:val="19"/>
          <w:szCs w:val="19"/>
          <w:color w:val="FF0000"/>
          <w:strike w:val="1"/>
        </w:rPr>
        <w:t>Subject to delivery by the Borrower to the</w:t>
      </w:r>
    </w:p>
    <w:p>
      <w:pPr>
        <w:jc w:val="both"/>
        <w:spacing w:after="0" w:line="226" w:lineRule="auto"/>
        <w:rPr>
          <w:sz w:val="20"/>
          <w:szCs w:val="20"/>
          <w:color w:val="auto"/>
        </w:rPr>
      </w:pPr>
      <w:r>
        <w:rPr>
          <w:rFonts w:ascii="Arial" w:cs="Arial" w:eastAsia="Arial" w:hAnsi="Arial"/>
          <w:sz w:val="18"/>
          <w:szCs w:val="18"/>
          <w:color w:val="FF0000"/>
          <w:strike w:val="1"/>
        </w:rPr>
        <w:t>Administrative Agent, at least two (2) Business Days prior to the Effective Date, of a customary LIBOR indemnity letter, the first Notice of Borrowing may be given prior to the effectiveness of this Agreement but otherwise in accordance with the preceding sentence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w:t>
      </w:r>
    </w:p>
    <w:p>
      <w:pPr>
        <w:spacing w:after="0" w:line="224" w:lineRule="auto"/>
        <w:rPr>
          <w:sz w:val="20"/>
          <w:szCs w:val="20"/>
          <w:color w:val="auto"/>
        </w:rPr>
      </w:pPr>
      <w:r>
        <w:rPr>
          <w:rFonts w:ascii="Arial" w:cs="Arial" w:eastAsia="Arial" w:hAnsi="Arial"/>
          <w:sz w:val="19"/>
          <w:szCs w:val="19"/>
          <w:color w:val="FF0000"/>
          <w:strike w:val="1"/>
        </w:rPr>
        <w:t>in the case of a borrowing of Eurodollar Loans requested to be made on the Effective Date, such request must be received by the</w:t>
      </w:r>
    </w:p>
    <w:p>
      <w:pPr>
        <w:spacing w:after="0" w:line="255" w:lineRule="auto"/>
        <w:rPr>
          <w:sz w:val="20"/>
          <w:szCs w:val="20"/>
          <w:color w:val="auto"/>
        </w:rPr>
      </w:pPr>
      <w:r>
        <w:rPr>
          <w:rFonts w:ascii="Arial" w:cs="Arial" w:eastAsia="Arial" w:hAnsi="Arial"/>
          <w:sz w:val="16"/>
          <w:szCs w:val="16"/>
          <w:color w:val="FF0000"/>
          <w:strike w:val="1"/>
        </w:rPr>
        <w:t>Administrative Agent at least two (2) Business Days prior to the Effective Date).</w:t>
      </w:r>
      <w:r>
        <w:rPr>
          <w:rFonts w:ascii="Arial" w:cs="Arial" w:eastAsia="Arial" w:hAnsi="Arial"/>
          <w:sz w:val="16"/>
          <w:szCs w:val="16"/>
          <w:color w:val="FF0000"/>
        </w:rPr>
        <w:t xml:space="preserve"> </w:t>
      </w:r>
      <w:r>
        <w:rPr>
          <w:rFonts w:ascii="Arial" w:cs="Arial" w:eastAsia="Arial" w:hAnsi="Arial"/>
          <w:sz w:val="16"/>
          <w:szCs w:val="16"/>
          <w:color w:val="000000"/>
        </w:rPr>
        <w:t>Each borrowing under the Commitments shall be in an</w:t>
      </w:r>
      <w:r>
        <w:rPr>
          <w:rFonts w:ascii="Arial" w:cs="Arial" w:eastAsia="Arial" w:hAnsi="Arial"/>
          <w:sz w:val="16"/>
          <w:szCs w:val="16"/>
          <w:color w:val="FF0000"/>
        </w:rPr>
        <w:t xml:space="preserve"> </w:t>
      </w:r>
      <w:r>
        <w:rPr>
          <w:rFonts w:ascii="Arial" w:cs="Arial" w:eastAsia="Arial" w:hAnsi="Arial"/>
          <w:sz w:val="16"/>
          <w:szCs w:val="16"/>
          <w:color w:val="000000"/>
        </w:rPr>
        <w:t>amount equal to $3,000,000 or a whole multiple of $500,000 in excess thereof (or, if the then aggregate Available Commitments are less than</w:t>
      </w:r>
    </w:p>
    <w:p>
      <w:pPr>
        <w:spacing w:after="0" w:line="235" w:lineRule="auto"/>
        <w:rPr>
          <w:sz w:val="20"/>
          <w:szCs w:val="20"/>
          <w:color w:val="auto"/>
        </w:rPr>
      </w:pPr>
      <w:r>
        <w:rPr>
          <w:rFonts w:ascii="Arial" w:cs="Arial" w:eastAsia="Arial" w:hAnsi="Arial"/>
          <w:sz w:val="18"/>
          <w:szCs w:val="18"/>
          <w:color w:val="auto"/>
        </w:rPr>
        <w:t>$3,000,000, such lesser amount). Upon receipt of a Notice of Borrowing from the Borrower, the Administrative Agent shall promptly notify</w:t>
      </w:r>
    </w:p>
    <w:p>
      <w:pPr>
        <w:spacing w:after="0" w:line="226" w:lineRule="auto"/>
        <w:rPr>
          <w:sz w:val="20"/>
          <w:szCs w:val="20"/>
          <w:color w:val="auto"/>
        </w:rPr>
      </w:pPr>
      <w:r>
        <w:rPr>
          <w:rFonts w:ascii="Arial" w:cs="Arial" w:eastAsia="Arial" w:hAnsi="Arial"/>
          <w:sz w:val="18"/>
          <w:szCs w:val="18"/>
          <w:color w:val="auto"/>
        </w:rPr>
        <w:t>each Revolving Loan Lender thereof. Each Revolving Loan Lender will make the amount of its pro rata share of each borrowing available to the Administrative Agent for the account of the Borrower at the Funding Office prior to 12:00 Noon on the Borrowing Date requested by the</w:t>
      </w:r>
    </w:p>
    <w:p>
      <w:pPr>
        <w:spacing w:after="0" w:line="236" w:lineRule="auto"/>
        <w:rPr>
          <w:sz w:val="20"/>
          <w:szCs w:val="20"/>
          <w:color w:val="auto"/>
        </w:rPr>
      </w:pPr>
      <w:r>
        <w:rPr>
          <w:rFonts w:ascii="Arial" w:cs="Arial" w:eastAsia="Arial" w:hAnsi="Arial"/>
          <w:sz w:val="18"/>
          <w:szCs w:val="18"/>
          <w:color w:val="auto"/>
        </w:rPr>
        <w:t>Borrower in funds immediately available to the Administrative Agent. Such borrowing will then be made available to the Borrower by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Administrative Agent crediting the account of the Borrower on the books of such office with the aggregate of the amounts made available to the Administrative Agent by the Revolving Loan Lenders and in like funds as received by the Administrative Agent.</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Swingline Commitment</w:t>
      </w:r>
    </w:p>
    <w:p>
      <w:pPr>
        <w:spacing w:after="0" w:line="189" w:lineRule="exact"/>
        <w:rPr>
          <w:sz w:val="20"/>
          <w:szCs w:val="20"/>
          <w:color w:val="auto"/>
        </w:rPr>
      </w:pPr>
    </w:p>
    <w:p>
      <w:pPr>
        <w:jc w:val="both"/>
        <w:ind w:firstLine="8"/>
        <w:spacing w:after="0" w:line="234" w:lineRule="auto"/>
        <w:tabs>
          <w:tab w:leader="none" w:pos="1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the terms and subject to conditions hereof, the Swingline Lender agrees to make a portion of the credit otherwise available to the Borrower under the Commitments from time to time on or after the Effective Date during the Commitment Period by making swingline loans (“</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to the Borrower; provided that (i) the aggregate principal amount of Swingline Loans outstanding at any time shall not exceed the Swingline Commitment then in effect (notwithstanding that the Swingline Loans outstanding at any time, when aggregated with the Swingline Lender’s other outstanding Revolving Loans, may exceed the Swingline Commitment or the Swingline Lender’s Commitment then in effect) and (ii) the Borrower shall not request, and the Swingline Lender shall not make, any Swingline Loan if, after giving effect to the making of such Swingline Loan, the aggregate amount of the Available Commitments would be less than zero. During the Commitment Period, the Borrower may use the Swingline Commitment by borrowing, repaying and reborrowing, all in accordance with the terms and conditions hereof. Swingline Loans shall bear interest only at </w:t>
      </w:r>
      <w:r>
        <w:rPr>
          <w:rFonts w:ascii="Arial" w:cs="Arial" w:eastAsia="Arial" w:hAnsi="Arial"/>
          <w:sz w:val="18"/>
          <w:szCs w:val="18"/>
          <w:color w:val="FF0000"/>
          <w:strike w:val="1"/>
        </w:rPr>
        <w:t>the LIBOR Market Index Rate</w:t>
      </w:r>
      <w:r>
        <w:rPr>
          <w:rFonts w:ascii="Arial" w:cs="Arial" w:eastAsia="Arial" w:hAnsi="Arial"/>
          <w:sz w:val="18"/>
          <w:szCs w:val="18"/>
          <w:u w:val="single" w:color="auto"/>
          <w:color w:val="0000FF"/>
        </w:rPr>
        <w:t>Adjusted Term SOFR for a one-month tenor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effect on such day</w:t>
      </w:r>
      <w:r>
        <w:rPr>
          <w:rFonts w:ascii="Arial" w:cs="Arial" w:eastAsia="Arial" w:hAnsi="Arial"/>
          <w:sz w:val="18"/>
          <w:szCs w:val="18"/>
          <w:color w:val="0000FF"/>
        </w:rPr>
        <w:t xml:space="preserve"> </w:t>
      </w:r>
      <w:r>
        <w:rPr>
          <w:rFonts w:ascii="Arial" w:cs="Arial" w:eastAsia="Arial" w:hAnsi="Arial"/>
          <w:sz w:val="18"/>
          <w:szCs w:val="18"/>
          <w:color w:val="000000"/>
        </w:rPr>
        <w:t>plus the Applicable Margin. The Borrower shall repay to the Swingline Lender the then unpaid principal amount of each</w:t>
      </w:r>
      <w:r>
        <w:rPr>
          <w:rFonts w:ascii="Arial" w:cs="Arial" w:eastAsia="Arial" w:hAnsi="Arial"/>
          <w:sz w:val="18"/>
          <w:szCs w:val="18"/>
          <w:color w:val="0000FF"/>
        </w:rPr>
        <w:t xml:space="preserve"> </w:t>
      </w:r>
      <w:r>
        <w:rPr>
          <w:rFonts w:ascii="Arial" w:cs="Arial" w:eastAsia="Arial" w:hAnsi="Arial"/>
          <w:sz w:val="18"/>
          <w:szCs w:val="18"/>
          <w:color w:val="000000"/>
        </w:rPr>
        <w:t>Swingline Loan on or prior to the date that is the earlier of (i) the 15th and last day of each month and (ii) the Termination Date; provided that on each date on which a Revolving Loan is borrowed, the Borrower shall repay all Swingline Loans then outstanding.</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Procedure for Swingline Borrowing; Refunding of Swingline Loans</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14" w:lineRule="auto"/>
        <w:tabs>
          <w:tab w:leader="none" w:pos="1755"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Whenever the Borrower wishes to borrow Swingline Loans, it shall give the Swingline Lender irrevocable telephonic notice (which telephonic notice must be received by the Swingline Lender not later than 1:00 </w:t>
      </w:r>
      <w:r>
        <w:rPr>
          <w:rFonts w:ascii="Arial" w:cs="Arial" w:eastAsia="Arial" w:hAnsi="Arial"/>
          <w:sz w:val="20"/>
          <w:szCs w:val="20"/>
          <w:color w:val="FF0000"/>
          <w:strike w:val="1"/>
        </w:rPr>
        <w:t>P</w:t>
      </w:r>
      <w:r>
        <w:rPr>
          <w:rFonts w:ascii="Arial" w:cs="Arial" w:eastAsia="Arial" w:hAnsi="Arial"/>
          <w:sz w:val="20"/>
          <w:szCs w:val="20"/>
          <w:u w:val="single" w:color="auto"/>
          <w:color w:val="0000FF"/>
        </w:rPr>
        <w:t>p</w:t>
      </w:r>
      <w:r>
        <w:rPr>
          <w:rFonts w:ascii="Arial" w:cs="Arial" w:eastAsia="Arial" w:hAnsi="Arial"/>
          <w:sz w:val="20"/>
          <w:szCs w:val="20"/>
          <w:color w:val="auto"/>
        </w:rPr>
        <w:t>.</w:t>
      </w:r>
      <w:r>
        <w:rPr>
          <w:rFonts w:ascii="Arial" w:cs="Arial" w:eastAsia="Arial" w:hAnsi="Arial"/>
          <w:sz w:val="20"/>
          <w:szCs w:val="20"/>
          <w:color w:val="FF0000"/>
          <w:strike w:val="1"/>
        </w:rPr>
        <w:t>M</w:t>
      </w:r>
      <w:r>
        <w:rPr>
          <w:rFonts w:ascii="Arial" w:cs="Arial" w:eastAsia="Arial" w:hAnsi="Arial"/>
          <w:sz w:val="20"/>
          <w:szCs w:val="20"/>
          <w:u w:val="single" w:color="auto"/>
          <w:color w:val="0000FF"/>
        </w:rPr>
        <w:t>m</w:t>
      </w:r>
      <w:r>
        <w:rPr>
          <w:rFonts w:ascii="Arial" w:cs="Arial" w:eastAsia="Arial" w:hAnsi="Arial"/>
          <w:sz w:val="20"/>
          <w:szCs w:val="20"/>
          <w:color w:val="auto"/>
        </w:rPr>
        <w:t xml:space="preserve">. on the proposed Borrowing Date), specifying (i) the amount to be borrowed, and (ii) the requested Borrowing Date (which shall be a Business Day during the Commitment Period). Each such telephonic notice must be confirmed promptly by an irrevocable written notice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duly executed by a Responsible Officer and appropriately completed (a “</w:t>
      </w:r>
      <w:r>
        <w:rPr>
          <w:rFonts w:ascii="Arial" w:cs="Arial" w:eastAsia="Arial" w:hAnsi="Arial"/>
          <w:sz w:val="20"/>
          <w:szCs w:val="20"/>
          <w:u w:val="single" w:color="auto"/>
          <w:color w:val="auto"/>
        </w:rPr>
        <w:t>Notice of Swingline Borrowing</w:t>
      </w:r>
      <w:r>
        <w:rPr>
          <w:rFonts w:ascii="Arial" w:cs="Arial" w:eastAsia="Arial" w:hAnsi="Arial"/>
          <w:sz w:val="20"/>
          <w:szCs w:val="20"/>
          <w:color w:val="auto"/>
        </w:rPr>
        <w:t xml:space="preserve">”). Each borrowing under the Swingline Commitment shall be in whole U.S. dollar amounts. Not later than 2:00 </w:t>
      </w:r>
      <w:r>
        <w:rPr>
          <w:rFonts w:ascii="Arial" w:cs="Arial" w:eastAsia="Arial" w:hAnsi="Arial"/>
          <w:sz w:val="20"/>
          <w:szCs w:val="20"/>
          <w:color w:val="FF0000"/>
          <w:strike w:val="1"/>
        </w:rPr>
        <w:t>P</w:t>
      </w:r>
      <w:r>
        <w:rPr>
          <w:rFonts w:ascii="Arial" w:cs="Arial" w:eastAsia="Arial" w:hAnsi="Arial"/>
          <w:sz w:val="20"/>
          <w:szCs w:val="20"/>
          <w:u w:val="single" w:color="auto"/>
          <w:color w:val="0000FF"/>
        </w:rPr>
        <w:t>p</w:t>
      </w:r>
      <w:r>
        <w:rPr>
          <w:rFonts w:ascii="Arial" w:cs="Arial" w:eastAsia="Arial" w:hAnsi="Arial"/>
          <w:sz w:val="20"/>
          <w:szCs w:val="20"/>
          <w:color w:val="auto"/>
        </w:rPr>
        <w:t>.</w:t>
      </w:r>
      <w:r>
        <w:rPr>
          <w:rFonts w:ascii="Arial" w:cs="Arial" w:eastAsia="Arial" w:hAnsi="Arial"/>
          <w:sz w:val="20"/>
          <w:szCs w:val="20"/>
          <w:color w:val="FF0000"/>
          <w:strike w:val="1"/>
        </w:rPr>
        <w:t>M</w:t>
      </w:r>
      <w:r>
        <w:rPr>
          <w:rFonts w:ascii="Arial" w:cs="Arial" w:eastAsia="Arial" w:hAnsi="Arial"/>
          <w:sz w:val="20"/>
          <w:szCs w:val="20"/>
          <w:u w:val="single" w:color="auto"/>
          <w:color w:val="0000FF"/>
        </w:rPr>
        <w:t>m</w:t>
      </w:r>
      <w:r>
        <w:rPr>
          <w:rFonts w:ascii="Arial" w:cs="Arial" w:eastAsia="Arial" w:hAnsi="Arial"/>
          <w:sz w:val="20"/>
          <w:szCs w:val="20"/>
          <w:color w:val="auto"/>
        </w:rPr>
        <w:t>. on the Borrowing Date specified in a notice in respect of Swingline Loans, the Swingline Lender</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shall make available to the Administrative Agent at the Funding Office an amount in immediately available funds equal to the amount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Swingline Loan to be made by the Swingline Lender. The Administrative Agent shall make the proceeds of such Swingline Loan available to the Borrower on such Borrowing Date by depositing such proceeds in the account of the Borrower with the Administrative Agent on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Borrowing Date in immediately available funds.</w:t>
      </w:r>
    </w:p>
    <w:p>
      <w:pPr>
        <w:spacing w:after="0" w:line="173" w:lineRule="exact"/>
        <w:rPr>
          <w:sz w:val="20"/>
          <w:szCs w:val="20"/>
          <w:color w:val="auto"/>
        </w:rPr>
      </w:pPr>
    </w:p>
    <w:p>
      <w:pPr>
        <w:jc w:val="both"/>
        <w:ind w:firstLine="1304"/>
        <w:spacing w:after="0" w:line="234" w:lineRule="auto"/>
        <w:tabs>
          <w:tab w:leader="none" w:pos="18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Swingline Lender, at any time and from time to time in its sole and absolute discretion, may, on behalf of the Borrower (which hereby irrevocably directs the Swingline Lender to act on its behalf), on one Business Day’s notice given by the Swingline Lender no later than 12:00 Noon, request each Revolving Loan Lender to make, and each Revolving Loan Lender hereby agrees to make, a Revolving Loan, in an amount equal to such Lender’s Percentage of the aggregate amount of the Swingline Loans (the “</w:t>
      </w:r>
      <w:r>
        <w:rPr>
          <w:rFonts w:ascii="Arial" w:cs="Arial" w:eastAsia="Arial" w:hAnsi="Arial"/>
          <w:sz w:val="18"/>
          <w:szCs w:val="18"/>
          <w:u w:val="single" w:color="auto"/>
          <w:color w:val="auto"/>
        </w:rPr>
        <w:t>Refunded Swingline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outstanding on the date of such notice, to repay the Swingline Lender. Each Revolving Loan Lender shall make the amount of such Revolving Loan available to the Administrative Agent at the Funding Office in immediately available funds, not later than 10:00 </w:t>
      </w:r>
      <w:r>
        <w:rPr>
          <w:rFonts w:ascii="Arial" w:cs="Arial" w:eastAsia="Arial" w:hAnsi="Arial"/>
          <w:sz w:val="18"/>
          <w:szCs w:val="18"/>
          <w:color w:val="FF0000"/>
          <w:strike w:val="1"/>
        </w:rPr>
        <w:t>A</w:t>
      </w:r>
      <w:r>
        <w:rPr>
          <w:rFonts w:ascii="Arial" w:cs="Arial" w:eastAsia="Arial" w:hAnsi="Arial"/>
          <w:sz w:val="18"/>
          <w:szCs w:val="18"/>
          <w:u w:val="single" w:color="auto"/>
          <w:color w:val="0000FF"/>
        </w:rPr>
        <w:t>a</w:t>
      </w:r>
      <w:r>
        <w:rPr>
          <w:rFonts w:ascii="Arial" w:cs="Arial" w:eastAsia="Arial" w:hAnsi="Arial"/>
          <w:sz w:val="18"/>
          <w:szCs w:val="18"/>
          <w:color w:val="auto"/>
        </w:rPr>
        <w:t>.</w:t>
      </w:r>
      <w:r>
        <w:rPr>
          <w:rFonts w:ascii="Arial" w:cs="Arial" w:eastAsia="Arial" w:hAnsi="Arial"/>
          <w:sz w:val="18"/>
          <w:szCs w:val="18"/>
          <w:color w:val="FF0000"/>
          <w:strike w:val="1"/>
        </w:rPr>
        <w:t>M</w:t>
      </w:r>
      <w:r>
        <w:rPr>
          <w:rFonts w:ascii="Arial" w:cs="Arial" w:eastAsia="Arial" w:hAnsi="Arial"/>
          <w:sz w:val="18"/>
          <w:szCs w:val="18"/>
          <w:u w:val="single" w:color="auto"/>
          <w:color w:val="0000FF"/>
        </w:rPr>
        <w:t>m</w:t>
      </w:r>
      <w:r>
        <w:rPr>
          <w:rFonts w:ascii="Arial" w:cs="Arial" w:eastAsia="Arial" w:hAnsi="Arial"/>
          <w:sz w:val="18"/>
          <w:szCs w:val="18"/>
          <w:color w:val="auto"/>
        </w:rPr>
        <w:t>. one Business Day after the date of such notice. The proceeds of such Revolving Loans shall be immediately made available by the Administrative Agent to the Swingline Lender for application by the Swingline Lender to the repayment of the Refunded Swingline Loans. The Borrower irrevocably authorizes the Swingline Lender to charge the Borrower’s accounts with the Administrative Agent (up to the amount available in each such account) in order to immediately pay the amount of such Refunded Swingline Loans to the extent amounts received from the Revolving Loan Lenders are not sufficient to repay in full such Refunded Swingline Loans.</w:t>
      </w:r>
    </w:p>
    <w:p>
      <w:pPr>
        <w:spacing w:after="0" w:line="169" w:lineRule="exact"/>
        <w:rPr>
          <w:rFonts w:ascii="Arial" w:cs="Arial" w:eastAsia="Arial" w:hAnsi="Arial"/>
          <w:sz w:val="18"/>
          <w:szCs w:val="18"/>
          <w:color w:val="auto"/>
        </w:rPr>
      </w:pPr>
    </w:p>
    <w:p>
      <w:pPr>
        <w:jc w:val="both"/>
        <w:ind w:firstLine="1304"/>
        <w:spacing w:after="0" w:line="238" w:lineRule="auto"/>
        <w:tabs>
          <w:tab w:leader="none" w:pos="17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If prior to the time a Revolving Loan would have otherwise been made pursuant to Section 2.4(b) one of the events described in </w:t>
      </w:r>
      <w:r>
        <w:rPr>
          <w:rFonts w:ascii="Arial" w:cs="Arial" w:eastAsia="Arial" w:hAnsi="Arial"/>
          <w:sz w:val="18"/>
          <w:szCs w:val="18"/>
          <w:u w:val="single" w:color="auto"/>
          <w:color w:val="auto"/>
        </w:rPr>
        <w:t>Section 8(f)</w:t>
      </w:r>
      <w:r>
        <w:rPr>
          <w:rFonts w:ascii="Arial" w:cs="Arial" w:eastAsia="Arial" w:hAnsi="Arial"/>
          <w:sz w:val="18"/>
          <w:szCs w:val="18"/>
          <w:color w:val="auto"/>
        </w:rPr>
        <w:t xml:space="preserve"> or if for any other reason, as determined by the Swingline Lender in its sole discretion, Revolving Loans may not be made as contemplated by Section 2.4(b), each Revolving Loan Lender shall, on the date such Revolving Loan was to have been made pursuant to the notice referred to in Section 2.4(b), purchase for cash an undivided participating interest in the then outstanding Swingline Loans by paying to the Swingline Lender an amount (the “</w:t>
      </w:r>
      <w:r>
        <w:rPr>
          <w:rFonts w:ascii="Arial" w:cs="Arial" w:eastAsia="Arial" w:hAnsi="Arial"/>
          <w:sz w:val="18"/>
          <w:szCs w:val="18"/>
          <w:u w:val="single" w:color="auto"/>
          <w:color w:val="auto"/>
        </w:rPr>
        <w:t>Swingline Participation Amount</w:t>
      </w:r>
      <w:r>
        <w:rPr>
          <w:rFonts w:ascii="Arial" w:cs="Arial" w:eastAsia="Arial" w:hAnsi="Arial"/>
          <w:sz w:val="18"/>
          <w:szCs w:val="18"/>
          <w:color w:val="auto"/>
        </w:rPr>
        <w:t xml:space="preserve">”) equal to (i) such Lender’s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sum of the aggregate principal amount of Swingline Loans then outstanding that were to have been repaid with such Revolving Loans.</w:t>
      </w:r>
    </w:p>
    <w:p>
      <w:pPr>
        <w:spacing w:after="0" w:line="172" w:lineRule="exact"/>
        <w:rPr>
          <w:rFonts w:ascii="Arial" w:cs="Arial" w:eastAsia="Arial" w:hAnsi="Arial"/>
          <w:sz w:val="18"/>
          <w:szCs w:val="18"/>
          <w:color w:val="auto"/>
        </w:rPr>
      </w:pPr>
    </w:p>
    <w:p>
      <w:pPr>
        <w:jc w:val="both"/>
        <w:ind w:firstLine="1304"/>
        <w:spacing w:after="0" w:line="238" w:lineRule="auto"/>
        <w:tabs>
          <w:tab w:leader="none" w:pos="18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Whenever, at any time after the Swingline Lender has received from any Revolving Loan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such payment if such payment is not sufficient to pay the principal of and interest on all Swingline Loans then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such payment received by the Swingline Lender is required to be returned, such Lender will return to the Swingline Lender any portion thereof previously distributed to it by the Swingline Lender.</w:t>
      </w:r>
    </w:p>
    <w:p>
      <w:pPr>
        <w:spacing w:after="0" w:line="156" w:lineRule="exact"/>
        <w:rPr>
          <w:rFonts w:ascii="Arial" w:cs="Arial" w:eastAsia="Arial" w:hAnsi="Arial"/>
          <w:sz w:val="18"/>
          <w:szCs w:val="18"/>
          <w:color w:val="auto"/>
        </w:rPr>
      </w:pPr>
    </w:p>
    <w:p>
      <w:pPr>
        <w:jc w:val="both"/>
        <w:ind w:firstLine="1304"/>
        <w:spacing w:after="0" w:line="225" w:lineRule="auto"/>
        <w:tabs>
          <w:tab w:leader="none" w:pos="1773"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before making any Swingline Loans (if at such time any Revolving Loan Lender is a Defaulting Lender), the Swingline Lender may condition the provision of such Swingline Loans on its receipt of Cash Collateral or similar security satisfactory to the Swingline Lender (in its sole discretion) from such Defaulting Lender in respect of such Defaulting Lender’s risk participation in such Swingline Loans as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Defaulting Lender fails to provide such Cash Collateral, the Borrower shall provide such Cash Collateral within five (5) Business Days of written demand from the Administrative Agent. The Borrower and such Defaulting Lender, as applicable, hereby grant to the Administrative Agent, for the benefit of the Swingline Lender, a security interest in all such Cash Collateral and all proceeds of the foregoing. Cash Collateral shall be maintained in blocked, deposit accounts at Wells Fargo. Such accounts must be subject</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control agreements pursuant to which the Administrative Agent has “control,” as such term is used in the Uniform Commercial Code,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sufficient to perfect on a first priority basis a security interest in such cash collateral. If at any time the Administrative Agent determines that any funds held as Cash Collateral are subject to any right or claim of any Person other than the Administrative Agent or that the total amount</w:t>
      </w:r>
    </w:p>
    <w:p>
      <w:pPr>
        <w:spacing w:after="0" w:line="236" w:lineRule="auto"/>
        <w:rPr>
          <w:sz w:val="20"/>
          <w:szCs w:val="20"/>
          <w:color w:val="auto"/>
        </w:rPr>
      </w:pPr>
      <w:r>
        <w:rPr>
          <w:rFonts w:ascii="Arial" w:cs="Arial" w:eastAsia="Arial" w:hAnsi="Arial"/>
          <w:sz w:val="18"/>
          <w:szCs w:val="18"/>
          <w:color w:val="auto"/>
        </w:rPr>
        <w:t>of such funds is less than the aggregate risk participation of such Defaulting Lender in the relevant Swingline Loan, the Borrower and/or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Defaulting Lender will, promptly upon demand by the Administrative Agent, pay to the Administrative Agent, as additional funds to be deposited as Cash Collateral, an amount equal to the excess of (x) such aggregate risk participation over (y) the total amount of funds, if any,</w:t>
      </w:r>
    </w:p>
    <w:p>
      <w:pPr>
        <w:spacing w:after="0" w:line="236" w:lineRule="auto"/>
        <w:rPr>
          <w:sz w:val="20"/>
          <w:szCs w:val="20"/>
          <w:color w:val="auto"/>
        </w:rPr>
      </w:pPr>
      <w:r>
        <w:rPr>
          <w:rFonts w:ascii="Arial" w:cs="Arial" w:eastAsia="Arial" w:hAnsi="Arial"/>
          <w:sz w:val="18"/>
          <w:szCs w:val="18"/>
          <w:color w:val="auto"/>
        </w:rPr>
        <w:t>then held as Cash Collateral that the Administrative Agent determines to be free and clear of any such right and claim. At such times there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are Swingline Loans outstanding for which funds are on deposit as Cash Collateral, such funds shall be applied as and when determined by the Swingline Lender, to the extent permitted under applicable Requirement of Law, to reimburse and otherwise pay the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obligations owing to the Swingline Lender.</w:t>
      </w:r>
    </w:p>
    <w:p>
      <w:pPr>
        <w:spacing w:after="0" w:line="173" w:lineRule="exact"/>
        <w:rPr>
          <w:sz w:val="20"/>
          <w:szCs w:val="20"/>
          <w:color w:val="auto"/>
        </w:rPr>
      </w:pPr>
    </w:p>
    <w:p>
      <w:pPr>
        <w:jc w:val="both"/>
        <w:ind w:firstLine="1304"/>
        <w:spacing w:after="0" w:line="232" w:lineRule="auto"/>
        <w:tabs>
          <w:tab w:leader="none" w:pos="17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Each Revolving Loan Lender’s obligation to make the Loans referred to in Section 2.4(b) and to purchase participating interests pursuant to Section 2.4(c) shall be absolute and unconditional and shall not be affected by any circumstance, including (i) any setoff, offset, counterclaim, recoupment, defense or other right that such Lender or the Borrower may have against the Swingline Lender, the Borrower or any other Person for any reason whatsoever, (ii) the occurrence or continuance of a Default or an Event of Default or the failure to satisfy any of the other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(iii) any adverse change in the condition (financial or otherwise) of the Borrower,</w:t>
      </w:r>
    </w:p>
    <w:p>
      <w:pPr>
        <w:spacing w:after="0" w:line="1" w:lineRule="exact"/>
        <w:rPr>
          <w:rFonts w:ascii="Arial" w:cs="Arial" w:eastAsia="Arial" w:hAnsi="Arial"/>
          <w:sz w:val="18"/>
          <w:szCs w:val="18"/>
          <w:color w:val="auto"/>
        </w:rPr>
      </w:pPr>
    </w:p>
    <w:p>
      <w:pPr>
        <w:ind w:firstLine="8"/>
        <w:spacing w:after="0" w:line="227" w:lineRule="auto"/>
        <w:tabs>
          <w:tab w:leader="none" w:pos="373"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breach of this Agreement or any other Loan Document by the Borrower or any other Lender or (v) any other circumstance, happening or event whatsoever, whether or not similar to any of the foregoing.</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u w:val="single" w:color="auto"/>
          <w:color w:val="auto"/>
        </w:rPr>
        <w:t>Commitment Fees, Other Fees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6" w:lineRule="auto"/>
        <w:tabs>
          <w:tab w:leader="none" w:pos="173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Borrower shall pay to the Administrative Agent, for the ratable benefit of the Revolving Loan Lenders (other than any Defaulting Lender with respect to the period during which it is a Defaulting Lender), a commitment fee (collectively, the “</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w:t>
      </w:r>
      <w:r>
        <w:rPr>
          <w:rFonts w:ascii="Arial" w:cs="Arial" w:eastAsia="Arial" w:hAnsi="Arial"/>
          <w:sz w:val="19"/>
          <w:szCs w:val="19"/>
          <w:color w:val="auto"/>
        </w:rPr>
        <w:t>”) equal to the Commitment Fee Rate of the daily average Unused Revolving Commitment for the period beginning on the date of this Agreement and ending on the Termination Date. The Borrower shall pay the Commitment Fee in arrears on the last Business Day in each fiscal quarter (commencing with the fiscal quarter ending September 30, 2021) and on the Termination Date (or if the Total Commitments are cancelled on a date prior to the Termination Date, on such prior date).</w:t>
      </w:r>
    </w:p>
    <w:p>
      <w:pPr>
        <w:spacing w:after="0" w:line="169" w:lineRule="exact"/>
        <w:rPr>
          <w:rFonts w:ascii="Arial" w:cs="Arial" w:eastAsia="Arial" w:hAnsi="Arial"/>
          <w:sz w:val="19"/>
          <w:szCs w:val="19"/>
          <w:color w:val="auto"/>
        </w:rPr>
      </w:pPr>
    </w:p>
    <w:p>
      <w:pPr>
        <w:jc w:val="both"/>
        <w:ind w:firstLine="1304"/>
        <w:spacing w:after="0" w:line="223" w:lineRule="auto"/>
        <w:tabs>
          <w:tab w:leader="none" w:pos="1727"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Borrower agrees to pay the fees in the amounts and on the dates as set forth in the Fee Letter and any other written, duly executed fee agreements with the Administrative Agent (including any fee letter or agreement executed in connection with Section 2.19) and to perform any other obligations contained therein.</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u w:val="single" w:color="auto"/>
          <w:color w:val="auto"/>
        </w:rPr>
        <w:t>Termination or Reduction of Commitments</w:t>
      </w:r>
    </w:p>
    <w:p>
      <w:pPr>
        <w:spacing w:after="0" w:line="175" w:lineRule="exact"/>
        <w:rPr>
          <w:sz w:val="20"/>
          <w:szCs w:val="20"/>
          <w:color w:val="auto"/>
        </w:rPr>
      </w:pPr>
    </w:p>
    <w:p>
      <w:pPr>
        <w:jc w:val="both"/>
        <w:ind w:firstLine="8"/>
        <w:spacing w:after="0" w:line="218" w:lineRule="auto"/>
        <w:tabs>
          <w:tab w:leader="none" w:pos="139"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Borrower shall have the right, upon not less than three Business Days’ notice to the Administrative Agent, to terminate the Commitments or, from time to time, to reduce the amount of the Commitments; provided that no such termination or reduction of Commitments shall be permitted if, after giving effect thereto and to any prepayments of the Loans made on the effective date thereof, the Total Extensions of Credit would exceed the Total Commitments. Any such reduction shall be in an amount equal to $5,000,000, or a whole multiple thereof, and shall reduce permanently the Commitments then in effect.</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u w:val="single" w:color="auto"/>
          <w:color w:val="auto"/>
        </w:rPr>
        <w:t>Optional Prepayments</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90" w:lineRule="exact"/>
        <w:rPr>
          <w:sz w:val="20"/>
          <w:szCs w:val="20"/>
          <w:color w:val="auto"/>
        </w:rPr>
      </w:pPr>
    </w:p>
    <w:p>
      <w:pPr>
        <w:jc w:val="both"/>
        <w:ind w:left="-8" w:firstLine="8"/>
        <w:spacing w:after="0" w:line="223" w:lineRule="auto"/>
        <w:tabs>
          <w:tab w:leader="none" w:pos="91"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Borrower may at any time and from time to time prepay the Revolving Loans, in whole or in part, without premium or penalty, upon irrevocable notice delivered to the Administrative Agent no later than 12:00 Noon one </w:t>
      </w:r>
      <w:r>
        <w:rPr>
          <w:rFonts w:ascii="Arial" w:cs="Arial" w:eastAsia="Arial" w:hAnsi="Arial"/>
          <w:sz w:val="19"/>
          <w:szCs w:val="19"/>
          <w:color w:val="0000FF"/>
        </w:rPr>
        <w:t>U.S. Government Securities</w:t>
      </w:r>
      <w:r>
        <w:rPr>
          <w:rFonts w:ascii="Arial" w:cs="Arial" w:eastAsia="Arial" w:hAnsi="Arial"/>
          <w:sz w:val="19"/>
          <w:szCs w:val="19"/>
          <w:color w:val="auto"/>
        </w:rPr>
        <w:t xml:space="preserve"> Business Day prior thereto, in the case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and no later than 12:00 Noon one Business Day prior thereto, in the case of ABR Loans, which notice shall specify the date and amount of prepayment and whether the prepayment is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or ABR Loans; provided, that if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is prepaid on any day other than the last day of the Interest Period applicable thereto, the Borrower shall also pay any amounts owing pursuant to Section 2.16. Upon receipt of any such notice the Administrative Agent shall promptly notify each relevant Revolving Loan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Revolving Loans shall be in an aggregate principal amount of $3,000,000 or a whole multiple of $500,000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-1029335</wp:posOffset>
            </wp:positionV>
            <wp:extent cx="15011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spacing w:after="0" w:line="150"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8"/>
          <w:szCs w:val="18"/>
          <w:u w:val="single" w:color="auto"/>
          <w:color w:val="auto"/>
        </w:rPr>
        <w:t>Conversion and Continuation Options</w:t>
      </w:r>
      <w:r>
        <w:rPr>
          <w:rFonts w:ascii="Arial" w:cs="Arial" w:eastAsia="Arial" w:hAnsi="Arial"/>
          <w:sz w:val="18"/>
          <w:szCs w:val="18"/>
          <w:color w:val="auto"/>
        </w:rPr>
        <w:t>.</w:t>
      </w:r>
    </w:p>
    <w:p>
      <w:pPr>
        <w:spacing w:after="0" w:line="175" w:lineRule="exact"/>
        <w:rPr>
          <w:sz w:val="20"/>
          <w:szCs w:val="20"/>
          <w:color w:val="auto"/>
        </w:rPr>
      </w:pPr>
    </w:p>
    <w:p>
      <w:pPr>
        <w:jc w:val="both"/>
        <w:ind w:left="-8" w:firstLine="1304"/>
        <w:spacing w:after="0" w:line="223" w:lineRule="auto"/>
        <w:tabs>
          <w:tab w:leader="none" w:pos="191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The Borrower may elect from time to time to convert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to ABR Loans by giving the Administrative Agent prior irrevocable written notice of such election no later than 12:00 Noon on the Business Day preceding the proposed conversion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conversion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may only be made on the last day of an Interest Period with respect thereto. The Borrower may elect from time to time to convert ABR Loans to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by giving the Administrative Agent prior irrevocable written notice of such election no later than 12:00 Noon on the third </w:t>
      </w:r>
      <w:r>
        <w:rPr>
          <w:rFonts w:ascii="Arial" w:cs="Arial" w:eastAsia="Arial" w:hAnsi="Arial"/>
          <w:sz w:val="19"/>
          <w:szCs w:val="19"/>
          <w:u w:val="single" w:color="auto"/>
          <w:color w:val="0000FF"/>
        </w:rPr>
        <w:t>U.S. Government Securities</w:t>
      </w:r>
      <w:r>
        <w:rPr>
          <w:rFonts w:ascii="Arial" w:cs="Arial" w:eastAsia="Arial" w:hAnsi="Arial"/>
          <w:sz w:val="19"/>
          <w:szCs w:val="19"/>
          <w:color w:val="auto"/>
        </w:rPr>
        <w:t xml:space="preserve"> Business Day preceding the proposed conversion date (which notice shall specify the length of the initial Interest Period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ABR Loan may be converted into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when any Event of Default has occurred and is continuing and the Required Lenders have determined in their sole discretion not to permit such conversions. Each such notice shall be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duly executed by a Responsible Officer and appropriately completed (a “</w:t>
      </w:r>
      <w:r>
        <w:rPr>
          <w:rFonts w:ascii="Arial" w:cs="Arial" w:eastAsia="Arial" w:hAnsi="Arial"/>
          <w:sz w:val="19"/>
          <w:szCs w:val="19"/>
          <w:u w:val="single" w:color="auto"/>
          <w:color w:val="auto"/>
        </w:rPr>
        <w:t>Notice of Conversion</w:t>
      </w:r>
      <w:r>
        <w:rPr>
          <w:rFonts w:ascii="Arial" w:cs="Arial" w:eastAsia="Arial" w:hAnsi="Arial"/>
          <w:sz w:val="19"/>
          <w:szCs w:val="19"/>
          <w:color w:val="auto"/>
        </w:rPr>
        <w:t>”). Upon receipt of a Notice of Conversion, the Administrative Agent shall promptly notify each relevant Lender thereof.</w:t>
      </w:r>
    </w:p>
    <w:p>
      <w:pPr>
        <w:spacing w:after="0" w:line="170" w:lineRule="exact"/>
        <w:rPr>
          <w:rFonts w:ascii="Arial" w:cs="Arial" w:eastAsia="Arial" w:hAnsi="Arial"/>
          <w:sz w:val="19"/>
          <w:szCs w:val="19"/>
          <w:color w:val="auto"/>
        </w:rPr>
      </w:pPr>
    </w:p>
    <w:p>
      <w:pPr>
        <w:jc w:val="both"/>
        <w:ind w:left="-8" w:firstLine="1304"/>
        <w:spacing w:after="0" w:line="223" w:lineRule="auto"/>
        <w:tabs>
          <w:tab w:leader="none" w:pos="1803"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may be continued as such upon the expiration of the then current Interest Period with respect thereto by the Borrower giving irrevocable notice to the Administrative Agent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duly executed by a Responsible Officer and appropriately completed (a “</w:t>
      </w:r>
      <w:r>
        <w:rPr>
          <w:rFonts w:ascii="Arial" w:cs="Arial" w:eastAsia="Arial" w:hAnsi="Arial"/>
          <w:sz w:val="19"/>
          <w:szCs w:val="19"/>
          <w:u w:val="single" w:color="auto"/>
          <w:color w:val="auto"/>
        </w:rPr>
        <w:t>Notice of Interest Period Selection</w:t>
      </w:r>
      <w:r>
        <w:rPr>
          <w:rFonts w:ascii="Arial" w:cs="Arial" w:eastAsia="Arial" w:hAnsi="Arial"/>
          <w:sz w:val="19"/>
          <w:szCs w:val="19"/>
          <w:color w:val="auto"/>
        </w:rPr>
        <w:t xml:space="preserve">”), in accordance with the applicable provisions of the term “Interest Period” set forth in Section 1.1, specifying the length of the next Interest Period to be applicable to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may be continued as such when any Event of Default has occurred and is continuing unless the Required Lenders have determined in their sole discretion to permit such continuations,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71"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u w:val="single" w:color="auto"/>
          <w:color w:val="auto"/>
        </w:rPr>
        <w:t xml:space="preserve">Limitations on </w:t>
      </w:r>
      <w:r>
        <w:rPr>
          <w:rFonts w:ascii="Arial" w:cs="Arial" w:eastAsia="Arial" w:hAnsi="Arial"/>
          <w:sz w:val="18"/>
          <w:szCs w:val="18"/>
          <w:u w:val="single" w:color="auto"/>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u w:val="single" w:color="auto"/>
          <w:color w:val="auto"/>
        </w:rPr>
        <w:t xml:space="preserve"> Tranches</w:t>
      </w:r>
    </w:p>
    <w:p>
      <w:pPr>
        <w:spacing w:after="0" w:line="175" w:lineRule="exact"/>
        <w:rPr>
          <w:sz w:val="20"/>
          <w:szCs w:val="20"/>
          <w:color w:val="auto"/>
        </w:rPr>
      </w:pPr>
    </w:p>
    <w:p>
      <w:pPr>
        <w:ind w:left="-8" w:right="120" w:firstLine="941"/>
        <w:spacing w:after="0" w:line="218" w:lineRule="auto"/>
        <w:tabs>
          <w:tab w:leader="none" w:pos="1024"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Agreement, all borrowings, conversions and continuations of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and all selections of Interest Periods shall be in such amounts and be made pursuant to such elections so that (a) after giving effect thereto, the aggregate principal amount of the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comprising each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Tranche shall be equal to $3,000,000 or a whole multiple of $500,000 in excess thereof and (b) no more than 8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Tranches shall be outstanding at any one time.</w:t>
      </w:r>
    </w:p>
    <w:p>
      <w:pPr>
        <w:sectPr>
          <w:pgSz w:w="11900" w:h="16838" w:orient="portrait"/>
          <w:cols w:equalWidth="0" w:num="1">
            <w:col w:w="11232"/>
          </w:cols>
          <w:pgMar w:left="328" w:top="1440" w:right="339" w:bottom="1440" w:gutter="0" w:footer="0" w:header="0"/>
        </w:sectPr>
      </w:pPr>
    </w:p>
    <w:bookmarkStart w:id="89" w:name="page90"/>
    <w:bookmarkEnd w:id="89"/>
    <w:p>
      <w:pPr>
        <w:spacing w:after="0" w:line="2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u w:val="single" w:color="auto"/>
          <w:color w:val="auto"/>
        </w:rPr>
        <w:t>Interest Rates and Payment Dates</w:t>
      </w:r>
      <w:r>
        <w:rPr>
          <w:rFonts w:ascii="Arial" w:cs="Arial" w:eastAsia="Arial" w:hAnsi="Arial"/>
          <w:sz w:val="16"/>
          <w:szCs w:val="16"/>
          <w:color w:val="auto"/>
        </w:rPr>
        <w:t>.</w:t>
      </w:r>
    </w:p>
    <w:p>
      <w:pPr>
        <w:spacing w:after="0" w:line="189" w:lineRule="exact"/>
        <w:rPr>
          <w:sz w:val="20"/>
          <w:szCs w:val="20"/>
          <w:color w:val="auto"/>
        </w:rPr>
      </w:pPr>
    </w:p>
    <w:p>
      <w:pPr>
        <w:ind w:firstLine="1304"/>
        <w:spacing w:after="0" w:line="242" w:lineRule="auto"/>
        <w:tabs>
          <w:tab w:leader="none" w:pos="1713"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Each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shall bear interest </w:t>
      </w:r>
      <w:r>
        <w:rPr>
          <w:rFonts w:ascii="Arial" w:cs="Arial" w:eastAsia="Arial" w:hAnsi="Arial"/>
          <w:sz w:val="19"/>
          <w:szCs w:val="19"/>
          <w:color w:val="FF0000"/>
          <w:strike w:val="1"/>
        </w:rPr>
        <w:t>for each day during each Interest Period with respect thereto</w:t>
      </w:r>
      <w:r>
        <w:rPr>
          <w:rFonts w:ascii="Arial" w:cs="Arial" w:eastAsia="Arial" w:hAnsi="Arial"/>
          <w:sz w:val="19"/>
          <w:szCs w:val="19"/>
          <w:color w:val="auto"/>
        </w:rPr>
        <w:t xml:space="preserve"> at a rate per annum equal to </w:t>
      </w:r>
      <w:r>
        <w:rPr>
          <w:rFonts w:ascii="Arial" w:cs="Arial" w:eastAsia="Arial" w:hAnsi="Arial"/>
          <w:sz w:val="19"/>
          <w:szCs w:val="19"/>
          <w:color w:val="FF0000"/>
          <w:strike w:val="1"/>
        </w:rPr>
        <w:t>the Eurodollar Rate determined for such Interest Period</w:t>
      </w:r>
      <w:r>
        <w:rPr>
          <w:rFonts w:ascii="Arial" w:cs="Arial" w:eastAsia="Arial" w:hAnsi="Arial"/>
          <w:sz w:val="19"/>
          <w:szCs w:val="19"/>
          <w:u w:val="single" w:color="auto"/>
          <w:color w:val="0000FF"/>
        </w:rPr>
        <w:t>Adjusted Term SOFR</w:t>
      </w:r>
      <w:r>
        <w:rPr>
          <w:rFonts w:ascii="Arial" w:cs="Arial" w:eastAsia="Arial" w:hAnsi="Arial"/>
          <w:sz w:val="19"/>
          <w:szCs w:val="19"/>
          <w:color w:val="auto"/>
        </w:rPr>
        <w:t xml:space="preserve"> plus the Applicable Margin.</w:t>
      </w:r>
    </w:p>
    <w:p>
      <w:pPr>
        <w:spacing w:after="0" w:line="166" w:lineRule="exact"/>
        <w:rPr>
          <w:rFonts w:ascii="Arial" w:cs="Arial" w:eastAsia="Arial" w:hAnsi="Arial"/>
          <w:sz w:val="19"/>
          <w:szCs w:val="19"/>
          <w:color w:val="auto"/>
        </w:rPr>
      </w:pPr>
    </w:p>
    <w:p>
      <w:pPr>
        <w:ind w:left="1740" w:hanging="436"/>
        <w:spacing w:after="0"/>
        <w:tabs>
          <w:tab w:leader="none" w:pos="17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Each ABR Loan shall bear interest at a rate per annum equal to the ABR plus the Applicable Margin.</w:t>
      </w:r>
    </w:p>
    <w:p>
      <w:pPr>
        <w:spacing w:after="0" w:line="188" w:lineRule="exact"/>
        <w:rPr>
          <w:rFonts w:ascii="Arial" w:cs="Arial" w:eastAsia="Arial" w:hAnsi="Arial"/>
          <w:sz w:val="20"/>
          <w:szCs w:val="20"/>
          <w:color w:val="auto"/>
        </w:rPr>
      </w:pPr>
    </w:p>
    <w:p>
      <w:pPr>
        <w:jc w:val="both"/>
        <w:ind w:firstLine="1304"/>
        <w:spacing w:after="0" w:line="238" w:lineRule="auto"/>
        <w:tabs>
          <w:tab w:leader="none" w:pos="17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and after the occurrence of an Event of Default, until the time when such Event of Default shall have been cured or waived in writing by the Required Lenders or all the Lenders (as required by this Agreement), the Borrower shall pay interest on the aggregate, outstanding principal amount of all Obligations hereunder at a per annum rate equal to the otherwise applicable interest rate plus two percent (2.00%) or, if no such per annum rate is applicable to any such Obligations, at a per annum rate equal to the ABR, plus the Applicable Margin for ABR Loans, plus two percent (2.00%) payable on demand. Overdue interest shall itself bear interest at such applicable default rate, and shall be compounded with the principal Obligations daily, to the fullest extent permitted by applicable law.</w:t>
      </w:r>
    </w:p>
    <w:p>
      <w:pPr>
        <w:spacing w:after="0" w:line="172" w:lineRule="exact"/>
        <w:rPr>
          <w:rFonts w:ascii="Arial" w:cs="Arial" w:eastAsia="Arial" w:hAnsi="Arial"/>
          <w:sz w:val="18"/>
          <w:szCs w:val="18"/>
          <w:color w:val="auto"/>
        </w:rPr>
      </w:pPr>
    </w:p>
    <w:p>
      <w:pPr>
        <w:ind w:firstLine="1304"/>
        <w:spacing w:after="0" w:line="229" w:lineRule="auto"/>
        <w:tabs>
          <w:tab w:leader="none" w:pos="1768"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accruing pursuant to Section 2.10(c) shall be payable from time to time on demand.</w:t>
      </w:r>
    </w:p>
    <w:p>
      <w:pPr>
        <w:spacing w:after="0" w:line="168" w:lineRule="exact"/>
        <w:rPr>
          <w:rFonts w:ascii="Arial" w:cs="Arial" w:eastAsia="Arial" w:hAnsi="Arial"/>
          <w:sz w:val="20"/>
          <w:szCs w:val="20"/>
          <w:color w:val="auto"/>
        </w:rPr>
      </w:pPr>
    </w:p>
    <w:p>
      <w:pPr>
        <w:jc w:val="both"/>
        <w:ind w:firstLine="1304"/>
        <w:spacing w:after="0" w:line="229" w:lineRule="auto"/>
        <w:tabs>
          <w:tab w:leader="none" w:pos="1807" w:val="left"/>
        </w:tabs>
        <w:numPr>
          <w:ilvl w:val="0"/>
          <w:numId w:val="6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In connection with the use or administration of Term SOFR, the Administrative Agent will have the right to make Conforming Changes from time to time and, notwithstanding </w:t>
      </w:r>
      <w:r>
        <w:rPr>
          <w:rFonts w:ascii="Arial" w:cs="Arial" w:eastAsia="Arial" w:hAnsi="Arial"/>
          <w:sz w:val="19"/>
          <w:szCs w:val="19"/>
          <w:u w:val="single" w:color="auto"/>
          <w:color w:val="00C000"/>
        </w:rPr>
        <w:t>anything to the contrary herein or in any other Loan Document</w:t>
      </w:r>
      <w:r>
        <w:rPr>
          <w:rFonts w:ascii="Arial" w:cs="Arial" w:eastAsia="Arial" w:hAnsi="Arial"/>
          <w:sz w:val="19"/>
          <w:szCs w:val="19"/>
          <w:u w:val="single" w:color="auto"/>
          <w:color w:val="0000FF"/>
        </w:rPr>
        <w: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5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38" w:lineRule="auto"/>
        <w:tabs>
          <w:tab w:leader="none" w:pos="17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Interest and fees payable pursuant hereto shall be calculated on the basis of a 360-day year for the actual days elapsed, except that, with respect to ABR Loans the rate of interest on which is calculated on the basis of the Base Rate, the interest thereon shall be calculated on the basis of a 365- (or 366-, as the case may be) day year for the actual days elapsed. </w:t>
      </w:r>
      <w:r>
        <w:rPr>
          <w:rFonts w:ascii="Arial" w:cs="Arial" w:eastAsia="Arial" w:hAnsi="Arial"/>
          <w:sz w:val="18"/>
          <w:szCs w:val="18"/>
          <w:color w:val="FF0000"/>
          <w:strike w:val="1"/>
        </w:rPr>
        <w:t>The Administrative Agent shall as soon as</w:t>
      </w:r>
      <w:r>
        <w:rPr>
          <w:rFonts w:ascii="Arial" w:cs="Arial" w:eastAsia="Arial" w:hAnsi="Arial"/>
          <w:sz w:val="18"/>
          <w:szCs w:val="18"/>
          <w:color w:val="auto"/>
        </w:rPr>
        <w:t xml:space="preserve"> </w:t>
      </w:r>
      <w:r>
        <w:rPr>
          <w:rFonts w:ascii="Arial" w:cs="Arial" w:eastAsia="Arial" w:hAnsi="Arial"/>
          <w:sz w:val="18"/>
          <w:szCs w:val="18"/>
          <w:color w:val="FF0000"/>
          <w:strike w:val="1"/>
        </w:rPr>
        <w:t>practicable notify the Borrower and the relevant Lenders of each determination of a Eurodollar Rate.</w:t>
      </w:r>
      <w:r>
        <w:rPr>
          <w:rFonts w:ascii="Arial" w:cs="Arial" w:eastAsia="Arial" w:hAnsi="Arial"/>
          <w:sz w:val="18"/>
          <w:szCs w:val="18"/>
          <w:color w:val="FF0000"/>
        </w:rPr>
        <w:t xml:space="preserve"> </w:t>
      </w:r>
      <w:r>
        <w:rPr>
          <w:rFonts w:ascii="Arial" w:cs="Arial" w:eastAsia="Arial" w:hAnsi="Arial"/>
          <w:sz w:val="18"/>
          <w:szCs w:val="18"/>
          <w:color w:val="000000"/>
        </w:rPr>
        <w:t>Any change in the interest rate on a</w:t>
      </w:r>
      <w:r>
        <w:rPr>
          <w:rFonts w:ascii="Arial" w:cs="Arial" w:eastAsia="Arial" w:hAnsi="Arial"/>
          <w:sz w:val="18"/>
          <w:szCs w:val="18"/>
          <w:color w:val="FF0000"/>
        </w:rPr>
        <w:t xml:space="preserve"> </w:t>
      </w:r>
      <w:r>
        <w:rPr>
          <w:rFonts w:ascii="Arial" w:cs="Arial" w:eastAsia="Arial" w:hAnsi="Arial"/>
          <w:sz w:val="18"/>
          <w:szCs w:val="18"/>
          <w:color w:val="000000"/>
        </w:rPr>
        <w:t xml:space="preserve">Loan resulting from a change in the ABR </w:t>
      </w:r>
      <w:r>
        <w:rPr>
          <w:rFonts w:ascii="Arial" w:cs="Arial" w:eastAsia="Arial" w:hAnsi="Arial"/>
          <w:sz w:val="18"/>
          <w:szCs w:val="18"/>
          <w:color w:val="FF0000"/>
        </w:rPr>
        <w:t>or the Eurocurrency Reserve Requirements</w:t>
      </w:r>
      <w:r>
        <w:rPr>
          <w:rFonts w:ascii="Arial" w:cs="Arial" w:eastAsia="Arial" w:hAnsi="Arial"/>
          <w:sz w:val="18"/>
          <w:szCs w:val="18"/>
          <w:color w:val="000000"/>
        </w:rPr>
        <w:t xml:space="preserve">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56" w:lineRule="exact"/>
        <w:rPr>
          <w:rFonts w:ascii="Arial" w:cs="Arial" w:eastAsia="Arial" w:hAnsi="Arial"/>
          <w:sz w:val="18"/>
          <w:szCs w:val="18"/>
          <w:color w:val="auto"/>
        </w:rPr>
      </w:pPr>
    </w:p>
    <w:p>
      <w:pPr>
        <w:jc w:val="both"/>
        <w:ind w:right="20" w:firstLine="1304"/>
        <w:spacing w:after="0" w:line="259" w:lineRule="auto"/>
        <w:tabs>
          <w:tab w:leader="none" w:pos="17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determination of an interest rate by the Administrative Agent pursuant to any provision of this Agreement shall be conclusive absent manifest error. The Administrative Agent shall, at the request of the Borrower or any Lender, deliver to the Borrower or such Lender a statement showing the quotations used by the Administrative Agent in determining any interest rate pursuant to Section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-859790</wp:posOffset>
            </wp:positionV>
            <wp:extent cx="22098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209800" cy="8255"/>
                    </a:xfrm>
                    <a:prstGeom prst="rect">
                      <a:avLst/>
                    </a:prstGeom>
                    <a:noFill/>
                  </pic:spPr>
                </pic:pic>
              </a:graphicData>
            </a:graphic>
          </wp:anchor>
        </w:drawing>
      </w:r>
    </w:p>
    <w:p>
      <w:pPr>
        <w:spacing w:after="0" w:line="1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FF0000"/>
          <w:strike w:val="1"/>
        </w:rPr>
        <w:t>2.12</w:t>
      </w:r>
      <w:r>
        <w:rPr>
          <w:sz w:val="20"/>
          <w:szCs w:val="20"/>
          <w:color w:val="auto"/>
        </w:rPr>
        <w:tab/>
      </w:r>
      <w:r>
        <w:rPr>
          <w:rFonts w:ascii="Arial" w:cs="Arial" w:eastAsia="Arial" w:hAnsi="Arial"/>
          <w:sz w:val="18"/>
          <w:szCs w:val="18"/>
          <w:u w:val="single" w:color="auto"/>
          <w:color w:val="FF0000"/>
          <w:strike w:val="1"/>
        </w:rPr>
        <w:t>Inability to Determine Interest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 xml:space="preserve">. If </w:t>
      </w:r>
      <w:r>
        <w:rPr>
          <w:rFonts w:ascii="Arial" w:cs="Arial" w:eastAsia="Arial" w:hAnsi="Arial"/>
          <w:sz w:val="18"/>
          <w:szCs w:val="18"/>
          <w:color w:val="00C000"/>
          <w:strike w:val="1"/>
        </w:rPr>
        <w:t>prior to the first day of</w:t>
      </w:r>
      <w:r>
        <w:rPr>
          <w:rFonts w:ascii="Arial" w:cs="Arial" w:eastAsia="Arial" w:hAnsi="Arial"/>
          <w:sz w:val="18"/>
          <w:szCs w:val="18"/>
          <w:color w:val="FF0000"/>
          <w:strike w:val="1"/>
        </w:rPr>
        <w:t xml:space="preserve"> any Interest Period, and until a Benchmark Replacement is implemented in accordance with clause (c) below:</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u w:val="single" w:color="auto"/>
          <w:color w:val="0000FF"/>
        </w:rPr>
        <w:t>2.12</w:t>
      </w:r>
      <w:r>
        <w:rPr>
          <w:sz w:val="20"/>
          <w:szCs w:val="20"/>
          <w:color w:val="auto"/>
        </w:rPr>
        <w:tab/>
      </w:r>
      <w:r>
        <w:rPr>
          <w:rFonts w:ascii="Arial" w:cs="Arial" w:eastAsia="Arial" w:hAnsi="Arial"/>
          <w:sz w:val="16"/>
          <w:szCs w:val="16"/>
          <w:u w:val="single" w:color="auto"/>
          <w:color w:val="0000FF"/>
        </w:rPr>
        <w:t>Changed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t>
      </w:r>
    </w:p>
    <w:p>
      <w:pPr>
        <w:spacing w:after="0" w:line="175" w:lineRule="exact"/>
        <w:rPr>
          <w:sz w:val="20"/>
          <w:szCs w:val="20"/>
          <w:color w:val="auto"/>
        </w:rPr>
      </w:pPr>
    </w:p>
    <w:p>
      <w:pPr>
        <w:jc w:val="both"/>
        <w:ind w:firstLine="1304"/>
        <w:spacing w:after="0" w:line="232" w:lineRule="auto"/>
        <w:tabs>
          <w:tab w:leader="none" w:pos="1862" w:val="left"/>
        </w:tabs>
        <w:numPr>
          <w:ilvl w:val="0"/>
          <w:numId w:val="71"/>
        </w:numPr>
        <w:rPr>
          <w:rFonts w:ascii="Arial" w:cs="Arial" w:eastAsia="Arial" w:hAnsi="Arial"/>
          <w:sz w:val="18"/>
          <w:szCs w:val="18"/>
          <w:color w:val="auto"/>
        </w:rPr>
      </w:pPr>
      <w:r>
        <w:rPr>
          <w:rFonts w:ascii="Arial" w:cs="Arial" w:eastAsia="Arial" w:hAnsi="Arial"/>
          <w:sz w:val="18"/>
          <w:szCs w:val="18"/>
          <w:color w:val="FF0000"/>
          <w:strike w:val="1"/>
        </w:rPr>
        <w:t xml:space="preserve">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 </w:t>
      </w:r>
      <w:r>
        <w:rPr>
          <w:rFonts w:ascii="Arial" w:cs="Arial" w:eastAsia="Arial" w:hAnsi="Arial"/>
          <w:sz w:val="18"/>
          <w:szCs w:val="18"/>
          <w:u w:val="single" w:color="auto"/>
          <w:color w:val="0000FF"/>
          <w:strike w:val="1"/>
        </w:rPr>
        <w:t>Circumstances Affecting Benchmark Availability. Subject to clause (c) below, in connection with</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 xml:space="preserve">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Adjusted Term SOFR for the applicable Interest Period with respect to a proposed SOFR Loan on or </w:t>
      </w:r>
      <w:r>
        <w:rPr>
          <w:rFonts w:ascii="Arial" w:cs="Arial" w:eastAsia="Arial" w:hAnsi="Arial"/>
          <w:sz w:val="18"/>
          <w:szCs w:val="18"/>
          <w:u w:val="single" w:color="auto"/>
          <w:color w:val="00C000"/>
          <w:strike w:val="1"/>
        </w:rPr>
        <w:t>prior to the first day of</w:t>
      </w:r>
      <w:r>
        <w:rPr>
          <w:rFonts w:ascii="Arial" w:cs="Arial" w:eastAsia="Arial" w:hAnsi="Arial"/>
          <w:sz w:val="18"/>
          <w:szCs w:val="18"/>
          <w:u w:val="single" w:color="auto"/>
          <w:color w:val="0000FF"/>
          <w:strike w:val="1"/>
        </w:rPr>
        <w:t xml:space="preserve"> such Interest Period or (ii) the Required Lenders shall determine (which determination shall be conclusive and binding absent manifest error) that Adjusted Term SOFR does</w:t>
      </w:r>
      <w:r>
        <w:rPr>
          <w:rFonts w:ascii="Arial" w:cs="Arial" w:eastAsia="Arial" w:hAnsi="Arial"/>
          <w:sz w:val="18"/>
          <w:szCs w:val="18"/>
          <w:color w:val="0000FF"/>
          <w:strike w:val="1"/>
        </w:rPr>
        <w:t xml:space="preserve"> </w:t>
      </w:r>
      <w:r>
        <w:rPr>
          <w:rFonts w:ascii="Arial" w:cs="Arial" w:eastAsia="Arial" w:hAnsi="Arial"/>
          <w:sz w:val="18"/>
          <w:szCs w:val="18"/>
          <w:color w:val="00C000"/>
          <w:strike w:val="1"/>
        </w:rPr>
        <w:t>not adequately and fairly reflect the cost to such Lenders of making or maintaining</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such Loans during such</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Interest Period and, in the case of clause (ii),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ABR Loans in the amount specified therein and (B) any outstanding affected SOFR Loans will be deemed to have been converted into ABR Loans at the end of the applicable Interest Period. Upon any such prepayment or conversion, the Borrower shall also pay accrued interest on the amount so prepaid or converted, together with any additional amounts required pursuant to Section 2.16.</w:t>
      </w:r>
    </w:p>
    <w:p>
      <w:pPr>
        <w:spacing w:after="0" w:line="180" w:lineRule="exact"/>
        <w:rPr>
          <w:rFonts w:ascii="Arial" w:cs="Arial" w:eastAsia="Arial" w:hAnsi="Arial"/>
          <w:sz w:val="18"/>
          <w:szCs w:val="18"/>
          <w:color w:val="auto"/>
        </w:rPr>
      </w:pPr>
    </w:p>
    <w:p>
      <w:pPr>
        <w:jc w:val="both"/>
        <w:ind w:firstLine="1304"/>
        <w:spacing w:after="0" w:line="233" w:lineRule="auto"/>
        <w:tabs>
          <w:tab w:leader="none" w:pos="1738" w:val="left"/>
        </w:tabs>
        <w:numPr>
          <w:ilvl w:val="0"/>
          <w:numId w:val="71"/>
        </w:numPr>
        <w:rPr>
          <w:rFonts w:ascii="Arial" w:cs="Arial" w:eastAsia="Arial" w:hAnsi="Arial"/>
          <w:sz w:val="18"/>
          <w:szCs w:val="18"/>
          <w:color w:val="auto"/>
        </w:rPr>
      </w:pPr>
      <w:r>
        <w:rPr>
          <w:rFonts w:ascii="Arial" w:cs="Arial" w:eastAsia="Arial" w:hAnsi="Arial"/>
          <w:sz w:val="18"/>
          <w:szCs w:val="18"/>
          <w:color w:val="FF0000"/>
          <w:strike w:val="1"/>
        </w:rPr>
        <w:t xml:space="preserve">the Administrative Agent shall have received notice from the Required Lenders that the Eurodollar Rate determined or to be determined for such Interest Period will </w:t>
      </w:r>
      <w:r>
        <w:rPr>
          <w:rFonts w:ascii="Arial" w:cs="Arial" w:eastAsia="Arial" w:hAnsi="Arial"/>
          <w:sz w:val="18"/>
          <w:szCs w:val="18"/>
          <w:color w:val="00C000"/>
          <w:strike w:val="1"/>
        </w:rPr>
        <w:t>not adequately and fairly reflect the cost to such Lenders</w:t>
      </w:r>
      <w:r>
        <w:rPr>
          <w:rFonts w:ascii="Arial" w:cs="Arial" w:eastAsia="Arial" w:hAnsi="Arial"/>
          <w:sz w:val="18"/>
          <w:szCs w:val="18"/>
          <w:color w:val="FF0000"/>
          <w:strike w:val="1"/>
        </w:rPr>
        <w:t xml:space="preserve"> (as conclusively certified by such Lenders) </w:t>
      </w:r>
      <w:r>
        <w:rPr>
          <w:rFonts w:ascii="Arial" w:cs="Arial" w:eastAsia="Arial" w:hAnsi="Arial"/>
          <w:sz w:val="18"/>
          <w:szCs w:val="18"/>
          <w:color w:val="00C000"/>
          <w:strike w:val="1"/>
        </w:rPr>
        <w:t>of making or maintaining</w:t>
      </w:r>
      <w:r>
        <w:rPr>
          <w:rFonts w:ascii="Arial" w:cs="Arial" w:eastAsia="Arial" w:hAnsi="Arial"/>
          <w:sz w:val="18"/>
          <w:szCs w:val="18"/>
          <w:color w:val="FF0000"/>
          <w:strike w:val="1"/>
        </w:rPr>
        <w:t xml:space="preserve"> their affected Loans during such Interest Period,</w:t>
      </w:r>
      <w:r>
        <w:rPr>
          <w:rFonts w:ascii="Arial" w:cs="Arial" w:eastAsia="Arial" w:hAnsi="Arial"/>
          <w:sz w:val="18"/>
          <w:szCs w:val="18"/>
          <w:u w:val="single" w:color="auto"/>
          <w:color w:val="0000FF"/>
          <w:strike w:val="1"/>
        </w:rPr>
        <w:t>Laws Affecting SOFR Availability. If, after the date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 xml:space="preserve">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Adjusted Term SOFR or Term SOFR, such Lender shall promptly give notice thereof to the Administrative Agent and </w:t>
      </w:r>
      <w:r>
        <w:rPr>
          <w:rFonts w:ascii="Arial" w:cs="Arial" w:eastAsia="Arial" w:hAnsi="Arial"/>
          <w:sz w:val="18"/>
          <w:szCs w:val="18"/>
          <w:u w:val="single" w:color="auto"/>
          <w:color w:val="00C000"/>
          <w:strike w:val="1"/>
        </w:rPr>
        <w:t>the Administrative Agent shall</w:t>
      </w:r>
      <w:r>
        <w:rPr>
          <w:rFonts w:ascii="Arial" w:cs="Arial" w:eastAsia="Arial" w:hAnsi="Arial"/>
          <w:sz w:val="18"/>
          <w:szCs w:val="18"/>
          <w:u w:val="single" w:color="auto"/>
          <w:color w:val="0000FF"/>
          <w:strike w:val="1"/>
        </w:rPr>
        <w:t xml:space="preserve"> promptly give notice to the Borrower and the other Lenders (an “Illegality Notice”). Thereafter, until each affected Lender notifies the Administrative Agent and the Administrative Agent notifies the Borrower that the circumstances giving rise to such determination no longer exist, (i) any obligation of the Lenders to make SOFR Loans, and any right of the Borrower to convert any Loan to a SOFR Loan or continue any Loan as a SOFR Loan, shall be suspended and (ii) if necessary to avoid such illegality,</w:t>
      </w:r>
      <w:r>
        <w:rPr>
          <w:rFonts w:ascii="Arial" w:cs="Arial" w:eastAsia="Arial" w:hAnsi="Arial"/>
          <w:sz w:val="18"/>
          <w:szCs w:val="18"/>
          <w:color w:val="0000FF"/>
          <w:strike w:val="1"/>
        </w:rPr>
        <w:t xml:space="preserve"> </w:t>
      </w:r>
      <w:r>
        <w:rPr>
          <w:rFonts w:ascii="Arial" w:cs="Arial" w:eastAsia="Arial" w:hAnsi="Arial"/>
          <w:sz w:val="18"/>
          <w:szCs w:val="18"/>
          <w:color w:val="00C000"/>
          <w:strike w:val="1"/>
        </w:rPr>
        <w:t>the Administrative Agent</w:t>
      </w:r>
      <w:r>
        <w:rPr>
          <w:rFonts w:ascii="Arial" w:cs="Arial" w:eastAsia="Arial" w:hAnsi="Arial"/>
          <w:sz w:val="18"/>
          <w:szCs w:val="18"/>
          <w:color w:val="0000FF"/>
          <w:strike w:val="1"/>
        </w:rPr>
        <w:t xml:space="preserve"> shall compute the ABR without reference to clause (c) of the definition of “ABR”. Upon receipt of </w:t>
      </w:r>
      <w:r>
        <w:rPr>
          <w:rFonts w:ascii="Arial" w:cs="Arial" w:eastAsia="Arial" w:hAnsi="Arial"/>
          <w:sz w:val="18"/>
          <w:szCs w:val="18"/>
          <w:u w:val="single" w:color="auto"/>
          <w:color w:val="0000FF"/>
          <w:strike w:val="1"/>
        </w:rPr>
        <w:t>an Illegality Notice, the Borrower shall, if necessary to avoid such illegality, upon demand from any Lender (with a copy to the Administrative Agent), prepay or, if applicable, convert all SOFR Loans to ABR Loans (in each case, if necessary to avoid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1412240</wp:posOffset>
            </wp:positionH>
            <wp:positionV relativeFrom="paragraph">
              <wp:posOffset>-3556000</wp:posOffset>
            </wp:positionV>
            <wp:extent cx="44818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4481830" cy="825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-1841500</wp:posOffset>
            </wp:positionV>
            <wp:extent cx="30416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304165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-281305</wp:posOffset>
            </wp:positionV>
            <wp:extent cx="6398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3988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illegality, the Administrative Agent shall compute the ABR without reference to clause (c) of the definition of “ABR”), on the last day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Interest Period therefor, if all affected Lenders may lawfully continue to maintain such SOFR Loans to such day, or immediately, if any Lender may not lawfully continue to maintain such SOFR Loans to such day. Upon any such prepayment or conversion, the Borrower shall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also pay accrued interest on the amount so prepaid or converted, together with any additional amounts required pursuant to Section 2.16.</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18"/>
          <w:szCs w:val="18"/>
          <w:color w:val="00C000"/>
          <w:strike w:val="1"/>
        </w:rPr>
        <w:t xml:space="preserve">the Administrative Agent shall </w:t>
      </w:r>
      <w:r>
        <w:rPr>
          <w:rFonts w:ascii="Arial" w:cs="Arial" w:eastAsia="Arial" w:hAnsi="Arial"/>
          <w:sz w:val="18"/>
          <w:szCs w:val="18"/>
          <w:color w:val="FF0000"/>
          <w:strike w:val="1"/>
        </w:rPr>
        <w:t>give telecopy or telephonic notice thereof to the Borrower and the relevant Lenders as soon as practicable</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thereafter. If such notice is given (x) any Eurodollar Loans requested to be made on the first day of such Interest Period shall be made as</w:t>
      </w:r>
    </w:p>
    <w:p>
      <w:pPr>
        <w:spacing w:after="0"/>
        <w:rPr>
          <w:sz w:val="20"/>
          <w:szCs w:val="20"/>
          <w:color w:val="auto"/>
        </w:rPr>
      </w:pPr>
      <w:r>
        <w:rPr>
          <w:rFonts w:ascii="Arial" w:cs="Arial" w:eastAsia="Arial" w:hAnsi="Arial"/>
          <w:sz w:val="16"/>
          <w:szCs w:val="16"/>
          <w:color w:val="FF0000"/>
          <w:strike w:val="1"/>
        </w:rPr>
        <w:t>ABR Loans, (y) any Loans that were to have been converted on the first day of such Interest Period to Eurodollar Loans shall be continued as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 xml:space="preserve">ABR Loans and (z) any outstanding Eurodollar Loans shall be converted, on the last day of the then-current Interest Period, to ABR Loans. Until such notice has been withdrawn by </w:t>
      </w:r>
      <w:r>
        <w:rPr>
          <w:rFonts w:ascii="Arial" w:cs="Arial" w:eastAsia="Arial" w:hAnsi="Arial"/>
          <w:sz w:val="18"/>
          <w:szCs w:val="18"/>
          <w:color w:val="00C000"/>
          <w:strike w:val="1"/>
        </w:rPr>
        <w:t>the Administrative Agent</w:t>
      </w:r>
      <w:r>
        <w:rPr>
          <w:rFonts w:ascii="Arial" w:cs="Arial" w:eastAsia="Arial" w:hAnsi="Arial"/>
          <w:sz w:val="18"/>
          <w:szCs w:val="18"/>
          <w:color w:val="FF0000"/>
          <w:strike w:val="1"/>
        </w:rPr>
        <w:t>, no further Eurodollar Loans shall be made or continued as such, nor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2056765</wp:posOffset>
            </wp:positionH>
            <wp:positionV relativeFrom="paragraph">
              <wp:posOffset>-57785</wp:posOffset>
            </wp:positionV>
            <wp:extent cx="13081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FF0000"/>
          <w:strike w:val="1"/>
        </w:rPr>
        <w:t>the Borrower have the right to convert Loans to Eurodollar Loans.</w:t>
      </w:r>
    </w:p>
    <w:p>
      <w:pPr>
        <w:spacing w:after="0" w:line="173" w:lineRule="exact"/>
        <w:rPr>
          <w:sz w:val="20"/>
          <w:szCs w:val="20"/>
          <w:color w:val="auto"/>
        </w:rPr>
      </w:pPr>
    </w:p>
    <w:p>
      <w:pPr>
        <w:ind w:left="1720" w:hanging="416"/>
        <w:spacing w:after="0"/>
        <w:tabs>
          <w:tab w:leader="none" w:pos="172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Benchmark Replacement Setting.</w:t>
      </w:r>
    </w:p>
    <w:p>
      <w:pPr>
        <w:spacing w:after="0" w:line="175" w:lineRule="exact"/>
        <w:rPr>
          <w:rFonts w:ascii="Arial" w:cs="Arial" w:eastAsia="Arial" w:hAnsi="Arial"/>
          <w:sz w:val="20"/>
          <w:szCs w:val="20"/>
          <w:color w:val="auto"/>
        </w:rPr>
      </w:pPr>
    </w:p>
    <w:p>
      <w:pPr>
        <w:jc w:val="both"/>
        <w:ind w:left="1300" w:firstLine="652"/>
        <w:spacing w:after="0" w:line="243" w:lineRule="auto"/>
        <w:tabs>
          <w:tab w:leader="none" w:pos="2360" w:val="left"/>
        </w:tabs>
        <w:numPr>
          <w:ilvl w:val="1"/>
          <w:numId w:val="72"/>
        </w:numPr>
        <w:rPr>
          <w:rFonts w:ascii="Arial" w:cs="Arial" w:eastAsia="Arial" w:hAnsi="Arial"/>
          <w:sz w:val="17"/>
          <w:szCs w:val="17"/>
          <w:color w:val="auto"/>
        </w:rPr>
      </w:pPr>
      <w:r>
        <w:rPr>
          <w:rFonts w:ascii="Arial" w:cs="Arial" w:eastAsia="Arial" w:hAnsi="Arial"/>
          <w:sz w:val="17"/>
          <w:szCs w:val="17"/>
          <w:color w:val="FF0000"/>
          <w:strike w:val="1"/>
        </w:rPr>
        <w:t>(A)</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Benchmark Replacement</w:t>
      </w:r>
      <w:r>
        <w:rPr>
          <w:rFonts w:ascii="Arial" w:cs="Arial" w:eastAsia="Arial" w:hAnsi="Arial"/>
          <w:sz w:val="17"/>
          <w:szCs w:val="17"/>
          <w:color w:val="000000"/>
        </w:rPr>
        <w:t>. Notwithstanding anything to the contrary herein or in any other Loan Document</w:t>
      </w:r>
      <w:r>
        <w:rPr>
          <w:rFonts w:ascii="Arial" w:cs="Arial" w:eastAsia="Arial" w:hAnsi="Arial"/>
          <w:sz w:val="17"/>
          <w:szCs w:val="17"/>
          <w:color w:val="FF0000"/>
        </w:rPr>
        <w:t xml:space="preserve"> </w:t>
      </w:r>
      <w:r>
        <w:rPr>
          <w:rFonts w:ascii="Arial" w:cs="Arial" w:eastAsia="Arial" w:hAnsi="Arial"/>
          <w:sz w:val="17"/>
          <w:szCs w:val="17"/>
          <w:color w:val="FF0000"/>
          <w:strike w:val="1"/>
        </w:rPr>
        <w:t xml:space="preserve">(and any Swap Agreement shall be deemed not to be a “Loan Document” for purposes of this </w:t>
      </w:r>
      <w:r>
        <w:rPr>
          <w:rFonts w:ascii="Arial" w:cs="Arial" w:eastAsia="Arial" w:hAnsi="Arial"/>
          <w:sz w:val="17"/>
          <w:szCs w:val="17"/>
          <w:u w:val="single" w:color="auto"/>
          <w:color w:val="FF0000"/>
          <w:strike w:val="1"/>
        </w:rPr>
        <w:t>Section 2.12(c)</w:t>
      </w:r>
      <w:r>
        <w:rPr>
          <w:rFonts w:ascii="Arial" w:cs="Arial" w:eastAsia="Arial" w:hAnsi="Arial"/>
          <w:sz w:val="17"/>
          <w:szCs w:val="17"/>
          <w:color w:val="FF0000"/>
          <w:strike w:val="1"/>
        </w:rPr>
        <w:t>) if</w:t>
      </w:r>
      <w:r>
        <w:rPr>
          <w:rFonts w:ascii="Arial" w:cs="Arial" w:eastAsia="Arial" w:hAnsi="Arial"/>
          <w:sz w:val="17"/>
          <w:szCs w:val="17"/>
          <w:u w:val="single" w:color="auto"/>
          <w:color w:val="0000FF"/>
          <w:strike w:val="1"/>
        </w:rPr>
        <w:t>, upon the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occurrence of</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a Benchmark Transition Event</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or an Early Opt-in Election, as applicable, and its related Benchmark</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Replacement Date have occurred prior to the Reference Time in respect of any setting of</w:t>
      </w:r>
      <w:r>
        <w:rPr>
          <w:rFonts w:ascii="Arial" w:cs="Arial" w:eastAsia="Arial" w:hAnsi="Arial"/>
          <w:sz w:val="17"/>
          <w:szCs w:val="17"/>
          <w:u w:val="single" w:color="auto"/>
          <w:color w:val="0000FF"/>
          <w:strike w:val="1"/>
        </w:rPr>
        <w:t>, the Administrative Agent and the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Borrower may amend this Agreement to replace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the then-current Benchmark</w:t>
      </w:r>
      <w:r>
        <w:rPr>
          <w:rFonts w:ascii="Arial" w:cs="Arial" w:eastAsia="Arial" w:hAnsi="Arial"/>
          <w:sz w:val="17"/>
          <w:szCs w:val="17"/>
          <w:color w:val="FF0000"/>
          <w:strike w:val="1"/>
        </w:rPr>
        <w:t>, then (x) if a Benchmark Replacement is</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 xml:space="preserve">determined in accordance with clause (a)(1) or (a)(2) of the definition of “ </w:t>
      </w:r>
      <w:r>
        <w:rPr>
          <w:rFonts w:ascii="Arial" w:cs="Arial" w:eastAsia="Arial" w:hAnsi="Arial"/>
          <w:sz w:val="17"/>
          <w:szCs w:val="17"/>
          <w:color w:val="0000FF"/>
          <w:strike w:val="1"/>
        </w:rPr>
        <w:t>with a</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Benchmark Replacement</w:t>
      </w:r>
      <w:r>
        <w:rPr>
          <w:rFonts w:ascii="Arial" w:cs="Arial" w:eastAsia="Arial" w:hAnsi="Arial"/>
          <w:sz w:val="17"/>
          <w:szCs w:val="17"/>
          <w:color w:val="FF0000"/>
          <w:strike w:val="1"/>
        </w:rPr>
        <w:t>” for</w:t>
      </w:r>
      <w:r>
        <w:rPr>
          <w:rFonts w:ascii="Arial" w:cs="Arial" w:eastAsia="Arial" w:hAnsi="Arial"/>
          <w:sz w:val="17"/>
          <w:szCs w:val="17"/>
          <w:u w:val="single" w:color="auto"/>
          <w:color w:val="0000FF"/>
          <w:strike w:val="1"/>
        </w:rPr>
        <w:t>. Any</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such</w:t>
      </w:r>
      <w:r>
        <w:rPr>
          <w:rFonts w:ascii="Arial" w:cs="Arial" w:eastAsia="Arial" w:hAnsi="Arial"/>
          <w:sz w:val="17"/>
          <w:szCs w:val="17"/>
          <w:color w:val="FF0000"/>
          <w:strike w:val="1"/>
        </w:rPr>
        <w:t xml:space="preserve">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(a)(3) of the definition of “Benchmark Replacement” for such Benchmark Replacement Date, such Benchmark Replacement will replace such Benchmark for all purposes hereunder and under any Loan Document in</w:t>
      </w:r>
      <w:r>
        <w:rPr>
          <w:rFonts w:ascii="Arial" w:cs="Arial" w:eastAsia="Arial" w:hAnsi="Arial"/>
          <w:sz w:val="17"/>
          <w:szCs w:val="17"/>
          <w:u w:val="single" w:color="auto"/>
          <w:color w:val="0000FF"/>
          <w:strike w:val="1"/>
        </w:rPr>
        <w:t>amendment with</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respect</w:t>
      </w:r>
      <w:r>
        <w:rPr>
          <w:rFonts w:ascii="Arial" w:cs="Arial" w:eastAsia="Arial" w:hAnsi="Arial"/>
          <w:sz w:val="17"/>
          <w:szCs w:val="17"/>
          <w:color w:val="FF0000"/>
          <w:strike w:val="1"/>
        </w:rPr>
        <w:t xml:space="preserve"> of any</w:t>
      </w:r>
      <w:r>
        <w:rPr>
          <w:rFonts w:ascii="Arial" w:cs="Arial" w:eastAsia="Arial" w:hAnsi="Arial"/>
          <w:sz w:val="17"/>
          <w:szCs w:val="17"/>
          <w:u w:val="single" w:color="auto"/>
          <w:color w:val="0000FF"/>
          <w:strike w:val="1"/>
        </w:rPr>
        <w:t>to a</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Benchmark</w:t>
      </w:r>
      <w:r>
        <w:rPr>
          <w:rFonts w:ascii="Arial" w:cs="Arial" w:eastAsia="Arial" w:hAnsi="Arial"/>
          <w:sz w:val="17"/>
          <w:szCs w:val="17"/>
          <w:color w:val="FF0000"/>
          <w:strike w:val="1"/>
        </w:rPr>
        <w:t xml:space="preserve"> setting</w:t>
      </w:r>
      <w:r>
        <w:rPr>
          <w:rFonts w:ascii="Arial" w:cs="Arial" w:eastAsia="Arial" w:hAnsi="Arial"/>
          <w:sz w:val="17"/>
          <w:szCs w:val="17"/>
          <w:u w:val="single" w:color="auto"/>
          <w:color w:val="0000FF"/>
          <w:strike w:val="1"/>
        </w:rPr>
        <w:t>Transition Event will become effective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at</w:t>
      </w:r>
      <w:r>
        <w:rPr>
          <w:rFonts w:ascii="Arial" w:cs="Arial" w:eastAsia="Arial" w:hAnsi="Arial"/>
          <w:sz w:val="17"/>
          <w:szCs w:val="17"/>
          <w:color w:val="FF0000"/>
          <w:strike w:val="1"/>
        </w:rPr>
        <w:t xml:space="preserve"> or after </w:t>
      </w:r>
      <w:r>
        <w:rPr>
          <w:rFonts w:ascii="Arial" w:cs="Arial" w:eastAsia="Arial" w:hAnsi="Arial"/>
          <w:sz w:val="17"/>
          <w:szCs w:val="17"/>
          <w:color w:val="000000"/>
          <w:strike w:val="1"/>
        </w:rPr>
        <w:t>5:00 p.m. (</w:t>
      </w:r>
      <w:r>
        <w:rPr>
          <w:rFonts w:ascii="Arial" w:cs="Arial" w:eastAsia="Arial" w:hAnsi="Arial"/>
          <w:sz w:val="17"/>
          <w:szCs w:val="17"/>
          <w:color w:val="FF0000"/>
          <w:strike w:val="1"/>
        </w:rPr>
        <w:t>New York City</w:t>
      </w:r>
      <w:r>
        <w:rPr>
          <w:rFonts w:ascii="Arial" w:cs="Arial" w:eastAsia="Arial" w:hAnsi="Arial"/>
          <w:sz w:val="17"/>
          <w:szCs w:val="17"/>
          <w:u w:val="single" w:color="auto"/>
          <w:color w:val="0000FF"/>
          <w:strike w:val="1"/>
        </w:rPr>
        <w:t>Eastern</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time) on the fifth (5</w:t>
      </w:r>
      <w:r>
        <w:rPr>
          <w:rFonts w:ascii="Arial" w:cs="Arial" w:eastAsia="Arial" w:hAnsi="Arial"/>
          <w:sz w:val="21"/>
          <w:szCs w:val="21"/>
          <w:color w:val="000000"/>
          <w:strike w:val="1"/>
          <w:vertAlign w:val="superscript"/>
        </w:rPr>
        <w:t>th</w:t>
      </w:r>
      <w:r>
        <w:rPr>
          <w:rFonts w:ascii="Arial" w:cs="Arial" w:eastAsia="Arial" w:hAnsi="Arial"/>
          <w:sz w:val="17"/>
          <w:szCs w:val="17"/>
          <w:color w:val="000000"/>
          <w:strike w:val="1"/>
        </w:rPr>
        <w:t>) Business Day after the</w:t>
      </w:r>
      <w:r>
        <w:rPr>
          <w:rFonts w:ascii="Arial" w:cs="Arial" w:eastAsia="Arial" w:hAnsi="Arial"/>
          <w:sz w:val="17"/>
          <w:szCs w:val="17"/>
          <w:color w:val="FF0000"/>
          <w:strike w:val="1"/>
        </w:rPr>
        <w:t xml:space="preserve"> date notice of such Benchmark Replacement is provided to the Lenders without any amendment to, or further action or consent of any other party to, this Agreement or any other Loan Document</w:t>
      </w:r>
      <w:r>
        <w:rPr>
          <w:rFonts w:ascii="Arial" w:cs="Arial" w:eastAsia="Arial" w:hAnsi="Arial"/>
          <w:sz w:val="17"/>
          <w:szCs w:val="17"/>
          <w:u w:val="single" w:color="auto"/>
          <w:color w:val="00C000"/>
          <w:strike w:val="1"/>
        </w:rPr>
        <w:t>Administrative Agent has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posted such proposed amendment to all affected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C000"/>
          <w:strike w:val="1"/>
        </w:rPr>
        <w:t>Lenders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C000"/>
          <w:strike w:val="1"/>
        </w:rPr>
        <w:t>and the Borrower</w:t>
      </w:r>
      <w:r>
        <w:rPr>
          <w:rFonts w:ascii="Arial" w:cs="Arial" w:eastAsia="Arial" w:hAnsi="Arial"/>
          <w:sz w:val="17"/>
          <w:szCs w:val="17"/>
          <w:color w:val="00C000"/>
          <w:strike w:val="1"/>
        </w:rPr>
        <w:t xml:space="preserve"> </w:t>
      </w:r>
      <w:r>
        <w:rPr>
          <w:rFonts w:ascii="Arial" w:cs="Arial" w:eastAsia="Arial" w:hAnsi="Arial"/>
          <w:sz w:val="17"/>
          <w:szCs w:val="17"/>
          <w:color w:val="000000"/>
          <w:strike w:val="1"/>
        </w:rPr>
        <w:t>so long as the Administrative Agent has not received, by such time, written notice of objection to such</w:t>
      </w:r>
      <w:r>
        <w:rPr>
          <w:rFonts w:ascii="Arial" w:cs="Arial" w:eastAsia="Arial" w:hAnsi="Arial"/>
          <w:sz w:val="17"/>
          <w:szCs w:val="17"/>
          <w:color w:val="00C000"/>
          <w:strike w:val="1"/>
        </w:rPr>
        <w:t xml:space="preserve"> </w:t>
      </w:r>
      <w:r>
        <w:rPr>
          <w:rFonts w:ascii="Arial" w:cs="Arial" w:eastAsia="Arial" w:hAnsi="Arial"/>
          <w:sz w:val="17"/>
          <w:szCs w:val="17"/>
          <w:color w:val="FF0000"/>
          <w:strike w:val="1"/>
        </w:rPr>
        <w:t>Benchmark Replacement</w:t>
      </w:r>
      <w:r>
        <w:rPr>
          <w:rFonts w:ascii="Arial" w:cs="Arial" w:eastAsia="Arial" w:hAnsi="Arial"/>
          <w:sz w:val="17"/>
          <w:szCs w:val="17"/>
          <w:u w:val="single" w:color="auto"/>
          <w:color w:val="0000FF"/>
          <w:strike w:val="1"/>
        </w:rPr>
        <w:t>amendment</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from Lenders comprising the Required Lenders.</w:t>
      </w:r>
      <w:r>
        <w:rPr>
          <w:rFonts w:ascii="Arial" w:cs="Arial" w:eastAsia="Arial" w:hAnsi="Arial"/>
          <w:sz w:val="17"/>
          <w:szCs w:val="17"/>
          <w:color w:val="FF0000"/>
          <w:strike w:val="1"/>
        </w:rPr>
        <w:t xml:space="preserve"> If an Unadjusted</w:t>
      </w:r>
      <w:r>
        <w:rPr>
          <w:rFonts w:ascii="Arial" w:cs="Arial" w:eastAsia="Arial" w:hAnsi="Arial"/>
          <w:sz w:val="17"/>
          <w:szCs w:val="17"/>
          <w:u w:val="single" w:color="auto"/>
          <w:color w:val="0000FF"/>
          <w:strike w:val="1"/>
        </w:rPr>
        <w:t>No replacement of a</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Benchmark with a</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Benchmark Replacement</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is Daily Simple SOFR, all interest payments will be payable on a monthly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-1828800</wp:posOffset>
            </wp:positionV>
            <wp:extent cx="38779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877945" cy="825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-1400175</wp:posOffset>
            </wp:positionV>
            <wp:extent cx="3987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349" w:lineRule="exact"/>
        <w:rPr>
          <w:sz w:val="20"/>
          <w:szCs w:val="20"/>
          <w:color w:val="auto"/>
        </w:rPr>
      </w:pPr>
    </w:p>
    <w:p>
      <w:pPr>
        <w:jc w:val="both"/>
        <w:ind w:left="1300" w:firstLine="652"/>
        <w:spacing w:after="0" w:line="246" w:lineRule="auto"/>
        <w:tabs>
          <w:tab w:leader="none" w:pos="2261" w:val="left"/>
        </w:tabs>
        <w:numPr>
          <w:ilvl w:val="0"/>
          <w:numId w:val="73"/>
        </w:numPr>
        <w:rPr>
          <w:rFonts w:ascii="Arial" w:cs="Arial" w:eastAsia="Arial" w:hAnsi="Arial"/>
          <w:sz w:val="18"/>
          <w:szCs w:val="18"/>
          <w:color w:val="FF0000"/>
          <w:strike w:val="1"/>
        </w:rPr>
      </w:pPr>
      <w:r>
        <w:rPr>
          <w:rFonts w:ascii="Arial" w:cs="Arial" w:eastAsia="Arial" w:hAnsi="Arial"/>
          <w:sz w:val="18"/>
          <w:szCs w:val="18"/>
          <w:color w:val="FF0000"/>
          <w:strike w:val="1"/>
        </w:rPr>
        <w:t>Notwithstanding</w:t>
      </w:r>
      <w:r>
        <w:rPr>
          <w:rFonts w:ascii="Arial" w:cs="Arial" w:eastAsia="Arial" w:hAnsi="Arial"/>
          <w:sz w:val="18"/>
          <w:szCs w:val="18"/>
          <w:color w:val="FF0000"/>
        </w:rPr>
        <w:t xml:space="preserve"> </w:t>
      </w:r>
      <w:r>
        <w:rPr>
          <w:rFonts w:ascii="Arial" w:cs="Arial" w:eastAsia="Arial" w:hAnsi="Arial"/>
          <w:sz w:val="18"/>
          <w:szCs w:val="18"/>
          <w:color w:val="00C000"/>
          <w:strike w:val="1"/>
        </w:rPr>
        <w:t>anything to the contrary herein or in any other Loan Document</w:t>
      </w:r>
      <w:r>
        <w:rPr>
          <w:rFonts w:ascii="Arial" w:cs="Arial" w:eastAsia="Arial" w:hAnsi="Arial"/>
          <w:sz w:val="18"/>
          <w:szCs w:val="18"/>
          <w:color w:val="FF0000"/>
        </w:rPr>
        <w:t xml:space="preserve"> and subject to the proviso below </w:t>
      </w:r>
      <w:r>
        <w:rPr>
          <w:rFonts w:ascii="Arial" w:cs="Arial" w:eastAsia="Arial" w:hAnsi="Arial"/>
          <w:sz w:val="18"/>
          <w:szCs w:val="18"/>
          <w:color w:val="FF0000"/>
          <w:strike w:val="1"/>
        </w:rPr>
        <w:t>in this paragraph, if a Term SOFR Transition Event and its related Benchmark Replacement Date have occurred prior to the Reference Time in respect of any setting of the then-current Benchmark, then</w:t>
      </w:r>
      <w:r>
        <w:rPr>
          <w:rFonts w:ascii="Arial" w:cs="Arial" w:eastAsia="Arial" w:hAnsi="Arial"/>
          <w:sz w:val="18"/>
          <w:szCs w:val="18"/>
          <w:u w:val="single" w:color="auto"/>
          <w:color w:val="0000FF"/>
          <w:strike w:val="1"/>
        </w:rPr>
        <w:t>pursuant to this Section 2.12(c)(i) will occur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prior to</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the applicable Benchmark</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Replacement will replace the then-current Benchmark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-459105</wp:posOffset>
            </wp:positionV>
            <wp:extent cx="1661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398" w:lineRule="exact"/>
        <w:rPr>
          <w:sz w:val="20"/>
          <w:szCs w:val="20"/>
          <w:color w:val="auto"/>
        </w:rPr>
      </w:pPr>
    </w:p>
    <w:p>
      <w:pPr>
        <w:ind w:left="180"/>
        <w:spacing w:after="0"/>
        <w:rPr>
          <w:sz w:val="20"/>
          <w:szCs w:val="20"/>
          <w:color w:val="auto"/>
        </w:rPr>
      </w:pPr>
      <w:r>
        <w:rPr>
          <w:rFonts w:ascii="Arial" w:cs="Arial" w:eastAsia="Arial" w:hAnsi="Arial"/>
          <w:sz w:val="18"/>
          <w:szCs w:val="18"/>
          <w:color w:val="FF0000"/>
          <w:strike w:val="1"/>
        </w:rPr>
        <w:t>all purposes hereunder or under any Loan Document in respect of such Benchmark setting and subsequent Benchmark</w:t>
      </w:r>
    </w:p>
    <w:p>
      <w:pPr>
        <w:spacing w:after="0" w:line="12" w:lineRule="exact"/>
        <w:rPr>
          <w:sz w:val="20"/>
          <w:szCs w:val="20"/>
          <w:color w:val="auto"/>
        </w:rPr>
      </w:pPr>
    </w:p>
    <w:p>
      <w:pPr>
        <w:ind w:left="180"/>
        <w:spacing w:after="0" w:line="226" w:lineRule="auto"/>
        <w:rPr>
          <w:sz w:val="20"/>
          <w:szCs w:val="20"/>
          <w:color w:val="auto"/>
        </w:rPr>
      </w:pPr>
      <w:r>
        <w:rPr>
          <w:rFonts w:ascii="Arial" w:cs="Arial" w:eastAsia="Arial" w:hAnsi="Arial"/>
          <w:sz w:val="18"/>
          <w:szCs w:val="18"/>
          <w:color w:val="FF0000"/>
          <w:strike w:val="1"/>
        </w:rPr>
        <w:t xml:space="preserve">settings, without any amendment to, or further action or consent of any other party to, this Agreement or any other Loan Document;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this clause (B) shall not be effective unless the </w:t>
      </w:r>
      <w:r>
        <w:rPr>
          <w:rFonts w:ascii="Arial" w:cs="Arial" w:eastAsia="Arial" w:hAnsi="Arial"/>
          <w:sz w:val="18"/>
          <w:szCs w:val="18"/>
          <w:color w:val="00C000"/>
          <w:strike w:val="1"/>
        </w:rPr>
        <w:t>Administrative Agent has</w:t>
      </w:r>
      <w:r>
        <w:rPr>
          <w:rFonts w:ascii="Arial" w:cs="Arial" w:eastAsia="Arial" w:hAnsi="Arial"/>
          <w:sz w:val="18"/>
          <w:szCs w:val="18"/>
          <w:color w:val="FF0000"/>
          <w:strike w:val="1"/>
        </w:rPr>
        <w:t xml:space="preserve"> delivered to the </w:t>
      </w:r>
      <w:r>
        <w:rPr>
          <w:rFonts w:ascii="Arial" w:cs="Arial" w:eastAsia="Arial" w:hAnsi="Arial"/>
          <w:sz w:val="18"/>
          <w:szCs w:val="18"/>
          <w:color w:val="00C000"/>
          <w:strike w:val="1"/>
        </w:rPr>
        <w:t>Lenders</w:t>
      </w:r>
    </w:p>
    <w:p>
      <w:pPr>
        <w:ind w:left="180"/>
        <w:spacing w:after="0" w:line="236" w:lineRule="auto"/>
        <w:rPr>
          <w:sz w:val="20"/>
          <w:szCs w:val="20"/>
          <w:color w:val="auto"/>
        </w:rPr>
      </w:pPr>
      <w:r>
        <w:rPr>
          <w:rFonts w:ascii="Arial" w:cs="Arial" w:eastAsia="Arial" w:hAnsi="Arial"/>
          <w:sz w:val="18"/>
          <w:szCs w:val="18"/>
          <w:color w:val="00C000"/>
          <w:strike w:val="1"/>
        </w:rPr>
        <w:t>and the Borrower</w:t>
      </w:r>
      <w:r>
        <w:rPr>
          <w:rFonts w:ascii="Arial" w:cs="Arial" w:eastAsia="Arial" w:hAnsi="Arial"/>
          <w:sz w:val="18"/>
          <w:szCs w:val="18"/>
          <w:color w:val="00C000"/>
        </w:rPr>
        <w:t xml:space="preserve"> </w:t>
      </w:r>
      <w:r>
        <w:rPr>
          <w:rFonts w:ascii="Arial" w:cs="Arial" w:eastAsia="Arial" w:hAnsi="Arial"/>
          <w:sz w:val="18"/>
          <w:szCs w:val="18"/>
          <w:color w:val="FF0000"/>
        </w:rPr>
        <w:t>a Term SOFR Notice. For the avoidance of doubt, the Administrative Agent shall not be required to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-58420</wp:posOffset>
            </wp:positionV>
            <wp:extent cx="5428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428615" cy="8255"/>
                    </a:xfrm>
                    <a:prstGeom prst="rect">
                      <a:avLst/>
                    </a:prstGeom>
                    <a:noFill/>
                  </pic:spPr>
                </pic:pic>
              </a:graphicData>
            </a:graphic>
          </wp:anchor>
        </w:drawing>
      </w:r>
    </w:p>
    <w:p>
      <w:pPr>
        <w:ind w:left="180"/>
        <w:spacing w:after="0" w:line="220" w:lineRule="auto"/>
        <w:rPr>
          <w:sz w:val="20"/>
          <w:szCs w:val="20"/>
          <w:color w:val="auto"/>
        </w:rPr>
      </w:pPr>
      <w:r>
        <w:rPr>
          <w:rFonts w:ascii="Arial" w:cs="Arial" w:eastAsia="Arial" w:hAnsi="Arial"/>
          <w:sz w:val="20"/>
          <w:szCs w:val="20"/>
          <w:color w:val="FF0000"/>
          <w:strike w:val="1"/>
        </w:rPr>
        <w:t>a Term SOFR Notice after a Term SOFR Transition Event and may elect or not elect to do so in its sole discretion</w:t>
      </w:r>
      <w:r>
        <w:rPr>
          <w:rFonts w:ascii="Arial" w:cs="Arial" w:eastAsia="Arial" w:hAnsi="Arial"/>
          <w:sz w:val="20"/>
          <w:szCs w:val="20"/>
          <w:u w:val="single" w:color="auto"/>
          <w:color w:val="0000FF"/>
          <w:strike w:val="1"/>
        </w:rPr>
        <w:t>Transition</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Start Date</w:t>
      </w:r>
      <w:r>
        <w:rPr>
          <w:rFonts w:ascii="Arial" w:cs="Arial" w:eastAsia="Arial" w:hAnsi="Arial"/>
          <w:sz w:val="20"/>
          <w:szCs w:val="20"/>
          <w:color w:val="000000"/>
          <w:strike w:val="1"/>
        </w:rPr>
        <w:t>.</w:t>
      </w:r>
    </w:p>
    <w:p>
      <w:pPr>
        <w:spacing w:after="0" w:line="170" w:lineRule="exact"/>
        <w:rPr>
          <w:sz w:val="20"/>
          <w:szCs w:val="20"/>
          <w:color w:val="auto"/>
        </w:rPr>
      </w:pPr>
    </w:p>
    <w:p>
      <w:pPr>
        <w:jc w:val="both"/>
        <w:ind w:left="180" w:firstLine="652"/>
        <w:spacing w:after="0" w:line="243" w:lineRule="auto"/>
        <w:tabs>
          <w:tab w:leader="none" w:pos="144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xml:space="preserve">. In connection with the </w:t>
      </w:r>
      <w:r>
        <w:rPr>
          <w:rFonts w:ascii="Arial" w:cs="Arial" w:eastAsia="Arial" w:hAnsi="Arial"/>
          <w:sz w:val="18"/>
          <w:szCs w:val="18"/>
          <w:u w:val="single" w:color="auto"/>
          <w:color w:val="0000FF"/>
        </w:rPr>
        <w:t>use, administration, adoption or</w:t>
      </w:r>
      <w:r>
        <w:rPr>
          <w:rFonts w:ascii="Arial" w:cs="Arial" w:eastAsia="Arial" w:hAnsi="Arial"/>
          <w:sz w:val="18"/>
          <w:szCs w:val="18"/>
          <w:color w:val="auto"/>
        </w:rPr>
        <w:t xml:space="preserve"> implementation of a Benchmark Replacement, the Administrative Agent will have the right to make </w:t>
      </w:r>
      <w:r>
        <w:rPr>
          <w:rFonts w:ascii="Arial" w:cs="Arial" w:eastAsia="Arial" w:hAnsi="Arial"/>
          <w:sz w:val="18"/>
          <w:szCs w:val="18"/>
          <w:color w:val="FF0000"/>
          <w:strike w:val="1"/>
        </w:rPr>
        <w:t>Benchmark</w:t>
      </w:r>
      <w:r>
        <w:rPr>
          <w:rFonts w:ascii="Arial" w:cs="Arial" w:eastAsia="Arial" w:hAnsi="Arial"/>
          <w:sz w:val="18"/>
          <w:szCs w:val="18"/>
          <w:color w:val="auto"/>
        </w:rPr>
        <w:t xml:space="preserve"> </w:t>
      </w:r>
      <w:r>
        <w:rPr>
          <w:rFonts w:ascii="Arial" w:cs="Arial" w:eastAsia="Arial" w:hAnsi="Arial"/>
          <w:sz w:val="18"/>
          <w:szCs w:val="18"/>
          <w:color w:val="FF0000"/>
          <w:strike w:val="1"/>
        </w:rPr>
        <w:t>Replacement</w:t>
      </w:r>
      <w:r>
        <w:rPr>
          <w:rFonts w:ascii="Arial" w:cs="Arial" w:eastAsia="Arial" w:hAnsi="Arial"/>
          <w:sz w:val="18"/>
          <w:szCs w:val="18"/>
          <w:color w:val="FF0000"/>
        </w:rPr>
        <w:t xml:space="preserve"> </w:t>
      </w:r>
      <w:r>
        <w:rPr>
          <w:rFonts w:ascii="Arial" w:cs="Arial" w:eastAsia="Arial" w:hAnsi="Arial"/>
          <w:sz w:val="18"/>
          <w:szCs w:val="18"/>
          <w:color w:val="000000"/>
        </w:rPr>
        <w:t>Conforming Changes from time to time and, notwithstanding anything to the contrary herein or in any other</w:t>
      </w:r>
      <w:r>
        <w:rPr>
          <w:rFonts w:ascii="Arial" w:cs="Arial" w:eastAsia="Arial" w:hAnsi="Arial"/>
          <w:sz w:val="18"/>
          <w:szCs w:val="18"/>
          <w:color w:val="FF0000"/>
        </w:rPr>
        <w:t xml:space="preserve"> </w:t>
      </w:r>
      <w:r>
        <w:rPr>
          <w:rFonts w:ascii="Arial" w:cs="Arial" w:eastAsia="Arial" w:hAnsi="Arial"/>
          <w:sz w:val="18"/>
          <w:szCs w:val="18"/>
          <w:color w:val="000000"/>
        </w:rPr>
        <w:t xml:space="preserve">Loan Document, any amendments implementing such </w:t>
      </w:r>
      <w:r>
        <w:rPr>
          <w:rFonts w:ascii="Arial" w:cs="Arial" w:eastAsia="Arial" w:hAnsi="Arial"/>
          <w:sz w:val="18"/>
          <w:szCs w:val="18"/>
          <w:color w:val="FF0000"/>
          <w:strike w:val="1"/>
        </w:rPr>
        <w:t>Benchmark Replacement</w:t>
      </w:r>
      <w:r>
        <w:rPr>
          <w:rFonts w:ascii="Arial" w:cs="Arial" w:eastAsia="Arial" w:hAnsi="Arial"/>
          <w:sz w:val="18"/>
          <w:szCs w:val="18"/>
          <w:color w:val="000000"/>
        </w:rPr>
        <w:t xml:space="preserve"> Conforming Changes will become effective without any further action or consent of any other party to this Agreement or any other Loan Document.</w:t>
      </w:r>
    </w:p>
    <w:p>
      <w:pPr>
        <w:spacing w:after="0" w:line="153" w:lineRule="exact"/>
        <w:rPr>
          <w:rFonts w:ascii="Arial" w:cs="Arial" w:eastAsia="Arial" w:hAnsi="Arial"/>
          <w:sz w:val="18"/>
          <w:szCs w:val="18"/>
          <w:color w:val="auto"/>
        </w:rPr>
      </w:pPr>
    </w:p>
    <w:p>
      <w:pPr>
        <w:jc w:val="both"/>
        <w:ind w:left="180" w:firstLine="652"/>
        <w:spacing w:after="0" w:line="221" w:lineRule="auto"/>
        <w:tabs>
          <w:tab w:leader="none" w:pos="143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Administrative Agent will promptly notify the Borrower and the Lenders of (A) </w:t>
      </w:r>
      <w:r>
        <w:rPr>
          <w:rFonts w:ascii="Arial" w:cs="Arial" w:eastAsia="Arial" w:hAnsi="Arial"/>
          <w:sz w:val="19"/>
          <w:szCs w:val="19"/>
          <w:u w:val="single" w:color="auto"/>
          <w:color w:val="0000FF"/>
        </w:rPr>
        <w:t>the implementation of</w:t>
      </w:r>
      <w:r>
        <w:rPr>
          <w:rFonts w:ascii="Arial" w:cs="Arial" w:eastAsia="Arial" w:hAnsi="Arial"/>
          <w:sz w:val="19"/>
          <w:szCs w:val="19"/>
          <w:color w:val="auto"/>
        </w:rPr>
        <w:t xml:space="preserve"> any </w:t>
      </w:r>
      <w:r>
        <w:rPr>
          <w:rFonts w:ascii="Arial" w:cs="Arial" w:eastAsia="Arial" w:hAnsi="Arial"/>
          <w:sz w:val="19"/>
          <w:szCs w:val="19"/>
          <w:color w:val="FF0000"/>
          <w:strike w:val="1"/>
        </w:rPr>
        <w:t>occurrence of a</w:t>
      </w:r>
      <w:r>
        <w:rPr>
          <w:rFonts w:ascii="Arial" w:cs="Arial" w:eastAsia="Arial" w:hAnsi="Arial"/>
          <w:sz w:val="19"/>
          <w:szCs w:val="19"/>
          <w:color w:val="auto"/>
        </w:rPr>
        <w:t xml:space="preserve"> Benchmark </w:t>
      </w:r>
      <w:r>
        <w:rPr>
          <w:rFonts w:ascii="Arial" w:cs="Arial" w:eastAsia="Arial" w:hAnsi="Arial"/>
          <w:sz w:val="19"/>
          <w:szCs w:val="19"/>
          <w:color w:val="FF0000"/>
          <w:strike w:val="1"/>
        </w:rPr>
        <w:t>Transition Event, a Term SOFR</w:t>
      </w:r>
      <w:r>
        <w:rPr>
          <w:rFonts w:ascii="Arial" w:cs="Arial" w:eastAsia="Arial" w:hAnsi="Arial"/>
          <w:sz w:val="19"/>
          <w:szCs w:val="19"/>
          <w:color w:val="auto"/>
        </w:rPr>
        <w:t xml:space="preserve"> </w:t>
      </w:r>
      <w:r>
        <w:rPr>
          <w:rFonts w:ascii="Arial" w:cs="Arial" w:eastAsia="Arial" w:hAnsi="Arial"/>
          <w:sz w:val="19"/>
          <w:szCs w:val="19"/>
          <w:color w:val="FF0000"/>
          <w:strike w:val="1"/>
        </w:rPr>
        <w:t>Transition Event or an Early Opt-in Election, as applicable, and its related Benchmark</w:t>
      </w:r>
      <w:r>
        <w:rPr>
          <w:rFonts w:ascii="Arial" w:cs="Arial" w:eastAsia="Arial" w:hAnsi="Arial"/>
          <w:sz w:val="19"/>
          <w:szCs w:val="19"/>
          <w:color w:val="FF0000"/>
        </w:rPr>
        <w:t xml:space="preserve"> </w:t>
      </w:r>
      <w:r>
        <w:rPr>
          <w:rFonts w:ascii="Arial" w:cs="Arial" w:eastAsia="Arial" w:hAnsi="Arial"/>
          <w:sz w:val="19"/>
          <w:szCs w:val="19"/>
          <w:color w:val="000000"/>
        </w:rPr>
        <w:t>Replacement</w:t>
      </w:r>
      <w:r>
        <w:rPr>
          <w:rFonts w:ascii="Arial" w:cs="Arial" w:eastAsia="Arial" w:hAnsi="Arial"/>
          <w:sz w:val="19"/>
          <w:szCs w:val="19"/>
          <w:color w:val="FF0000"/>
        </w:rPr>
        <w:t xml:space="preserve"> </w:t>
      </w:r>
      <w:r>
        <w:rPr>
          <w:rFonts w:ascii="Arial" w:cs="Arial" w:eastAsia="Arial" w:hAnsi="Arial"/>
          <w:sz w:val="19"/>
          <w:szCs w:val="19"/>
          <w:color w:val="FF0000"/>
          <w:strike w:val="1"/>
        </w:rPr>
        <w:t>Date, (B) the</w:t>
      </w:r>
      <w:r>
        <w:rPr>
          <w:rFonts w:ascii="Arial" w:cs="Arial" w:eastAsia="Arial" w:hAnsi="Arial"/>
          <w:sz w:val="19"/>
          <w:szCs w:val="19"/>
          <w:color w:val="FF0000"/>
        </w:rPr>
        <w:t xml:space="preserve"> </w:t>
      </w:r>
      <w:r>
        <w:rPr>
          <w:rFonts w:ascii="Arial" w:cs="Arial" w:eastAsia="Arial" w:hAnsi="Arial"/>
          <w:sz w:val="19"/>
          <w:szCs w:val="19"/>
          <w:color w:val="FF0000"/>
          <w:strike w:val="1"/>
        </w:rPr>
        <w:t>implementation of any Benchmark Replacement, (C</w:t>
      </w:r>
      <w:r>
        <w:rPr>
          <w:rFonts w:ascii="Arial" w:cs="Arial" w:eastAsia="Arial" w:hAnsi="Arial"/>
          <w:sz w:val="19"/>
          <w:szCs w:val="19"/>
          <w:u w:val="single" w:color="auto"/>
          <w:color w:val="0000FF"/>
        </w:rPr>
        <w:t>and (B</w:t>
      </w:r>
      <w:r>
        <w:rPr>
          <w:rFonts w:ascii="Arial" w:cs="Arial" w:eastAsia="Arial" w:hAnsi="Arial"/>
          <w:sz w:val="19"/>
          <w:szCs w:val="19"/>
          <w:color w:val="000000"/>
        </w:rPr>
        <w:t>) the effectiveness of any</w:t>
      </w:r>
      <w:r>
        <w:rPr>
          <w:rFonts w:ascii="Arial" w:cs="Arial" w:eastAsia="Arial" w:hAnsi="Arial"/>
          <w:sz w:val="19"/>
          <w:szCs w:val="19"/>
          <w:color w:val="FF0000"/>
        </w:rPr>
        <w:t xml:space="preserve"> </w:t>
      </w:r>
      <w:r>
        <w:rPr>
          <w:rFonts w:ascii="Arial" w:cs="Arial" w:eastAsia="Arial" w:hAnsi="Arial"/>
          <w:sz w:val="19"/>
          <w:szCs w:val="19"/>
          <w:color w:val="FF0000"/>
          <w:strike w:val="1"/>
        </w:rPr>
        <w:t>Benchmark Replacement</w:t>
      </w:r>
      <w:r>
        <w:rPr>
          <w:rFonts w:ascii="Arial" w:cs="Arial" w:eastAsia="Arial" w:hAnsi="Arial"/>
          <w:sz w:val="19"/>
          <w:szCs w:val="19"/>
          <w:color w:val="FF0000"/>
        </w:rPr>
        <w:t xml:space="preserve"> </w:t>
      </w:r>
      <w:r>
        <w:rPr>
          <w:rFonts w:ascii="Arial" w:cs="Arial" w:eastAsia="Arial" w:hAnsi="Arial"/>
          <w:sz w:val="19"/>
          <w:szCs w:val="19"/>
          <w:color w:val="000000"/>
        </w:rPr>
        <w:t>Conforming</w:t>
      </w:r>
      <w:r>
        <w:rPr>
          <w:rFonts w:ascii="Arial" w:cs="Arial" w:eastAsia="Arial" w:hAnsi="Arial"/>
          <w:sz w:val="19"/>
          <w:szCs w:val="19"/>
          <w:color w:val="FF0000"/>
        </w:rPr>
        <w:t xml:space="preserve"> </w:t>
      </w:r>
      <w:r>
        <w:rPr>
          <w:rFonts w:ascii="Arial" w:cs="Arial" w:eastAsia="Arial" w:hAnsi="Arial"/>
          <w:sz w:val="19"/>
          <w:szCs w:val="19"/>
          <w:color w:val="000000"/>
        </w:rPr>
        <w:t>Changes</w:t>
      </w:r>
      <w:r>
        <w:rPr>
          <w:rFonts w:ascii="Arial" w:cs="Arial" w:eastAsia="Arial" w:hAnsi="Arial"/>
          <w:sz w:val="19"/>
          <w:szCs w:val="19"/>
          <w:color w:val="FF0000"/>
          <w:strike w:val="1"/>
        </w:rPr>
        <w:t>, (D)</w:t>
      </w:r>
      <w:r>
        <w:rPr>
          <w:rFonts w:ascii="Arial" w:cs="Arial" w:eastAsia="Arial" w:hAnsi="Arial"/>
          <w:sz w:val="19"/>
          <w:szCs w:val="19"/>
          <w:color w:val="000000"/>
        </w:rPr>
        <w:t xml:space="preserve"> </w:t>
      </w:r>
      <w:r>
        <w:rPr>
          <w:rFonts w:ascii="Arial" w:cs="Arial" w:eastAsia="Arial" w:hAnsi="Arial"/>
          <w:sz w:val="19"/>
          <w:szCs w:val="19"/>
          <w:color w:val="0000FF"/>
        </w:rPr>
        <w:t>in connection with the use, administration, adoption or implementation of a Benchmark Replacement. The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Administrative Agent will promptly notify the Borrower of</w:t>
      </w:r>
      <w:r>
        <w:rPr>
          <w:rFonts w:ascii="Arial" w:cs="Arial" w:eastAsia="Arial" w:hAnsi="Arial"/>
          <w:sz w:val="19"/>
          <w:szCs w:val="19"/>
          <w:color w:val="0000FF"/>
        </w:rPr>
        <w:t xml:space="preserve"> </w:t>
      </w:r>
      <w:r>
        <w:rPr>
          <w:rFonts w:ascii="Arial" w:cs="Arial" w:eastAsia="Arial" w:hAnsi="Arial"/>
          <w:sz w:val="19"/>
          <w:szCs w:val="19"/>
          <w:color w:val="000000"/>
        </w:rPr>
        <w:t>the removal or reinstatement of any tenor of a Benchmark</w:t>
      </w:r>
      <w:r>
        <w:rPr>
          <w:rFonts w:ascii="Arial" w:cs="Arial" w:eastAsia="Arial" w:hAnsi="Arial"/>
          <w:sz w:val="19"/>
          <w:szCs w:val="19"/>
          <w:color w:val="0000FF"/>
        </w:rPr>
        <w:t xml:space="preserve"> </w:t>
      </w:r>
      <w:r>
        <w:rPr>
          <w:rFonts w:ascii="Arial" w:cs="Arial" w:eastAsia="Arial" w:hAnsi="Arial"/>
          <w:sz w:val="19"/>
          <w:szCs w:val="19"/>
          <w:color w:val="000000"/>
        </w:rPr>
        <w:t xml:space="preserve">pursuant to </w:t>
      </w:r>
      <w:r>
        <w:rPr>
          <w:rFonts w:ascii="Arial" w:cs="Arial" w:eastAsia="Arial" w:hAnsi="Arial"/>
          <w:sz w:val="19"/>
          <w:szCs w:val="19"/>
          <w:u w:val="single" w:color="auto"/>
          <w:color w:val="000000"/>
        </w:rPr>
        <w:t>Section 2.12(c)(iv)</w:t>
      </w:r>
      <w:r>
        <w:rPr>
          <w:rFonts w:ascii="Arial" w:cs="Arial" w:eastAsia="Arial" w:hAnsi="Arial"/>
          <w:sz w:val="19"/>
          <w:szCs w:val="19"/>
          <w:color w:val="000000"/>
        </w:rPr>
        <w:t xml:space="preserve"> </w:t>
      </w:r>
      <w:r>
        <w:rPr>
          <w:rFonts w:ascii="Arial" w:cs="Arial" w:eastAsia="Arial" w:hAnsi="Arial"/>
          <w:sz w:val="19"/>
          <w:szCs w:val="19"/>
          <w:color w:val="FF0000"/>
          <w:strike w:val="1"/>
        </w:rPr>
        <w:t>below and (E) the commencement or conclusion of any Benchmark Unavailability Period</w:t>
      </w:r>
      <w:r>
        <w:rPr>
          <w:rFonts w:ascii="Arial" w:cs="Arial" w:eastAsia="Arial" w:hAnsi="Arial"/>
          <w:sz w:val="19"/>
          <w:szCs w:val="19"/>
          <w:color w:val="000000"/>
        </w:rPr>
        <w:t xml:space="preserve">.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000000"/>
        </w:rPr>
        <w:t>Section 2.12(c)</w:t>
      </w:r>
      <w:r>
        <w:rPr>
          <w:rFonts w:ascii="Arial" w:cs="Arial" w:eastAsia="Arial" w:hAnsi="Arial"/>
          <w:sz w:val="19"/>
          <w:szCs w:val="19"/>
          <w:color w:val="00000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000000"/>
        </w:rPr>
        <w:t>Section 2.12(c)</w:t>
      </w:r>
      <w:r>
        <w:rPr>
          <w:rFonts w:ascii="Arial" w:cs="Arial" w:eastAsia="Arial" w:hAnsi="Arial"/>
          <w:sz w:val="19"/>
          <w:szCs w:val="19"/>
          <w:color w:val="000000"/>
        </w:rPr>
        <w:t>.</w:t>
      </w:r>
    </w:p>
    <w:p>
      <w:pPr>
        <w:spacing w:after="0" w:line="179" w:lineRule="exact"/>
        <w:rPr>
          <w:rFonts w:ascii="Arial" w:cs="Arial" w:eastAsia="Arial" w:hAnsi="Arial"/>
          <w:sz w:val="19"/>
          <w:szCs w:val="19"/>
          <w:color w:val="auto"/>
        </w:rPr>
      </w:pPr>
    </w:p>
    <w:p>
      <w:pPr>
        <w:jc w:val="both"/>
        <w:ind w:left="180" w:firstLine="652"/>
        <w:spacing w:after="0" w:line="221" w:lineRule="auto"/>
        <w:tabs>
          <w:tab w:leader="none" w:pos="1352"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xml:space="preserve">. Notwithstanding anything to the contrary herein or in any other Loan Document, at any time (including in connection with the implementation of a Benchmark Replacement), (A) if the then-current Benchmark is a term rate (including </w:t>
      </w:r>
      <w:r>
        <w:rPr>
          <w:rFonts w:ascii="Arial" w:cs="Arial" w:eastAsia="Arial" w:hAnsi="Arial"/>
          <w:sz w:val="19"/>
          <w:szCs w:val="19"/>
          <w:u w:val="single" w:color="auto"/>
          <w:color w:val="0000FF"/>
        </w:rPr>
        <w:t>the</w:t>
      </w:r>
      <w:r>
        <w:rPr>
          <w:rFonts w:ascii="Arial" w:cs="Arial" w:eastAsia="Arial" w:hAnsi="Arial"/>
          <w:sz w:val="19"/>
          <w:szCs w:val="19"/>
          <w:color w:val="auto"/>
        </w:rPr>
        <w:t xml:space="preserve"> Term SOFR </w:t>
      </w:r>
      <w:r>
        <w:rPr>
          <w:rFonts w:ascii="Arial" w:cs="Arial" w:eastAsia="Arial" w:hAnsi="Arial"/>
          <w:sz w:val="19"/>
          <w:szCs w:val="19"/>
          <w:color w:val="FF0000"/>
          <w:strike w:val="1"/>
        </w:rPr>
        <w:t>or USD LIBOR</w:t>
      </w:r>
      <w:r>
        <w:rPr>
          <w:rFonts w:ascii="Arial" w:cs="Arial" w:eastAsia="Arial" w:hAnsi="Arial"/>
          <w:sz w:val="19"/>
          <w:szCs w:val="19"/>
          <w:u w:val="single" w:color="auto"/>
          <w:color w:val="0000FF"/>
        </w:rPr>
        <w:t>Reference Rate</w:t>
      </w:r>
      <w:r>
        <w:rPr>
          <w:rFonts w:ascii="Arial" w:cs="Arial" w:eastAsia="Arial" w:hAnsi="Arial"/>
          <w:sz w:val="19"/>
          <w:szCs w:val="19"/>
          <w:color w:val="auto"/>
        </w:rPr>
        <w:t xml:space="preserv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w:t>
      </w:r>
      <w:r>
        <w:rPr>
          <w:rFonts w:ascii="Arial" w:cs="Arial" w:eastAsia="Arial" w:hAnsi="Arial"/>
          <w:sz w:val="19"/>
          <w:szCs w:val="19"/>
          <w:u w:val="single" w:color="auto"/>
          <w:color w:val="0000FF"/>
        </w:rPr>
        <w:t>not</w:t>
      </w:r>
      <w:r>
        <w:rPr>
          <w:rFonts w:ascii="Arial" w:cs="Arial" w:eastAsia="Arial" w:hAnsi="Arial"/>
          <w:sz w:val="19"/>
          <w:szCs w:val="19"/>
          <w:color w:val="0000FF"/>
        </w:rPr>
        <w:t xml:space="preserve"> </w:t>
      </w:r>
      <w:r>
        <w:rPr>
          <w:rFonts w:ascii="Arial" w:cs="Arial" w:eastAsia="Arial" w:hAnsi="Arial"/>
          <w:sz w:val="19"/>
          <w:szCs w:val="19"/>
          <w:color w:val="000000"/>
        </w:rPr>
        <w:t>or will</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not</w:t>
      </w:r>
      <w:r>
        <w:rPr>
          <w:rFonts w:ascii="Arial" w:cs="Arial" w:eastAsia="Arial" w:hAnsi="Arial"/>
          <w:sz w:val="19"/>
          <w:szCs w:val="19"/>
          <w:color w:val="0000FF"/>
        </w:rPr>
        <w:t xml:space="preserve"> </w:t>
      </w:r>
      <w:r>
        <w:rPr>
          <w:rFonts w:ascii="Arial" w:cs="Arial" w:eastAsia="Arial" w:hAnsi="Arial"/>
          <w:sz w:val="19"/>
          <w:szCs w:val="19"/>
          <w:color w:val="000000"/>
        </w:rPr>
        <w:t>be</w:t>
      </w:r>
      <w:r>
        <w:rPr>
          <w:rFonts w:ascii="Arial" w:cs="Arial" w:eastAsia="Arial" w:hAnsi="Arial"/>
          <w:sz w:val="19"/>
          <w:szCs w:val="19"/>
          <w:color w:val="0000FF"/>
        </w:rPr>
        <w:t xml:space="preserve"> </w:t>
      </w:r>
      <w:r>
        <w:rPr>
          <w:rFonts w:ascii="Arial" w:cs="Arial" w:eastAsia="Arial" w:hAnsi="Arial"/>
          <w:sz w:val="19"/>
          <w:szCs w:val="19"/>
          <w:color w:val="FF0000"/>
        </w:rPr>
        <w:t>no longer</w:t>
      </w:r>
      <w:r>
        <w:rPr>
          <w:rFonts w:ascii="Arial" w:cs="Arial" w:eastAsia="Arial" w:hAnsi="Arial"/>
          <w:sz w:val="19"/>
          <w:szCs w:val="19"/>
          <w:color w:val="0000FF"/>
        </w:rPr>
        <w:t xml:space="preserve"> </w:t>
      </w:r>
      <w:r>
        <w:rPr>
          <w:rFonts w:ascii="Arial" w:cs="Arial" w:eastAsia="Arial" w:hAnsi="Arial"/>
          <w:sz w:val="19"/>
          <w:szCs w:val="19"/>
          <w:color w:val="000000"/>
        </w:rPr>
        <w:t>representative, then the Administrative Agent may modify the definition of “Interest Period” (or</w:t>
      </w:r>
      <w:r>
        <w:rPr>
          <w:rFonts w:ascii="Arial" w:cs="Arial" w:eastAsia="Arial" w:hAnsi="Arial"/>
          <w:sz w:val="19"/>
          <w:szCs w:val="19"/>
          <w:color w:val="0000FF"/>
        </w:rPr>
        <w:t xml:space="preserve"> </w:t>
      </w:r>
      <w:r>
        <w:rPr>
          <w:rFonts w:ascii="Arial" w:cs="Arial" w:eastAsia="Arial" w:hAnsi="Arial"/>
          <w:sz w:val="19"/>
          <w:szCs w:val="19"/>
          <w:color w:val="000000"/>
        </w:rPr>
        <w:t>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-2542540</wp:posOffset>
            </wp:positionV>
            <wp:extent cx="56165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61657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-570865</wp:posOffset>
            </wp:positionV>
            <wp:extent cx="518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93" w:name="page94"/>
    <w:bookmarkEnd w:id="93"/>
    <w:p>
      <w:pPr>
        <w:spacing w:after="0" w:line="39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0000FF"/>
        </w:rPr>
        <w:t>not</w:t>
      </w:r>
      <w:r>
        <w:rPr>
          <w:rFonts w:ascii="Arial" w:cs="Arial" w:eastAsia="Arial" w:hAnsi="Arial"/>
          <w:sz w:val="18"/>
          <w:szCs w:val="18"/>
          <w:color w:val="0000FF"/>
        </w:rPr>
        <w:t xml:space="preserve"> </w:t>
      </w:r>
      <w:r>
        <w:rPr>
          <w:rFonts w:ascii="Arial" w:cs="Arial" w:eastAsia="Arial" w:hAnsi="Arial"/>
          <w:sz w:val="18"/>
          <w:szCs w:val="18"/>
          <w:color w:val="000000"/>
        </w:rPr>
        <w:t>or will</w:t>
      </w:r>
      <w:r>
        <w:rPr>
          <w:rFonts w:ascii="Arial" w:cs="Arial" w:eastAsia="Arial" w:hAnsi="Arial"/>
          <w:sz w:val="18"/>
          <w:szCs w:val="18"/>
          <w:color w:val="0000FF"/>
        </w:rPr>
        <w:t xml:space="preserve"> </w:t>
      </w:r>
      <w:r>
        <w:rPr>
          <w:rFonts w:ascii="Arial" w:cs="Arial" w:eastAsia="Arial" w:hAnsi="Arial"/>
          <w:sz w:val="18"/>
          <w:szCs w:val="18"/>
          <w:color w:val="FF0000"/>
          <w:strike w:val="1"/>
        </w:rPr>
        <w:t>no longer</w:t>
      </w:r>
      <w:r>
        <w:rPr>
          <w:rFonts w:ascii="Arial" w:cs="Arial" w:eastAsia="Arial" w:hAnsi="Arial"/>
          <w:sz w:val="18"/>
          <w:szCs w:val="18"/>
          <w:u w:val="single" w:color="auto"/>
          <w:color w:val="0000FF"/>
        </w:rPr>
        <w:t>not</w:t>
      </w:r>
      <w:r>
        <w:rPr>
          <w:rFonts w:ascii="Arial" w:cs="Arial" w:eastAsia="Arial" w:hAnsi="Arial"/>
          <w:sz w:val="18"/>
          <w:szCs w:val="18"/>
          <w:color w:val="0000FF"/>
        </w:rPr>
        <w:t xml:space="preserve"> </w:t>
      </w:r>
      <w:r>
        <w:rPr>
          <w:rFonts w:ascii="Arial" w:cs="Arial" w:eastAsia="Arial" w:hAnsi="Arial"/>
          <w:sz w:val="18"/>
          <w:szCs w:val="18"/>
          <w:color w:val="000000"/>
        </w:rPr>
        <w:t>be representative for a Benchmark (including a Benchmark Replacement), then the Administrative</w:t>
      </w:r>
    </w:p>
    <w:p>
      <w:pPr>
        <w:spacing w:after="0" w:line="12" w:lineRule="exact"/>
        <w:rPr>
          <w:sz w:val="20"/>
          <w:szCs w:val="20"/>
          <w:color w:val="auto"/>
        </w:rPr>
      </w:pPr>
    </w:p>
    <w:p>
      <w:pPr>
        <w:ind w:left="640"/>
        <w:spacing w:after="0" w:line="220" w:lineRule="auto"/>
        <w:rPr>
          <w:sz w:val="20"/>
          <w:szCs w:val="20"/>
          <w:color w:val="auto"/>
        </w:rPr>
      </w:pPr>
      <w:r>
        <w:rPr>
          <w:rFonts w:ascii="Arial" w:cs="Arial" w:eastAsia="Arial" w:hAnsi="Arial"/>
          <w:sz w:val="20"/>
          <w:szCs w:val="20"/>
          <w:color w:val="auto"/>
        </w:rPr>
        <w:t>Agent may modify the definition of “Interest Period” (or any similar or analogous definition) for all Benchmark settings at or after such time to reinstate such previously removed tenor.</w:t>
      </w:r>
    </w:p>
    <w:p>
      <w:pPr>
        <w:spacing w:after="0" w:line="170" w:lineRule="exact"/>
        <w:rPr>
          <w:sz w:val="20"/>
          <w:szCs w:val="20"/>
          <w:color w:val="auto"/>
        </w:rPr>
      </w:pPr>
    </w:p>
    <w:p>
      <w:pPr>
        <w:jc w:val="both"/>
        <w:ind w:left="640" w:firstLine="652"/>
        <w:spacing w:after="0" w:line="237" w:lineRule="auto"/>
        <w:tabs>
          <w:tab w:leader="none" w:pos="193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Upon the Borrower’s receipt of notice of the commencement of a Benchmark Unavailability Period, (A) the Borrower may revoke any pending request for a borrowing of, conversion to or continuation of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to be made, converted or continued during any Benchmark Unavailability Period and, failing that, the Borrower will be deemed to have converted any such request into a request for a borrowing of or conversion to ABR Loans and (B) any outstanding affected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will be deemed to have been converted to ABR Loans at the end of the applicable Interest Period. During any Benchmark Unavailability Period or at any time that a tenor for the then-current Benchmark is not an Available Tenor, the component of the ABR based upon the then-current Benchmark or such tenor for such Benchmark, as applicable, will not be used in any determination of the ABR.</w:t>
      </w:r>
    </w:p>
    <w:p>
      <w:pPr>
        <w:spacing w:after="0" w:line="160" w:lineRule="exact"/>
        <w:rPr>
          <w:rFonts w:ascii="Arial" w:cs="Arial" w:eastAsia="Arial" w:hAnsi="Arial"/>
          <w:sz w:val="18"/>
          <w:szCs w:val="18"/>
          <w:color w:val="auto"/>
        </w:rPr>
      </w:pPr>
    </w:p>
    <w:p>
      <w:pPr>
        <w:jc w:val="both"/>
        <w:ind w:left="640" w:firstLine="652"/>
        <w:spacing w:after="0" w:line="223" w:lineRule="auto"/>
        <w:tabs>
          <w:tab w:leader="none" w:pos="1771" w:val="left"/>
        </w:tabs>
        <w:numPr>
          <w:ilvl w:val="0"/>
          <w:numId w:val="75"/>
        </w:numPr>
        <w:rPr>
          <w:rFonts w:ascii="Arial" w:cs="Arial" w:eastAsia="Arial" w:hAnsi="Arial"/>
          <w:sz w:val="19"/>
          <w:szCs w:val="19"/>
          <w:color w:val="FF0000"/>
          <w:strike w:val="1"/>
        </w:rPr>
      </w:pPr>
      <w:r>
        <w:rPr>
          <w:rFonts w:ascii="Arial" w:cs="Arial" w:eastAsia="Arial" w:hAnsi="Arial"/>
          <w:sz w:val="19"/>
          <w:szCs w:val="19"/>
          <w:u w:val="single" w:color="auto"/>
          <w:color w:val="FF0000"/>
          <w:strike w:val="1"/>
        </w:rPr>
        <w:t>London Interbank Offered Rate Benchmark Transition Event</w:t>
      </w:r>
      <w:r>
        <w:rPr>
          <w:rFonts w:ascii="Arial" w:cs="Arial" w:eastAsia="Arial" w:hAnsi="Arial"/>
          <w:sz w:val="19"/>
          <w:szCs w:val="19"/>
          <w:color w:val="FF0000"/>
          <w:strike w:val="1"/>
        </w:rPr>
        <w:t>. On March 5, 2021, the IBA, the administrator of</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 xml:space="preserve">the London interbank offered rate, and the FCA, the regulatory supervisor of the IBA, made the Announcements that the final publication or representativeness date for Dollars for (I) 1-week and 2-month London interbank offered rate tenor settings will be December 31, 2021 and (II) overnight, 1-month, 3-month, 6-month and 12-month London interbank offered rate tenor settings will be June 30, 2023. No successor administrator for the IBA was identified in such Announcements. The parties hereto agree and acknowledge that the Announcements resulted in the occurrence of a Benchmark Transition Event with respect to the London interbank offered rate pursuant to the terms of this Agreement and that any obligation of the Administrative Agent to notify any parties of such Benchmark Transition Event pursuant to clause (iii) of this </w:t>
      </w:r>
      <w:r>
        <w:rPr>
          <w:rFonts w:ascii="Arial" w:cs="Arial" w:eastAsia="Arial" w:hAnsi="Arial"/>
          <w:sz w:val="19"/>
          <w:szCs w:val="19"/>
          <w:u w:val="single" w:color="auto"/>
          <w:color w:val="FF0000"/>
          <w:strike w:val="1"/>
        </w:rPr>
        <w:t>Section</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 xml:space="preserve">2.12(c) </w:t>
      </w:r>
      <w:r>
        <w:rPr>
          <w:rFonts w:ascii="Arial" w:cs="Arial" w:eastAsia="Arial" w:hAnsi="Arial"/>
          <w:sz w:val="19"/>
          <w:szCs w:val="19"/>
          <w:color w:val="FF0000"/>
          <w:strike w:val="1"/>
        </w:rPr>
        <w:t>shall be deemed satisfied.</w:t>
      </w:r>
    </w:p>
    <w:p>
      <w:pPr>
        <w:spacing w:after="0" w:line="17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Pro Rata Treatment and Payments; Notes</w:t>
      </w:r>
      <w:r>
        <w:rPr>
          <w:rFonts w:ascii="Arial" w:cs="Arial" w:eastAsia="Arial" w:hAnsi="Arial"/>
          <w:sz w:val="16"/>
          <w:szCs w:val="16"/>
          <w:color w:val="auto"/>
        </w:rPr>
        <w:t>.</w:t>
      </w:r>
    </w:p>
    <w:p>
      <w:pPr>
        <w:spacing w:after="0" w:line="189" w:lineRule="exact"/>
        <w:rPr>
          <w:sz w:val="20"/>
          <w:szCs w:val="20"/>
          <w:color w:val="auto"/>
        </w:rPr>
      </w:pPr>
    </w:p>
    <w:p>
      <w:pPr>
        <w:jc w:val="both"/>
        <w:ind w:left="-660" w:firstLine="1304"/>
        <w:spacing w:after="0" w:line="252" w:lineRule="auto"/>
        <w:tabs>
          <w:tab w:leader="none" w:pos="11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Each borrowing by the Borrower from the Lenders hereunder, each payment by the Borrower on account of any Commitment Fee and any reduction of the Commitments of the Revolving Loan Lenders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Percentages of the Revolving Loan Lenders (excluding any Defaulting Lenders in connection with the payment of any Commitment Fee).</w:t>
      </w:r>
    </w:p>
    <w:p>
      <w:pPr>
        <w:spacing w:after="0" w:line="157" w:lineRule="exact"/>
        <w:rPr>
          <w:rFonts w:ascii="Arial" w:cs="Arial" w:eastAsia="Arial" w:hAnsi="Arial"/>
          <w:sz w:val="18"/>
          <w:szCs w:val="18"/>
          <w:color w:val="auto"/>
        </w:rPr>
      </w:pPr>
    </w:p>
    <w:p>
      <w:pPr>
        <w:jc w:val="both"/>
        <w:ind w:left="-660" w:firstLine="1304"/>
        <w:spacing w:after="0" w:line="239" w:lineRule="auto"/>
        <w:tabs>
          <w:tab w:leader="none" w:pos="11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payment (including each prepayment) by the Borrower on account of principal of and interest on the Revolving Loans shall be made pro rata according to the respective outstanding principal amounts of the Revolving Loans then held by the Lenders. Each payment in respect of Reimbursement Obligations in respect of any Letter of Credit shall be made to the Issuing Lender that issued such Letters of Credit. Each payment (including each prepayment) by the Borrower on account of principal of and interest on the Term Loans shall be made pro rata according to the respective outstanding principal amounts of the Term Loans then held by the Lenders.</w:t>
      </w:r>
    </w:p>
    <w:p>
      <w:pPr>
        <w:spacing w:after="0" w:line="170" w:lineRule="exact"/>
        <w:rPr>
          <w:rFonts w:ascii="Arial" w:cs="Arial" w:eastAsia="Arial" w:hAnsi="Arial"/>
          <w:sz w:val="18"/>
          <w:szCs w:val="18"/>
          <w:color w:val="auto"/>
        </w:rPr>
      </w:pPr>
    </w:p>
    <w:p>
      <w:pPr>
        <w:jc w:val="both"/>
        <w:ind w:left="-660" w:firstLine="1304"/>
        <w:spacing w:after="0" w:line="223" w:lineRule="auto"/>
        <w:tabs>
          <w:tab w:leader="none" w:pos="1127"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herein, all payments (including prepayments) to be made by the Borrower hereunder, whether on account of principal, Reimbursement Obligations, interest, fees or otherwise, shall be made without setoff or counterclaim and shall be made prior to 1:00 </w:t>
      </w:r>
      <w:r>
        <w:rPr>
          <w:rFonts w:ascii="Arial" w:cs="Arial" w:eastAsia="Arial" w:hAnsi="Arial"/>
          <w:sz w:val="20"/>
          <w:szCs w:val="20"/>
          <w:color w:val="FF0000"/>
          <w:strike w:val="1"/>
        </w:rPr>
        <w:t>P</w:t>
      </w:r>
      <w:r>
        <w:rPr>
          <w:rFonts w:ascii="Arial" w:cs="Arial" w:eastAsia="Arial" w:hAnsi="Arial"/>
          <w:sz w:val="20"/>
          <w:szCs w:val="20"/>
          <w:u w:val="single" w:color="auto"/>
          <w:color w:val="0000FF"/>
        </w:rPr>
        <w:t>p</w:t>
      </w:r>
      <w:r>
        <w:rPr>
          <w:rFonts w:ascii="Arial" w:cs="Arial" w:eastAsia="Arial" w:hAnsi="Arial"/>
          <w:sz w:val="20"/>
          <w:szCs w:val="20"/>
          <w:color w:val="auto"/>
        </w:rPr>
        <w:t>.</w:t>
      </w:r>
      <w:r>
        <w:rPr>
          <w:rFonts w:ascii="Arial" w:cs="Arial" w:eastAsia="Arial" w:hAnsi="Arial"/>
          <w:sz w:val="20"/>
          <w:szCs w:val="20"/>
          <w:color w:val="FF0000"/>
          <w:strike w:val="1"/>
        </w:rPr>
        <w:t>M</w:t>
      </w:r>
      <w:r>
        <w:rPr>
          <w:rFonts w:ascii="Arial" w:cs="Arial" w:eastAsia="Arial" w:hAnsi="Arial"/>
          <w:sz w:val="20"/>
          <w:szCs w:val="20"/>
          <w:u w:val="single" w:color="auto"/>
          <w:color w:val="0000FF"/>
        </w:rPr>
        <w:t>m</w:t>
      </w:r>
      <w:r>
        <w:rPr>
          <w:rFonts w:ascii="Arial" w:cs="Arial" w:eastAsia="Arial" w:hAnsi="Arial"/>
          <w:sz w:val="20"/>
          <w:szCs w:val="20"/>
          <w:color w:val="auto"/>
        </w:rPr>
        <w:t>. on the due date thereof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-918845</wp:posOffset>
            </wp:positionV>
            <wp:extent cx="4756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475615"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-541655</wp:posOffset>
            </wp:positionV>
            <wp:extent cx="4502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94" w:name="page95"/>
    <w:bookmarkEnd w:id="94"/>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for the account of the Lenders or the Issuing Lender, as applicable, at the Funding Office, in Dollars and in</w:t>
      </w:r>
    </w:p>
    <w:p>
      <w:pPr>
        <w:spacing w:after="0" w:line="226" w:lineRule="auto"/>
        <w:rPr>
          <w:sz w:val="20"/>
          <w:szCs w:val="20"/>
          <w:color w:val="auto"/>
        </w:rPr>
      </w:pPr>
      <w:r>
        <w:rPr>
          <w:rFonts w:ascii="Arial" w:cs="Arial" w:eastAsia="Arial" w:hAnsi="Arial"/>
          <w:sz w:val="18"/>
          <w:szCs w:val="18"/>
          <w:color w:val="auto"/>
        </w:rPr>
        <w:t xml:space="preserve">immediately available funds. The Administrative Agent shall distribute such payments to the Lenders promptly upon receipt in like funds as received. If any payment hereunder (other than payments on the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becomes due and payable on a day other than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Business Day, such payment shall be extended to the next succeeding Business Day. If any payment on a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 becomes due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payable on a day other than a Business Day, the maturity thereof shall be extended to the next succeeding Business Day unless the result of such extension would be to extend such payment into another calendar month, in which event such payment shall be made on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immediately preceding Business Day. In the case of any extension of any payment of principal pursuant to the preceding two sentences, interest thereon shall be payable at the then applicable rate during such extension.</w:t>
      </w:r>
    </w:p>
    <w:p>
      <w:pPr>
        <w:spacing w:after="0" w:line="156" w:lineRule="exact"/>
        <w:rPr>
          <w:sz w:val="20"/>
          <w:szCs w:val="20"/>
          <w:color w:val="auto"/>
        </w:rPr>
      </w:pPr>
    </w:p>
    <w:p>
      <w:pPr>
        <w:jc w:val="both"/>
        <w:ind w:firstLine="1304"/>
        <w:spacing w:after="0" w:line="221" w:lineRule="auto"/>
        <w:tabs>
          <w:tab w:leader="none" w:pos="1823" w:val="left"/>
        </w:tabs>
        <w:numPr>
          <w:ilvl w:val="0"/>
          <w:numId w:val="77"/>
        </w:numPr>
        <w:rPr>
          <w:rFonts w:ascii="Arial" w:cs="Arial" w:eastAsia="Arial" w:hAnsi="Arial"/>
          <w:sz w:val="19"/>
          <w:szCs w:val="19"/>
          <w:color w:val="auto"/>
        </w:rPr>
      </w:pPr>
      <w:r>
        <w:rPr>
          <w:rFonts w:ascii="Arial" w:cs="Arial" w:eastAsia="Arial" w:hAnsi="Arial"/>
          <w:sz w:val="19"/>
          <w:szCs w:val="19"/>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Borrower shall repay such amount to the Administrative Agent, on demand, together with interest thereon, for each day from the date such amount was disbursed to the Borrower until the date such amount is repaid to the Administrative Agent, at the interest rate applicable at the time to the Loans comprising such borrowing.</w:t>
      </w:r>
    </w:p>
    <w:p>
      <w:pPr>
        <w:spacing w:after="0" w:line="179" w:lineRule="exact"/>
        <w:rPr>
          <w:rFonts w:ascii="Arial" w:cs="Arial" w:eastAsia="Arial" w:hAnsi="Arial"/>
          <w:sz w:val="19"/>
          <w:szCs w:val="19"/>
          <w:color w:val="auto"/>
        </w:rPr>
      </w:pPr>
    </w:p>
    <w:p>
      <w:pPr>
        <w:jc w:val="both"/>
        <w:ind w:firstLine="1304"/>
        <w:spacing w:after="0" w:line="235" w:lineRule="auto"/>
        <w:tabs>
          <w:tab w:leader="none" w:pos="1751"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74" w:lineRule="exact"/>
        <w:rPr>
          <w:rFonts w:ascii="Arial" w:cs="Arial" w:eastAsia="Arial" w:hAnsi="Arial"/>
          <w:sz w:val="18"/>
          <w:szCs w:val="18"/>
          <w:color w:val="auto"/>
        </w:rPr>
      </w:pPr>
    </w:p>
    <w:p>
      <w:pPr>
        <w:jc w:val="both"/>
        <w:ind w:firstLine="1304"/>
        <w:spacing w:after="0" w:line="246" w:lineRule="auto"/>
        <w:tabs>
          <w:tab w:leader="none" w:pos="176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Borrower agrees that, upon the request to the Administrative Agent by any Lender, the Borrower will promptly execute and deliver to such Lender a promissory note (a “</w:t>
      </w:r>
      <w:r>
        <w:rPr>
          <w:rFonts w:ascii="Arial" w:cs="Arial" w:eastAsia="Arial" w:hAnsi="Arial"/>
          <w:sz w:val="18"/>
          <w:szCs w:val="18"/>
          <w:u w:val="single" w:color="auto"/>
          <w:color w:val="auto"/>
        </w:rPr>
        <w:t>Revolving Loan Note</w:t>
      </w:r>
      <w:r>
        <w:rPr>
          <w:rFonts w:ascii="Arial" w:cs="Arial" w:eastAsia="Arial" w:hAnsi="Arial"/>
          <w:sz w:val="18"/>
          <w:szCs w:val="18"/>
          <w:color w:val="auto"/>
        </w:rPr>
        <w:t xml:space="preserve">”) of the Borrower evidencing any Revolving Loans of such Lender,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with appropriate insertions as to date and principal amount; </w:t>
      </w:r>
      <w:r>
        <w:rPr>
          <w:rFonts w:ascii="Arial" w:cs="Arial" w:eastAsia="Arial" w:hAnsi="Arial"/>
          <w:sz w:val="18"/>
          <w:szCs w:val="18"/>
          <w:u w:val="single" w:color="auto"/>
          <w:color w:val="auto"/>
        </w:rPr>
        <w:t>provided</w:t>
      </w:r>
      <w:r>
        <w:rPr>
          <w:rFonts w:ascii="Arial" w:cs="Arial" w:eastAsia="Arial" w:hAnsi="Arial"/>
          <w:sz w:val="18"/>
          <w:szCs w:val="18"/>
          <w:color w:val="auto"/>
        </w:rPr>
        <w:t>, that delivery of Revolving Loan Notes shall not be a condition precedent to the Effective Date or the occurrence or making of Loans on the Effective Date.</w:t>
      </w:r>
    </w:p>
    <w:p>
      <w:pPr>
        <w:spacing w:after="0" w:line="163" w:lineRule="exact"/>
        <w:rPr>
          <w:rFonts w:ascii="Arial" w:cs="Arial" w:eastAsia="Arial" w:hAnsi="Arial"/>
          <w:sz w:val="18"/>
          <w:szCs w:val="18"/>
          <w:color w:val="auto"/>
        </w:rPr>
      </w:pPr>
    </w:p>
    <w:p>
      <w:pPr>
        <w:jc w:val="both"/>
        <w:ind w:firstLine="1304"/>
        <w:spacing w:after="0" w:line="223" w:lineRule="auto"/>
        <w:tabs>
          <w:tab w:leader="none" w:pos="1856"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The Swingline Lender’s Swingline Loans shall be evidenced by a promissory note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Swingline Note</w:t>
      </w:r>
      <w:r>
        <w:rPr>
          <w:rFonts w:ascii="Arial" w:cs="Arial" w:eastAsia="Arial" w:hAnsi="Arial"/>
          <w:sz w:val="20"/>
          <w:szCs w:val="20"/>
          <w:color w:val="auto"/>
        </w:rPr>
        <w:t>”) which note shall be (i) payable to the order of the Swingline Lender, (ii) in the amount of the Swingline Commitment, (iii) dated the Effective Date and (iv) otherwise appropriately completed.</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90" w:lineRule="exact"/>
        <w:rPr>
          <w:sz w:val="20"/>
          <w:szCs w:val="20"/>
          <w:color w:val="auto"/>
        </w:rPr>
      </w:pPr>
    </w:p>
    <w:p>
      <w:pPr>
        <w:jc w:val="both"/>
        <w:ind w:firstLine="1304"/>
        <w:spacing w:after="0" w:line="223" w:lineRule="auto"/>
        <w:tabs>
          <w:tab w:leader="none" w:pos="1788"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Borrower agrees that, upon the request to the Administrative Agent by any Lender, the Borrower will promptly execute and deliver to such Lender a promissory note (a “</w:t>
      </w:r>
      <w:r>
        <w:rPr>
          <w:rFonts w:ascii="Arial" w:cs="Arial" w:eastAsia="Arial" w:hAnsi="Arial"/>
          <w:sz w:val="20"/>
          <w:szCs w:val="20"/>
          <w:u w:val="single" w:color="auto"/>
          <w:color w:val="auto"/>
        </w:rPr>
        <w:t>Term Loan Note</w:t>
      </w:r>
      <w:r>
        <w:rPr>
          <w:rFonts w:ascii="Arial" w:cs="Arial" w:eastAsia="Arial" w:hAnsi="Arial"/>
          <w:sz w:val="20"/>
          <w:szCs w:val="20"/>
          <w:color w:val="auto"/>
        </w:rPr>
        <w:t xml:space="preserve">”) of the Borrower evidencing any Term Loans of such Lender, substantially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 with appropriate insertions as to date and principal amount.</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189" w:lineRule="exact"/>
        <w:rPr>
          <w:sz w:val="20"/>
          <w:szCs w:val="20"/>
          <w:color w:val="auto"/>
        </w:rPr>
      </w:pPr>
    </w:p>
    <w:p>
      <w:pPr>
        <w:ind w:left="1720" w:hanging="416"/>
        <w:spacing w:after="0"/>
        <w:tabs>
          <w:tab w:leader="none" w:pos="17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any Change of Law shall:</w:t>
      </w:r>
    </w:p>
    <w:p>
      <w:pPr>
        <w:spacing w:after="0" w:line="175" w:lineRule="exact"/>
        <w:rPr>
          <w:rFonts w:ascii="Arial" w:cs="Arial" w:eastAsia="Arial" w:hAnsi="Arial"/>
          <w:sz w:val="20"/>
          <w:szCs w:val="20"/>
          <w:color w:val="auto"/>
        </w:rPr>
      </w:pPr>
    </w:p>
    <w:p>
      <w:pPr>
        <w:jc w:val="both"/>
        <w:ind w:left="1300" w:firstLine="652"/>
        <w:spacing w:after="0" w:line="220" w:lineRule="auto"/>
        <w:tabs>
          <w:tab w:leader="none" w:pos="2356" w:val="left"/>
        </w:tabs>
        <w:numPr>
          <w:ilvl w:val="1"/>
          <w:numId w:val="79"/>
        </w:numPr>
        <w:rPr>
          <w:rFonts w:ascii="Arial" w:cs="Arial" w:eastAsia="Arial" w:hAnsi="Arial"/>
          <w:sz w:val="20"/>
          <w:szCs w:val="20"/>
          <w:color w:val="auto"/>
        </w:rPr>
      </w:pPr>
      <w:r>
        <w:rPr>
          <w:rFonts w:ascii="Arial" w:cs="Arial" w:eastAsia="Arial" w:hAnsi="Arial"/>
          <w:sz w:val="20"/>
          <w:szCs w:val="20"/>
          <w:color w:val="auto"/>
        </w:rPr>
        <w:t xml:space="preserve">subject any Lender to any tax of any kind whatsoever with respect to this Agreement, any Letter of Credit, any Application or any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 made by it, or change the basis of taxation of payments to such Lender in respect thereof (except for Non-Excluded Taxes and Other Taxes covered by Section 2.15 and net income taxes and franchise taxes imposed in lieu of net income taxes);</w:t>
      </w:r>
    </w:p>
    <w:p>
      <w:pPr>
        <w:spacing w:after="0" w:line="169" w:lineRule="exact"/>
        <w:rPr>
          <w:rFonts w:ascii="Arial" w:cs="Arial" w:eastAsia="Arial" w:hAnsi="Arial"/>
          <w:sz w:val="20"/>
          <w:szCs w:val="20"/>
          <w:color w:val="auto"/>
        </w:rPr>
      </w:pPr>
    </w:p>
    <w:p>
      <w:pPr>
        <w:jc w:val="both"/>
        <w:ind w:left="1300" w:firstLine="652"/>
        <w:spacing w:after="0" w:line="226" w:lineRule="auto"/>
        <w:tabs>
          <w:tab w:leader="none" w:pos="2461"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shall impose, modify or deem applicable any reserve </w:t>
      </w:r>
      <w:r>
        <w:rPr>
          <w:rFonts w:ascii="Arial" w:cs="Arial" w:eastAsia="Arial" w:hAnsi="Arial"/>
          <w:sz w:val="19"/>
          <w:szCs w:val="19"/>
          <w:u w:val="single" w:color="auto"/>
          <w:color w:val="0000FF"/>
        </w:rPr>
        <w:t>(including pursuant to regulations issued from time to</w:t>
      </w:r>
      <w:r>
        <w:rPr>
          <w:rFonts w:ascii="Arial" w:cs="Arial" w:eastAsia="Arial" w:hAnsi="Arial"/>
          <w:sz w:val="19"/>
          <w:szCs w:val="19"/>
          <w:color w:val="auto"/>
        </w:rPr>
        <w:t xml:space="preserve"> </w:t>
      </w:r>
      <w:r>
        <w:rPr>
          <w:rFonts w:ascii="Arial" w:cs="Arial" w:eastAsia="Arial" w:hAnsi="Arial"/>
          <w:sz w:val="19"/>
          <w:szCs w:val="19"/>
          <w:u w:val="single" w:color="auto"/>
          <w:color w:val="0000FF"/>
        </w:rPr>
        <w:t xml:space="preserve">time by the Board for </w:t>
      </w:r>
      <w:r>
        <w:rPr>
          <w:rFonts w:ascii="Arial" w:cs="Arial" w:eastAsia="Arial" w:hAnsi="Arial"/>
          <w:sz w:val="19"/>
          <w:szCs w:val="19"/>
          <w:u w:val="single" w:color="auto"/>
          <w:color w:val="00C000"/>
        </w:rPr>
        <w:t>determining the maximum reserve requirement (including</w:t>
      </w:r>
      <w:r>
        <w:rPr>
          <w:rFonts w:ascii="Arial" w:cs="Arial" w:eastAsia="Arial" w:hAnsi="Arial"/>
          <w:sz w:val="19"/>
          <w:szCs w:val="19"/>
          <w:u w:val="single" w:color="auto"/>
          <w:color w:val="0000FF"/>
        </w:rPr>
        <w:t xml:space="preserve"> any emergency, special, supplemental or other marginal reserve requirement) with respect to eurocurrency funding (currently referred to as “Eurocurrency liabilities” </w:t>
      </w:r>
      <w:r>
        <w:rPr>
          <w:rFonts w:ascii="Arial" w:cs="Arial" w:eastAsia="Arial" w:hAnsi="Arial"/>
          <w:sz w:val="19"/>
          <w:szCs w:val="19"/>
          <w:u w:val="single" w:color="auto"/>
          <w:color w:val="00C000"/>
        </w:rPr>
        <w:t>in Regulation D of the Board</w:t>
      </w:r>
      <w:r>
        <w:rPr>
          <w:rFonts w:ascii="Arial" w:cs="Arial" w:eastAsia="Arial" w:hAnsi="Arial"/>
          <w:sz w:val="19"/>
          <w:szCs w:val="19"/>
          <w:u w:val="single" w:color="auto"/>
          <w:color w:val="0000FF"/>
        </w:rPr>
        <w:t>, as amended and in effect from time to time))</w:t>
      </w:r>
      <w:r>
        <w:rPr>
          <w:rFonts w:ascii="Arial" w:cs="Arial" w:eastAsia="Arial" w:hAnsi="Arial"/>
          <w:sz w:val="19"/>
          <w:szCs w:val="19"/>
          <w:color w:val="000000"/>
        </w:rPr>
        <w:t>, special deposit, compulsory loan, insurance</w:t>
      </w:r>
      <w:r>
        <w:rPr>
          <w:rFonts w:ascii="Arial" w:cs="Arial" w:eastAsia="Arial" w:hAnsi="Arial"/>
          <w:sz w:val="19"/>
          <w:szCs w:val="19"/>
          <w:color w:val="00C000"/>
        </w:rPr>
        <w:t xml:space="preserve"> </w:t>
      </w:r>
      <w:r>
        <w:rPr>
          <w:rFonts w:ascii="Arial" w:cs="Arial" w:eastAsia="Arial" w:hAnsi="Arial"/>
          <w:sz w:val="19"/>
          <w:szCs w:val="19"/>
          <w:color w:val="000000"/>
        </w:rPr>
        <w:t xml:space="preserve">charge or similar requirement against assets of, deposits with or for the account of, or credit extended or participated in by, any Lender </w:t>
      </w:r>
      <w:r>
        <w:rPr>
          <w:rFonts w:ascii="Arial" w:cs="Arial" w:eastAsia="Arial" w:hAnsi="Arial"/>
          <w:sz w:val="19"/>
          <w:szCs w:val="19"/>
          <w:color w:val="FF0000"/>
          <w:strike w:val="1"/>
        </w:rPr>
        <w:t>(except any reserve requirement reflected in the Eurodollar Rate)</w:t>
      </w:r>
      <w:r>
        <w:rPr>
          <w:rFonts w:ascii="Arial" w:cs="Arial" w:eastAsia="Arial" w:hAnsi="Arial"/>
          <w:sz w:val="19"/>
          <w:szCs w:val="19"/>
          <w:color w:val="000000"/>
        </w:rPr>
        <w:t>; or</w:t>
      </w:r>
    </w:p>
    <w:p>
      <w:pPr>
        <w:spacing w:after="0" w:line="169" w:lineRule="exact"/>
        <w:rPr>
          <w:rFonts w:ascii="Arial" w:cs="Arial" w:eastAsia="Arial" w:hAnsi="Arial"/>
          <w:sz w:val="19"/>
          <w:szCs w:val="19"/>
          <w:color w:val="auto"/>
        </w:rPr>
      </w:pPr>
    </w:p>
    <w:p>
      <w:pPr>
        <w:ind w:left="1300" w:firstLine="652"/>
        <w:spacing w:after="0" w:line="285" w:lineRule="auto"/>
        <w:tabs>
          <w:tab w:leader="none" w:pos="2483"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shall impose on any Lender </w:t>
      </w:r>
      <w:r>
        <w:rPr>
          <w:rFonts w:ascii="Arial" w:cs="Arial" w:eastAsia="Arial" w:hAnsi="Arial"/>
          <w:sz w:val="18"/>
          <w:szCs w:val="18"/>
          <w:color w:val="FF0000"/>
        </w:rPr>
        <w:t>or the London interbank market</w:t>
      </w:r>
      <w:r>
        <w:rPr>
          <w:rFonts w:ascii="Arial" w:cs="Arial" w:eastAsia="Arial" w:hAnsi="Arial"/>
          <w:sz w:val="18"/>
          <w:szCs w:val="18"/>
          <w:color w:val="auto"/>
        </w:rPr>
        <w:t xml:space="preserve"> any other condition, cost or expense (other than Taxes) affecting this Agreement or the Loans made by such Lender or any Letter of Credit or participation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-232410</wp:posOffset>
            </wp:positionV>
            <wp:extent cx="1663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166370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and the result of any of the foregoing shall be to increase the cost to the Administrative Agent or any such Lender of making, converting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continuing or maintaining any Loan or of maintaining its obligation to make any such Loan, or to increase the cost to the Administrative Agent or such Lender of participating in, issuing or maintaining any Letter of Credit (or of maintaining its obligation to participate in or to</w:t>
      </w:r>
    </w:p>
    <w:p>
      <w:pPr>
        <w:spacing w:after="0" w:line="236" w:lineRule="auto"/>
        <w:rPr>
          <w:sz w:val="20"/>
          <w:szCs w:val="20"/>
          <w:color w:val="auto"/>
        </w:rPr>
      </w:pPr>
      <w:r>
        <w:rPr>
          <w:rFonts w:ascii="Arial" w:cs="Arial" w:eastAsia="Arial" w:hAnsi="Arial"/>
          <w:sz w:val="18"/>
          <w:szCs w:val="18"/>
          <w:color w:val="auto"/>
        </w:rPr>
        <w:t>issue any Letter of Credit), or to reduce the amount of any sum received or receivable by the Administrative Agent or such Lender (whether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principal, interest or any other amount) then, upon request of the Administrative Agent or such Lender, the Borrower will promptly pay to the Administrative Agent or such Lender, as the case may be, within 25 days after its request, such additional amount or amounts as will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compensate the Administrative Agent or such Lender, as the case may be, for such additional costs incurred or reduction suffered.</w:t>
      </w:r>
    </w:p>
    <w:p>
      <w:pPr>
        <w:spacing w:after="0" w:line="184" w:lineRule="exact"/>
        <w:rPr>
          <w:sz w:val="20"/>
          <w:szCs w:val="20"/>
          <w:color w:val="auto"/>
        </w:rPr>
      </w:pPr>
    </w:p>
    <w:p>
      <w:pPr>
        <w:jc w:val="both"/>
        <w:ind w:firstLine="1304"/>
        <w:spacing w:after="0" w:line="235" w:lineRule="auto"/>
        <w:tabs>
          <w:tab w:leader="none" w:pos="18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any Lender shall have determined that any Change of Law affecting such Lender or any lending office of such Lender or such Lender’s holding company, if any, regarding capital or liquidity requirements, has or would have the effect of reducing the rate of return on such Lender’s or such Person’s capital as a consequence of its obligations hereunder or under or in respect of any Letter of Credit to a level below that which such Lender or such Person could have achieved but for such Change of Law (taking into consideration such Lender’s or such Person’s policies with respect to capital adequacy and liquidity), then from time to time, after submission by such Lender to the Borrower (with a copy to the Administrative Agent) of a written request therefor, the Borrower shall pay to such Lender such additional amount or amounts as will compensate such Lender or such Person for such reduction. Notwithstanding anything to the contrary in this Section 2.14, the Borrower shall not be required to compensate a Lender pursuant to this Section 2.14 for any amounts incurred more than 90 days prior to the date that such Lender notifies the Borrower of such Lender’s intention to claim compensation therefor;</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90" w:lineRule="exact"/>
        <w:rPr>
          <w:sz w:val="20"/>
          <w:szCs w:val="20"/>
          <w:color w:val="auto"/>
        </w:rPr>
      </w:pPr>
    </w:p>
    <w:p>
      <w:pPr>
        <w:spacing w:after="0" w:line="23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circumstances giving rise to such claim have a retroactive effect, then such 90-day period shall be extended to include the period of such retroactive effect not to exceed twelve months.</w:t>
      </w:r>
    </w:p>
    <w:p>
      <w:pPr>
        <w:spacing w:after="0" w:line="155" w:lineRule="exact"/>
        <w:rPr>
          <w:sz w:val="20"/>
          <w:szCs w:val="20"/>
          <w:color w:val="auto"/>
        </w:rPr>
      </w:pPr>
    </w:p>
    <w:p>
      <w:pPr>
        <w:jc w:val="both"/>
        <w:ind w:firstLine="1304"/>
        <w:spacing w:after="0" w:line="235" w:lineRule="auto"/>
        <w:tabs>
          <w:tab w:leader="none" w:pos="1754" w:val="left"/>
        </w:tabs>
        <w:numPr>
          <w:ilvl w:val="0"/>
          <w:numId w:val="81"/>
        </w:numPr>
        <w:rPr>
          <w:rFonts w:ascii="Arial" w:cs="Arial" w:eastAsia="Arial" w:hAnsi="Arial"/>
          <w:sz w:val="18"/>
          <w:szCs w:val="18"/>
          <w:color w:val="FF0000"/>
          <w:strike w:val="1"/>
        </w:rPr>
      </w:pPr>
      <w:r>
        <w:rPr>
          <w:rFonts w:ascii="Arial" w:cs="Arial" w:eastAsia="Arial" w:hAnsi="Arial"/>
          <w:sz w:val="18"/>
          <w:szCs w:val="18"/>
          <w:color w:val="FF0000"/>
          <w:strike w:val="1"/>
        </w:rPr>
        <w:t>If any Change of Law shall make it unlawful or impossible for any Lender to make or maintain any Eurodollar Loan, such Lender shall immediately notify the Administrative Agent and the Borrower in writing of such circumstance. Upon receipt of such notice, (i) the Borrower’s right to request the making of, conversion to or a new Interest Period for Eurodollar Loans with respect to such Lender shall be terminated, and (ii) the Borrower shall, at the request of such Lender, either (A) pursuant to Section 2.8, convert any such then outstanding Eurodollar Loans of such Lender into ABR Loans, at the end of the current Interest Period for such Eurodollar Loans or (B) immediately repay or convert any such Eurodollar Loans of such Lender if such Lender shall notify the Borrower that such Lender may not lawfully continue to fund and maintain such Eurodollar Loans. Any conversion or prepayment of Eurodollar Loans made pursuant to the preceding sentence prior to the last day of an Interest Period for such Eurodollar Loans shall be deemed a prepayment thereof for purposes of Section 2.16. After any Lender notifies the Administrative Agent and the Borrower of such a circumstance under this Section 2.14(c) and until such Lender notifies the Administrative Agent and the Borrower that it is no longer unlawful or impossible for such Lender to make or maintain a Eurodollar Loan, all Revolving Loans of such Lender shall be ABR Loans.</w:t>
      </w:r>
    </w:p>
    <w:p>
      <w:pPr>
        <w:spacing w:after="0" w:line="174" w:lineRule="exact"/>
        <w:rPr>
          <w:sz w:val="20"/>
          <w:szCs w:val="20"/>
          <w:color w:val="auto"/>
        </w:rPr>
      </w:pPr>
    </w:p>
    <w:p>
      <w:pPr>
        <w:jc w:val="both"/>
        <w:ind w:firstLine="1304"/>
        <w:spacing w:after="0" w:line="220" w:lineRule="auto"/>
        <w:tabs>
          <w:tab w:leader="none" w:pos="1781" w:val="left"/>
        </w:tabs>
        <w:numPr>
          <w:ilvl w:val="0"/>
          <w:numId w:val="82"/>
        </w:numPr>
        <w:rPr>
          <w:rFonts w:ascii="Arial" w:cs="Arial" w:eastAsia="Arial" w:hAnsi="Arial"/>
          <w:sz w:val="20"/>
          <w:szCs w:val="20"/>
          <w:color w:val="0000FF"/>
        </w:rPr>
      </w:pPr>
      <w:r>
        <w:rPr>
          <w:rFonts w:ascii="Arial" w:cs="Arial" w:eastAsia="Arial" w:hAnsi="Arial"/>
          <w:sz w:val="20"/>
          <w:szCs w:val="20"/>
          <w:color w:val="FF0000"/>
          <w:strike w:val="1"/>
        </w:rPr>
        <w:t>(d)</w:t>
      </w:r>
      <w:r>
        <w:rPr>
          <w:rFonts w:ascii="Arial" w:cs="Arial" w:eastAsia="Arial" w:hAnsi="Arial"/>
          <w:sz w:val="20"/>
          <w:szCs w:val="20"/>
          <w:color w:val="FF0000"/>
        </w:rPr>
        <w:t xml:space="preserve"> </w:t>
      </w:r>
      <w:r>
        <w:rPr>
          <w:rFonts w:ascii="Arial" w:cs="Arial" w:eastAsia="Arial" w:hAnsi="Arial"/>
          <w:sz w:val="20"/>
          <w:szCs w:val="20"/>
          <w:color w:val="000000"/>
        </w:rPr>
        <w:t>A certificate as to any additional amounts payable pursuant to this Section 2.14 submitted by any Lender to the</w:t>
      </w:r>
      <w:r>
        <w:rPr>
          <w:rFonts w:ascii="Arial" w:cs="Arial" w:eastAsia="Arial" w:hAnsi="Arial"/>
          <w:sz w:val="20"/>
          <w:szCs w:val="20"/>
          <w:color w:val="FF0000"/>
        </w:rPr>
        <w:t xml:space="preserve"> </w:t>
      </w:r>
      <w:r>
        <w:rPr>
          <w:rFonts w:ascii="Arial" w:cs="Arial" w:eastAsia="Arial" w:hAnsi="Arial"/>
          <w:sz w:val="20"/>
          <w:szCs w:val="20"/>
          <w:color w:val="000000"/>
        </w:rPr>
        <w:t>Borrower (with a copy to the Administrative Agent) shall be conclusive absent manifest error. The obligations of the Borrower pursuant to this Section 2.14 shall survive for the termination of this Agreement and the payment of the Loans and all other amounts then due and payable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-403860</wp:posOffset>
            </wp:positionV>
            <wp:extent cx="3079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3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1" w:lineRule="auto"/>
        <w:tabs>
          <w:tab w:leader="none" w:pos="1757"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payments made by the Borrower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w:t>
      </w:r>
      <w:r>
        <w:rPr>
          <w:rFonts w:ascii="Arial" w:cs="Arial" w:eastAsia="Arial" w:hAnsi="Arial"/>
          <w:sz w:val="19"/>
          <w:szCs w:val="19"/>
          <w:u w:val="single" w:color="auto"/>
          <w:color w:val="auto"/>
        </w:rPr>
        <w:t>Taxes</w:t>
      </w:r>
      <w:r>
        <w:rPr>
          <w:rFonts w:ascii="Arial" w:cs="Arial" w:eastAsia="Arial" w:hAnsi="Arial"/>
          <w:sz w:val="19"/>
          <w:szCs w:val="19"/>
          <w:color w:val="auto"/>
        </w:rPr>
        <w:t>”), excluding (i)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Taxes that are attributable to such Lender’s failure to comply with the requirements of paragraph (d) of this Section; (iii) withholding Taxes attributable to FATCA; or (iv) Taxes that are United States withholding taxes imposed on amounts payable to such Lender at the time such Lender becomes a party to this Agreement, except to the extent that such Lender’s assignor (if any) was entitled, at the time of assignment, to receive additional amounts from the Borrower with respect to Taxes pursuant to this paragraph. If any such non-excluded Taxes, levies, imposts, duties, charges, fees, deductions or withholdings (“</w:t>
      </w:r>
      <w:r>
        <w:rPr>
          <w:rFonts w:ascii="Arial" w:cs="Arial" w:eastAsia="Arial" w:hAnsi="Arial"/>
          <w:sz w:val="19"/>
          <w:szCs w:val="19"/>
          <w:u w:val="single" w:color="auto"/>
          <w:color w:val="auto"/>
        </w:rPr>
        <w:t>Non-Excluded Taxes</w:t>
      </w:r>
      <w:r>
        <w:rPr>
          <w:rFonts w:ascii="Arial" w:cs="Arial" w:eastAsia="Arial" w:hAnsi="Arial"/>
          <w:sz w:val="19"/>
          <w:szCs w:val="19"/>
          <w:color w:val="auto"/>
        </w:rPr>
        <w:t>”) or Other Taxes are required to be withheld from any amounts payable to the Administrative Agent or any Lender hereunder,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w:t>
      </w:r>
    </w:p>
    <w:p>
      <w:pPr>
        <w:spacing w:after="0" w:line="155" w:lineRule="exact"/>
        <w:rPr>
          <w:rFonts w:ascii="Arial" w:cs="Arial" w:eastAsia="Arial" w:hAnsi="Arial"/>
          <w:sz w:val="19"/>
          <w:szCs w:val="19"/>
          <w:color w:val="auto"/>
        </w:rPr>
      </w:pPr>
    </w:p>
    <w:p>
      <w:pPr>
        <w:ind w:left="1860" w:hanging="556"/>
        <w:spacing w:after="0"/>
        <w:tabs>
          <w:tab w:leader="none" w:pos="18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addition, the Borrower shall pay any Other Taxes to the relevant Governmental Authority in accordance with</w:t>
      </w:r>
    </w:p>
    <w:p>
      <w:pPr>
        <w:spacing w:after="0"/>
        <w:rPr>
          <w:rFonts w:ascii="Arial" w:cs="Arial" w:eastAsia="Arial" w:hAnsi="Arial"/>
          <w:sz w:val="19"/>
          <w:szCs w:val="19"/>
          <w:color w:val="auto"/>
        </w:rPr>
      </w:pPr>
      <w:r>
        <w:rPr>
          <w:rFonts w:ascii="Arial" w:cs="Arial" w:eastAsia="Arial" w:hAnsi="Arial"/>
          <w:sz w:val="20"/>
          <w:szCs w:val="20"/>
          <w:color w:val="auto"/>
        </w:rPr>
        <w:t>applicable law.</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90" w:lineRule="exact"/>
        <w:rPr>
          <w:sz w:val="20"/>
          <w:szCs w:val="20"/>
          <w:color w:val="auto"/>
        </w:rPr>
      </w:pPr>
    </w:p>
    <w:p>
      <w:pPr>
        <w:jc w:val="both"/>
        <w:ind w:left="-1120" w:firstLine="1304"/>
        <w:spacing w:after="0" w:line="235" w:lineRule="auto"/>
        <w:tabs>
          <w:tab w:leader="none" w:pos="6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Borrower hereby agrees to indemnify the Administrative Agent and each Lender for the full amount of Non-Excluded Taxes or Other Taxes (including, without limitation, any Non-Excluded Taxes or Other Taxes imposed on amounts payable under this Section 2.15) paid by the Administrative Agent or such Lender as a result of Borrower’s payments hereunder and any liability (including penalties, interest and expenses) arising therefrom or with respect thereto. A certificate as to the amount of such payment or liability delivered to the Borrower by the Administrative Agent or such Lender shall be conclusive absent manifest error. Payments due under this indemnification shall be made within thirty (30) days of the date the Administrative Agent or such Lender makes demand therefor. Whenever any Non-Excluded Taxes or Other Taxes are payable by the Borrower, as promptly as possible thereafter the Borrower shall send to the Administrative Agent for its own account or for the account of the relevant Lender, as the case may be, a certified copy of any original official receipt received by the Borrower showing payment thereof. If the Borrower fails to pay any Non-Excluded Taxes or Other Taxes when due to the appropriate taxing authority, the Borrower shall indemnify the Administrative Agent and the Lenders for any incremental taxes, interest or penalties that may become payable by the Administrative Agent or any Lender as a result of any such failure.</w:t>
      </w:r>
    </w:p>
    <w:p>
      <w:pPr>
        <w:spacing w:after="0" w:line="160" w:lineRule="exact"/>
        <w:rPr>
          <w:rFonts w:ascii="Arial" w:cs="Arial" w:eastAsia="Arial" w:hAnsi="Arial"/>
          <w:sz w:val="18"/>
          <w:szCs w:val="18"/>
          <w:color w:val="auto"/>
        </w:rPr>
      </w:pPr>
    </w:p>
    <w:p>
      <w:pPr>
        <w:jc w:val="both"/>
        <w:ind w:left="-1120" w:firstLine="1304"/>
        <w:spacing w:after="0" w:line="232" w:lineRule="auto"/>
        <w:tabs>
          <w:tab w:leader="none" w:pos="6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Lender (or Transferee) that is not a “U.S. Person” as defined in Section 7701(a)(30) of the Code (a “</w:t>
      </w:r>
      <w:r>
        <w:rPr>
          <w:rFonts w:ascii="Arial" w:cs="Arial" w:eastAsia="Arial" w:hAnsi="Arial"/>
          <w:sz w:val="18"/>
          <w:szCs w:val="18"/>
          <w:u w:val="single" w:color="auto"/>
          <w:color w:val="auto"/>
        </w:rPr>
        <w:t>Non-U.S.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shall deliver to the Borrower and the Administrative Agent (or, in the case of a Participant, to the Lender from which the related participation shall have been purchased) two copies of either U.S. Internal Revenue Service Form W-8BEN-E or Form W-8ECI, or, in the case of a Non-U.S. Lender claiming exemption from U.S. federal withholding tax under Section 871(h) or 881(c) of the Code with respect to payments of “portfolio interest”, (i) a certificate to the effect that such Non-U.S. Lender is not (A) a “bank” within the meaning of Section 881(c)(3)(A) of the Code, (B) a “10 percent shareholder” of the Borrower within the meaning of Section 881(c)(3)(B) of the Code, or (C) a “controlled foreign corporation” described in Section 881(c)(3)(C) of the Code and (ii) a Form W-8BEN-E, or any subsequent versions thereof or successors thereto, properly completed and duly executed by such Non-U.S. Lender claiming complete exemption from, or a reduced rate of, U.S. federal withholding tax on all payments by the Borrower under this Agreement and the other Loan Documents. Such forms shall be delivered by each Non-U.S. Lender on or before the date it becomes a party to this Agreement (or, in the case of any Participant, on or before the date such Participant purchases the related participation).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Non-U.S. Lender shall not be required to deliver any form pursuant to this paragraph that such Non-U.S. Lender is not legally able to deliver;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any Non-U.S. Lender fails to file forms with the Borrower and the Administrative Agent (or, in the case of a Participant, with the Lender from which the related participation was purchased) on or before the date the Non-U.S. Lender becomes a party to this Agreement (or, in the case of a Participant, on or before the date such Participant purchased the related participation) entitling the Non-U.S. Lender to a complete exemption from United States withholding taxes at such time, such Non-U.S. Lender shall not be entitled to receive any increased payments from the Borrower with respect to United States withholding taxes under paragraph (a) of this Section, except to the extent that the Non-U.S. Lender’s assignor (if any) was entitled, at the time of the assignment to the Non-U.S. Lender, to receive additional amounts from the Borrower with respect to United States withholding taxes.</w:t>
      </w:r>
    </w:p>
    <w:p>
      <w:pPr>
        <w:spacing w:after="0" w:line="174" w:lineRule="exact"/>
        <w:rPr>
          <w:rFonts w:ascii="Arial" w:cs="Arial" w:eastAsia="Arial" w:hAnsi="Arial"/>
          <w:sz w:val="18"/>
          <w:szCs w:val="18"/>
          <w:color w:val="auto"/>
        </w:rPr>
      </w:pPr>
    </w:p>
    <w:p>
      <w:pPr>
        <w:jc w:val="both"/>
        <w:ind w:left="-1120" w:firstLine="1304"/>
        <w:spacing w:after="0" w:line="220" w:lineRule="auto"/>
        <w:tabs>
          <w:tab w:leader="none" w:pos="742" w:val="left"/>
        </w:tabs>
        <w:numPr>
          <w:ilvl w:val="0"/>
          <w:numId w:val="84"/>
        </w:numPr>
        <w:rPr>
          <w:rFonts w:ascii="Arial" w:cs="Arial" w:eastAsia="Arial" w:hAnsi="Arial"/>
          <w:sz w:val="20"/>
          <w:szCs w:val="20"/>
          <w:color w:val="auto"/>
        </w:rPr>
      </w:pPr>
      <w:r>
        <w:rPr>
          <w:rFonts w:ascii="Arial" w:cs="Arial" w:eastAsia="Arial" w:hAnsi="Arial"/>
          <w:sz w:val="20"/>
          <w:szCs w:val="20"/>
          <w:color w:val="auto"/>
        </w:rPr>
        <w:t>A Lender that is entitled to an exemption from or reduction of non-U.S.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w:t>
      </w:r>
    </w:p>
    <w:p>
      <w:pPr>
        <w:sectPr>
          <w:pgSz w:w="11900" w:h="16838" w:orient="portrait"/>
          <w:cols w:equalWidth="0" w:num="1">
            <w:col w:w="10120"/>
          </w:cols>
          <w:pgMar w:left="1440" w:top="1440" w:right="339" w:bottom="1440" w:gutter="0" w:footer="0" w:header="0"/>
        </w:sectPr>
      </w:pPr>
    </w:p>
    <w:bookmarkStart w:id="98" w:name="page99"/>
    <w:bookmarkEnd w:id="98"/>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documentation prescribed by applicable law as will permit such payments to be made without withholding or at a reduced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Lender is legally entitled to complete, execute and deliver such documentation and in such Lender’s judgment such completion, execution or submission would not materially prejudice the legal position of such Lender.</w:t>
      </w:r>
    </w:p>
    <w:p>
      <w:pPr>
        <w:spacing w:after="0" w:line="170" w:lineRule="exact"/>
        <w:rPr>
          <w:sz w:val="20"/>
          <w:szCs w:val="20"/>
          <w:color w:val="auto"/>
        </w:rPr>
      </w:pPr>
    </w:p>
    <w:p>
      <w:pPr>
        <w:jc w:val="both"/>
        <w:ind w:firstLine="1304"/>
        <w:spacing w:after="0" w:line="214" w:lineRule="auto"/>
        <w:tabs>
          <w:tab w:leader="none" w:pos="1719" w:val="left"/>
        </w:tabs>
        <w:numPr>
          <w:ilvl w:val="0"/>
          <w:numId w:val="85"/>
        </w:numPr>
        <w:rPr>
          <w:rFonts w:ascii="Arial" w:cs="Arial" w:eastAsia="Arial" w:hAnsi="Arial"/>
          <w:sz w:val="20"/>
          <w:szCs w:val="20"/>
          <w:color w:val="auto"/>
        </w:rPr>
      </w:pPr>
      <w:r>
        <w:rPr>
          <w:rFonts w:ascii="Arial" w:cs="Arial" w:eastAsia="Arial" w:hAnsi="Arial"/>
          <w:sz w:val="20"/>
          <w:szCs w:val="20"/>
          <w:color w:val="auto"/>
        </w:rPr>
        <w:t>If a payment made to a Lender hereunder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w:t>
      </w:r>
    </w:p>
    <w:p>
      <w:pPr>
        <w:spacing w:after="0" w:line="154" w:lineRule="exact"/>
        <w:rPr>
          <w:rFonts w:ascii="Arial" w:cs="Arial" w:eastAsia="Arial" w:hAnsi="Arial"/>
          <w:sz w:val="20"/>
          <w:szCs w:val="20"/>
          <w:color w:val="auto"/>
        </w:rPr>
      </w:pPr>
    </w:p>
    <w:p>
      <w:pPr>
        <w:ind w:right="20" w:firstLine="1304"/>
        <w:spacing w:after="0" w:line="257" w:lineRule="auto"/>
        <w:tabs>
          <w:tab w:leader="none" w:pos="1755" w:val="left"/>
        </w:tabs>
        <w:numPr>
          <w:ilvl w:val="0"/>
          <w:numId w:val="85"/>
        </w:numPr>
        <w:rPr>
          <w:rFonts w:ascii="Arial" w:cs="Arial" w:eastAsia="Arial" w:hAnsi="Arial"/>
          <w:sz w:val="19"/>
          <w:szCs w:val="19"/>
          <w:color w:val="auto"/>
        </w:rPr>
      </w:pPr>
      <w:r>
        <w:rPr>
          <w:rFonts w:ascii="Arial" w:cs="Arial" w:eastAsia="Arial" w:hAnsi="Arial"/>
          <w:sz w:val="19"/>
          <w:szCs w:val="19"/>
          <w:color w:val="auto"/>
        </w:rPr>
        <w:t>Neither the Administrative Agent nor any Lender shall be obligated under any circumstances to make available its tax returns (or any other information relating to its taxes which it deems confidential) to the Borrower or any other Person.</w:t>
      </w:r>
    </w:p>
    <w:p>
      <w:pPr>
        <w:spacing w:after="0" w:line="153" w:lineRule="exact"/>
        <w:rPr>
          <w:rFonts w:ascii="Arial" w:cs="Arial" w:eastAsia="Arial" w:hAnsi="Arial"/>
          <w:sz w:val="19"/>
          <w:szCs w:val="19"/>
          <w:color w:val="auto"/>
        </w:rPr>
      </w:pPr>
    </w:p>
    <w:p>
      <w:pPr>
        <w:ind w:right="20" w:firstLine="1304"/>
        <w:spacing w:after="0" w:line="229" w:lineRule="auto"/>
        <w:tabs>
          <w:tab w:leader="none" w:pos="1747"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agreements in this Section 2.15 shall survive the termination of this Agreement and the payment of the Loans and all other amounts payable hereunder.</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Indemnity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8"/>
        <w:spacing w:after="0" w:line="231" w:lineRule="auto"/>
        <w:tabs>
          <w:tab w:leader="none" w:pos="9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color w:val="FF0000"/>
          <w:strike w:val="1"/>
        </w:rPr>
        <w:t>agrees to indemnify each Lender for, and to hold each Lender harmless from,</w:t>
      </w:r>
      <w:r>
        <w:rPr>
          <w:rFonts w:ascii="Arial" w:cs="Arial" w:eastAsia="Arial" w:hAnsi="Arial"/>
          <w:sz w:val="18"/>
          <w:szCs w:val="18"/>
          <w:u w:val="single" w:color="auto"/>
          <w:color w:val="0000FF"/>
        </w:rPr>
        <w:t>hereby indemnifies each of the Lenders against</w:t>
      </w:r>
      <w:r>
        <w:rPr>
          <w:rFonts w:ascii="Arial" w:cs="Arial" w:eastAsia="Arial" w:hAnsi="Arial"/>
          <w:sz w:val="18"/>
          <w:szCs w:val="18"/>
          <w:color w:val="auto"/>
        </w:rPr>
        <w:t xml:space="preserve"> any loss, cost or expense (including</w:t>
      </w:r>
      <w:r>
        <w:rPr>
          <w:rFonts w:ascii="Arial" w:cs="Arial" w:eastAsia="Arial" w:hAnsi="Arial"/>
          <w:sz w:val="18"/>
          <w:szCs w:val="18"/>
          <w:color w:val="FF0000"/>
          <w:strike w:val="1"/>
        </w:rPr>
        <w:t>, without limitation,</w:t>
      </w:r>
      <w:r>
        <w:rPr>
          <w:rFonts w:ascii="Arial" w:cs="Arial" w:eastAsia="Arial" w:hAnsi="Arial"/>
          <w:sz w:val="18"/>
          <w:szCs w:val="18"/>
          <w:color w:val="auto"/>
        </w:rPr>
        <w:t xml:space="preserve"> any </w:t>
      </w:r>
      <w:r>
        <w:rPr>
          <w:rFonts w:ascii="Arial" w:cs="Arial" w:eastAsia="Arial" w:hAnsi="Arial"/>
          <w:sz w:val="18"/>
          <w:szCs w:val="18"/>
          <w:color w:val="FF0000"/>
          <w:strike w:val="1"/>
        </w:rPr>
        <w:t>interest paid by such Lender to lenders of funds borrowed by it to make or carry</w:t>
      </w:r>
      <w:r>
        <w:rPr>
          <w:rFonts w:ascii="Arial" w:cs="Arial" w:eastAsia="Arial" w:hAnsi="Arial"/>
          <w:sz w:val="18"/>
          <w:szCs w:val="18"/>
          <w:color w:val="auto"/>
        </w:rPr>
        <w:t xml:space="preserve"> </w:t>
      </w:r>
      <w:r>
        <w:rPr>
          <w:rFonts w:ascii="Arial" w:cs="Arial" w:eastAsia="Arial" w:hAnsi="Arial"/>
          <w:sz w:val="18"/>
          <w:szCs w:val="18"/>
          <w:color w:val="FF0000"/>
          <w:strike w:val="1"/>
        </w:rPr>
        <w:t>its Eurodollar Loans to the extent not recovered by the Lender in connection with</w:t>
      </w:r>
      <w:r>
        <w:rPr>
          <w:rFonts w:ascii="Arial" w:cs="Arial" w:eastAsia="Arial" w:hAnsi="Arial"/>
          <w:sz w:val="18"/>
          <w:szCs w:val="18"/>
          <w:u w:val="single" w:color="auto"/>
          <w:color w:val="0000FF"/>
        </w:rPr>
        <w:t>loss, cost or expense arising from</w:t>
      </w:r>
      <w:r>
        <w:rPr>
          <w:rFonts w:ascii="Arial" w:cs="Arial" w:eastAsia="Arial" w:hAnsi="Arial"/>
          <w:sz w:val="18"/>
          <w:szCs w:val="18"/>
          <w:color w:val="FF0000"/>
        </w:rPr>
        <w:t xml:space="preserve"> </w:t>
      </w:r>
      <w:r>
        <w:rPr>
          <w:rFonts w:ascii="Arial" w:cs="Arial" w:eastAsia="Arial" w:hAnsi="Arial"/>
          <w:sz w:val="18"/>
          <w:szCs w:val="18"/>
          <w:color w:val="000000"/>
        </w:rPr>
        <w:t>the liquidation or</w:t>
      </w:r>
      <w:r>
        <w:rPr>
          <w:rFonts w:ascii="Arial" w:cs="Arial" w:eastAsia="Arial" w:hAnsi="Arial"/>
          <w:sz w:val="18"/>
          <w:szCs w:val="18"/>
          <w:color w:val="FF0000"/>
        </w:rPr>
        <w:t xml:space="preserve"> </w:t>
      </w:r>
      <w:r>
        <w:rPr>
          <w:rFonts w:ascii="Arial" w:cs="Arial" w:eastAsia="Arial" w:hAnsi="Arial"/>
          <w:sz w:val="18"/>
          <w:szCs w:val="18"/>
          <w:color w:val="FF0000"/>
          <w:strike w:val="1"/>
        </w:rPr>
        <w:t>re-employment</w:t>
      </w:r>
      <w:r>
        <w:rPr>
          <w:rFonts w:ascii="Arial" w:cs="Arial" w:eastAsia="Arial" w:hAnsi="Arial"/>
          <w:sz w:val="18"/>
          <w:szCs w:val="18"/>
          <w:u w:val="single" w:color="auto"/>
          <w:color w:val="0000FF"/>
        </w:rPr>
        <w:t>reemployment</w:t>
      </w:r>
      <w:r>
        <w:rPr>
          <w:rFonts w:ascii="Arial" w:cs="Arial" w:eastAsia="Arial" w:hAnsi="Arial"/>
          <w:sz w:val="18"/>
          <w:szCs w:val="18"/>
          <w:color w:val="FF0000"/>
        </w:rPr>
        <w:t xml:space="preserve"> </w:t>
      </w:r>
      <w:r>
        <w:rPr>
          <w:rFonts w:ascii="Arial" w:cs="Arial" w:eastAsia="Arial" w:hAnsi="Arial"/>
          <w:sz w:val="18"/>
          <w:szCs w:val="18"/>
          <w:color w:val="000000"/>
        </w:rPr>
        <w:t>of</w:t>
      </w:r>
      <w:r>
        <w:rPr>
          <w:rFonts w:ascii="Arial" w:cs="Arial" w:eastAsia="Arial" w:hAnsi="Arial"/>
          <w:sz w:val="18"/>
          <w:szCs w:val="18"/>
          <w:color w:val="FF0000"/>
        </w:rPr>
        <w:t xml:space="preserve"> </w:t>
      </w:r>
      <w:r>
        <w:rPr>
          <w:rFonts w:ascii="Arial" w:cs="Arial" w:eastAsia="Arial" w:hAnsi="Arial"/>
          <w:sz w:val="18"/>
          <w:szCs w:val="18"/>
          <w:color w:val="FF0000"/>
          <w:strike w:val="1"/>
        </w:rPr>
        <w:t>such</w:t>
      </w:r>
      <w:r>
        <w:rPr>
          <w:rFonts w:ascii="Arial" w:cs="Arial" w:eastAsia="Arial" w:hAnsi="Arial"/>
          <w:sz w:val="18"/>
          <w:szCs w:val="18"/>
          <w:color w:val="FF0000"/>
        </w:rPr>
        <w:t xml:space="preserve"> </w:t>
      </w:r>
      <w:r>
        <w:rPr>
          <w:rFonts w:ascii="Arial" w:cs="Arial" w:eastAsia="Arial" w:hAnsi="Arial"/>
          <w:sz w:val="18"/>
          <w:szCs w:val="18"/>
          <w:color w:val="000000"/>
        </w:rPr>
        <w:t>funds</w:t>
      </w:r>
      <w:r>
        <w:rPr>
          <w:rFonts w:ascii="Arial" w:cs="Arial" w:eastAsia="Arial" w:hAnsi="Arial"/>
          <w:sz w:val="18"/>
          <w:szCs w:val="18"/>
          <w:color w:val="FF0000"/>
        </w:rPr>
        <w:t xml:space="preserve"> </w:t>
      </w:r>
      <w:r>
        <w:rPr>
          <w:rFonts w:ascii="Arial" w:cs="Arial" w:eastAsia="Arial" w:hAnsi="Arial"/>
          <w:sz w:val="18"/>
          <w:szCs w:val="18"/>
          <w:color w:val="FF0000"/>
          <w:strike w:val="1"/>
        </w:rPr>
        <w:t>and including the compensation payable by such Lender to a Participant) and any loss sustained by</w:t>
      </w:r>
      <w:r>
        <w:rPr>
          <w:rFonts w:ascii="Arial" w:cs="Arial" w:eastAsia="Arial" w:hAnsi="Arial"/>
          <w:sz w:val="18"/>
          <w:szCs w:val="18"/>
          <w:color w:val="FF0000"/>
        </w:rPr>
        <w:t xml:space="preserve"> </w:t>
      </w:r>
      <w:r>
        <w:rPr>
          <w:rFonts w:ascii="Arial" w:cs="Arial" w:eastAsia="Arial" w:hAnsi="Arial"/>
          <w:sz w:val="18"/>
          <w:szCs w:val="18"/>
          <w:color w:val="FF0000"/>
          <w:strike w:val="1"/>
        </w:rPr>
        <w:t>such Lender</w:t>
      </w:r>
      <w:r>
        <w:rPr>
          <w:rFonts w:ascii="Arial" w:cs="Arial" w:eastAsia="Arial" w:hAnsi="Arial"/>
          <w:sz w:val="18"/>
          <w:szCs w:val="18"/>
          <w:u w:val="single" w:color="auto"/>
          <w:color w:val="0000FF"/>
        </w:rPr>
        <w:t>or from any fees payable) which may arise, be attributable to or result due to or</w:t>
      </w:r>
      <w:r>
        <w:rPr>
          <w:rFonts w:ascii="Arial" w:cs="Arial" w:eastAsia="Arial" w:hAnsi="Arial"/>
          <w:sz w:val="18"/>
          <w:szCs w:val="18"/>
          <w:color w:val="FF0000"/>
        </w:rPr>
        <w:t xml:space="preserve"> </w:t>
      </w:r>
      <w:r>
        <w:rPr>
          <w:rFonts w:ascii="Arial" w:cs="Arial" w:eastAsia="Arial" w:hAnsi="Arial"/>
          <w:sz w:val="18"/>
          <w:szCs w:val="18"/>
          <w:color w:val="00C000"/>
        </w:rPr>
        <w:t>as a consequence of (a)</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any failure by 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Borrower to make any payment when due of any amount due hereunder</w:t>
      </w:r>
      <w:r>
        <w:rPr>
          <w:rFonts w:ascii="Arial" w:cs="Arial" w:eastAsia="Arial" w:hAnsi="Arial"/>
          <w:sz w:val="18"/>
          <w:szCs w:val="18"/>
          <w:color w:val="0000FF"/>
        </w:rPr>
        <w:t xml:space="preserve"> </w:t>
      </w:r>
      <w:r>
        <w:rPr>
          <w:rFonts w:ascii="Arial" w:cs="Arial" w:eastAsia="Arial" w:hAnsi="Arial"/>
          <w:sz w:val="18"/>
          <w:szCs w:val="18"/>
          <w:color w:val="000000"/>
        </w:rPr>
        <w:t>in connection with</w:t>
      </w:r>
      <w:r>
        <w:rPr>
          <w:rFonts w:ascii="Arial" w:cs="Arial" w:eastAsia="Arial" w:hAnsi="Arial"/>
          <w:sz w:val="18"/>
          <w:szCs w:val="18"/>
          <w:color w:val="0000FF"/>
        </w:rPr>
        <w:t xml:space="preserve"> </w:t>
      </w:r>
      <w:r>
        <w:rPr>
          <w:rFonts w:ascii="Arial" w:cs="Arial" w:eastAsia="Arial" w:hAnsi="Arial"/>
          <w:sz w:val="18"/>
          <w:szCs w:val="18"/>
          <w:color w:val="FF0000"/>
          <w:strike w:val="1"/>
        </w:rPr>
        <w:t>the liquidation or re-employment of such funds</w:t>
      </w:r>
      <w:r>
        <w:rPr>
          <w:rFonts w:ascii="Arial" w:cs="Arial" w:eastAsia="Arial" w:hAnsi="Arial"/>
          <w:sz w:val="18"/>
          <w:szCs w:val="18"/>
          <w:color w:val="0000FF"/>
        </w:rPr>
        <w:t xml:space="preserve"> </w:t>
      </w:r>
      <w:r>
        <w:rPr>
          <w:rFonts w:ascii="Arial" w:cs="Arial" w:eastAsia="Arial" w:hAnsi="Arial"/>
          <w:sz w:val="18"/>
          <w:szCs w:val="18"/>
          <w:color w:val="FF0000"/>
          <w:strike w:val="1"/>
        </w:rPr>
        <w:t xml:space="preserve">(including, without limitation, a return on such liquidation or re-employment that would result in such Lender receiving less than it would have received had such Eurodollar Loan remained outstanding until </w:t>
      </w:r>
      <w:r>
        <w:rPr>
          <w:rFonts w:ascii="Arial" w:cs="Arial" w:eastAsia="Arial" w:hAnsi="Arial"/>
          <w:sz w:val="18"/>
          <w:szCs w:val="18"/>
          <w:color w:val="00C000"/>
          <w:strike w:val="1"/>
        </w:rPr>
        <w:t>the last day of the Interest Period applicable</w:t>
      </w:r>
      <w:r>
        <w:rPr>
          <w:rFonts w:ascii="Arial" w:cs="Arial" w:eastAsia="Arial" w:hAnsi="Arial"/>
          <w:sz w:val="18"/>
          <w:szCs w:val="18"/>
          <w:color w:val="FF0000"/>
          <w:strike w:val="1"/>
        </w:rPr>
        <w:t xml:space="preserve"> to such Eurodollar Loans) that such Lender may sustain or incur </w:t>
      </w:r>
      <w:r>
        <w:rPr>
          <w:rFonts w:ascii="Arial" w:cs="Arial" w:eastAsia="Arial" w:hAnsi="Arial"/>
          <w:sz w:val="18"/>
          <w:szCs w:val="18"/>
          <w:color w:val="00C000"/>
          <w:strike w:val="1"/>
        </w:rPr>
        <w:t>as a consequence of (a)</w:t>
      </w:r>
      <w:r>
        <w:rPr>
          <w:rFonts w:ascii="Arial" w:cs="Arial" w:eastAsia="Arial" w:hAnsi="Arial"/>
          <w:sz w:val="18"/>
          <w:szCs w:val="18"/>
          <w:color w:val="FF0000"/>
          <w:strike w:val="1"/>
        </w:rPr>
        <w:t xml:space="preserve"> default by the Borrower</w:t>
      </w:r>
      <w:r>
        <w:rPr>
          <w:rFonts w:ascii="Arial" w:cs="Arial" w:eastAsia="Arial" w:hAnsi="Arial"/>
          <w:sz w:val="18"/>
          <w:szCs w:val="18"/>
          <w:u w:val="single" w:color="auto"/>
          <w:color w:val="0000FF"/>
          <w:strike w:val="1"/>
        </w:rPr>
        <w:t>a SOFR Loan, (b) any failure of the Borrower to</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borrow or continue a SOFR Loan or convert to a SOFR Loan on a date specified therefor</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in</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making</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a</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borrowing of, conversion into</w:t>
      </w:r>
      <w:r>
        <w:rPr>
          <w:rFonts w:ascii="Arial" w:cs="Arial" w:eastAsia="Arial" w:hAnsi="Arial"/>
          <w:sz w:val="18"/>
          <w:szCs w:val="18"/>
          <w:u w:val="single" w:color="auto"/>
          <w:color w:val="0000FF"/>
          <w:strike w:val="1"/>
        </w:rPr>
        <w:t>Notice of</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Borrowing, Notice of Interest Period Selection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or</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continuation</w:t>
      </w:r>
      <w:r>
        <w:rPr>
          <w:rFonts w:ascii="Arial" w:cs="Arial" w:eastAsia="Arial" w:hAnsi="Arial"/>
          <w:sz w:val="18"/>
          <w:szCs w:val="18"/>
          <w:u w:val="single" w:color="auto"/>
          <w:color w:val="0000FF"/>
          <w:strike w:val="1"/>
        </w:rPr>
        <w:t>Notice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of</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Eurodollar Loans after the Borrower has given a notice requesting</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the same in accordance with the provisions of this Agreement, (b) default by the Borrower in making any</w:t>
      </w:r>
      <w:r>
        <w:rPr>
          <w:rFonts w:ascii="Arial" w:cs="Arial" w:eastAsia="Arial" w:hAnsi="Arial"/>
          <w:sz w:val="18"/>
          <w:szCs w:val="18"/>
          <w:u w:val="single" w:color="auto"/>
          <w:color w:val="0000FF"/>
          <w:strike w:val="1"/>
        </w:rPr>
        <w:t>Conversion, (c) any failure of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Borrower to prepay any SOFR Loan on a date specified therefor in any notice of</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prepayment</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(regardless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of</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or conversion from Eurodollar</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Loans after the Borrower has given a notice thereof in accordance with the provisions of this Agreement or (c) the making of a prepayment of Eurodollar Loans on a day that is not</w:t>
      </w:r>
      <w:r>
        <w:rPr>
          <w:rFonts w:ascii="Arial" w:cs="Arial" w:eastAsia="Arial" w:hAnsi="Arial"/>
          <w:sz w:val="18"/>
          <w:szCs w:val="18"/>
          <w:u w:val="single" w:color="auto"/>
          <w:color w:val="0000FF"/>
          <w:strike w:val="1"/>
        </w:rPr>
        <w:t>whether any such notice of prepayment may be revoked hereunder), (d) any payment, prepayment or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conversion of any SOFR Loan on a date other than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the last day of</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an</w:t>
      </w:r>
      <w:r>
        <w:rPr>
          <w:rFonts w:ascii="Arial" w:cs="Arial" w:eastAsia="Arial" w:hAnsi="Arial"/>
          <w:sz w:val="18"/>
          <w:szCs w:val="18"/>
          <w:u w:val="single" w:color="auto"/>
          <w:color w:val="0000FF"/>
          <w:strike w:val="1"/>
        </w:rPr>
        <w:t>the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Interest Period</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with respect thereto. A certificate as to any amounts</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payable pursuant to this Section 2.16 submitted</w:t>
      </w:r>
      <w:r>
        <w:rPr>
          <w:rFonts w:ascii="Arial" w:cs="Arial" w:eastAsia="Arial" w:hAnsi="Arial"/>
          <w:sz w:val="18"/>
          <w:szCs w:val="18"/>
          <w:u w:val="single" w:color="auto"/>
          <w:color w:val="0000FF"/>
          <w:strike w:val="1"/>
        </w:rPr>
        <w:t>therefor (including as a result of an Event of Default) or (e) the assignment of any SOFR Loan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other than on</w:t>
      </w:r>
      <w:r>
        <w:rPr>
          <w:rFonts w:ascii="Arial" w:cs="Arial" w:eastAsia="Arial" w:hAnsi="Arial"/>
          <w:sz w:val="18"/>
          <w:szCs w:val="18"/>
          <w:color w:val="0000FF"/>
          <w:strike w:val="1"/>
        </w:rPr>
        <w:t xml:space="preserve"> </w:t>
      </w:r>
      <w:r>
        <w:rPr>
          <w:rFonts w:ascii="Arial" w:cs="Arial" w:eastAsia="Arial" w:hAnsi="Arial"/>
          <w:sz w:val="18"/>
          <w:szCs w:val="18"/>
          <w:color w:val="00C000"/>
          <w:strike w:val="1"/>
        </w:rPr>
        <w:t>the last day of the Interest Period applicable</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thereto as a result of a request by the Borrower pursuant to Section 2.18. A</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certificate of such Lender setting forth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-1774825</wp:posOffset>
            </wp:positionV>
            <wp:extent cx="13373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-1449070</wp:posOffset>
            </wp:positionV>
            <wp:extent cx="23399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1981835</wp:posOffset>
            </wp:positionH>
            <wp:positionV relativeFrom="paragraph">
              <wp:posOffset>-1320800</wp:posOffset>
            </wp:positionV>
            <wp:extent cx="13201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-137795</wp:posOffset>
            </wp:positionV>
            <wp:extent cx="2425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9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basis for determining such amount or amounts necessary to compensate such Lender shall be forwarded</w:t>
      </w:r>
      <w:r>
        <w:rPr>
          <w:rFonts w:ascii="Arial" w:cs="Arial" w:eastAsia="Arial" w:hAnsi="Arial"/>
          <w:sz w:val="19"/>
          <w:szCs w:val="19"/>
          <w:color w:val="0000FF"/>
        </w:rPr>
        <w:t xml:space="preserve"> </w:t>
      </w:r>
      <w:r>
        <w:rPr>
          <w:rFonts w:ascii="Arial" w:cs="Arial" w:eastAsia="Arial" w:hAnsi="Arial"/>
          <w:sz w:val="19"/>
          <w:szCs w:val="19"/>
          <w:color w:val="000000"/>
        </w:rPr>
        <w:t>to the Borrower</w:t>
      </w:r>
      <w:r>
        <w:rPr>
          <w:rFonts w:ascii="Arial" w:cs="Arial" w:eastAsia="Arial" w:hAnsi="Arial"/>
          <w:sz w:val="19"/>
          <w:szCs w:val="19"/>
          <w:color w:val="0000FF"/>
        </w:rPr>
        <w:t xml:space="preserve"> </w:t>
      </w:r>
      <w:r>
        <w:rPr>
          <w:rFonts w:ascii="Arial" w:cs="Arial" w:eastAsia="Arial" w:hAnsi="Arial"/>
          <w:sz w:val="19"/>
          <w:szCs w:val="19"/>
          <w:color w:val="FF0000"/>
          <w:strike w:val="1"/>
        </w:rPr>
        <w:t>by any</w:t>
      </w:r>
    </w:p>
    <w:p>
      <w:pPr>
        <w:spacing w:after="0" w:line="226" w:lineRule="auto"/>
        <w:rPr>
          <w:sz w:val="20"/>
          <w:szCs w:val="20"/>
          <w:color w:val="auto"/>
        </w:rPr>
      </w:pPr>
      <w:r>
        <w:rPr>
          <w:rFonts w:ascii="Arial" w:cs="Arial" w:eastAsia="Arial" w:hAnsi="Arial"/>
          <w:sz w:val="18"/>
          <w:szCs w:val="18"/>
          <w:color w:val="FF0000"/>
          <w:strike w:val="1"/>
        </w:rPr>
        <w:t>Lender</w:t>
      </w:r>
      <w:r>
        <w:rPr>
          <w:rFonts w:ascii="Arial" w:cs="Arial" w:eastAsia="Arial" w:hAnsi="Arial"/>
          <w:sz w:val="18"/>
          <w:szCs w:val="18"/>
          <w:u w:val="single" w:color="auto"/>
          <w:color w:val="0000FF"/>
        </w:rPr>
        <w:t>through the Administrative Agent and</w:t>
      </w:r>
      <w:r>
        <w:rPr>
          <w:rFonts w:ascii="Arial" w:cs="Arial" w:eastAsia="Arial" w:hAnsi="Arial"/>
          <w:sz w:val="18"/>
          <w:szCs w:val="18"/>
          <w:color w:val="FF0000"/>
        </w:rPr>
        <w:t xml:space="preserve"> </w:t>
      </w:r>
      <w:r>
        <w:rPr>
          <w:rFonts w:ascii="Arial" w:cs="Arial" w:eastAsia="Arial" w:hAnsi="Arial"/>
          <w:sz w:val="18"/>
          <w:szCs w:val="18"/>
          <w:color w:val="000000"/>
        </w:rPr>
        <w:t>shall be</w:t>
      </w:r>
      <w:r>
        <w:rPr>
          <w:rFonts w:ascii="Arial" w:cs="Arial" w:eastAsia="Arial" w:hAnsi="Arial"/>
          <w:sz w:val="18"/>
          <w:szCs w:val="18"/>
          <w:color w:val="FF0000"/>
        </w:rPr>
        <w:t xml:space="preserve"> </w:t>
      </w:r>
      <w:r>
        <w:rPr>
          <w:rFonts w:ascii="Arial" w:cs="Arial" w:eastAsia="Arial" w:hAnsi="Arial"/>
          <w:sz w:val="18"/>
          <w:szCs w:val="18"/>
          <w:color w:val="FF0000"/>
          <w:strike w:val="1"/>
        </w:rPr>
        <w:t>conclusive in the absence of</w:t>
      </w:r>
      <w:r>
        <w:rPr>
          <w:rFonts w:ascii="Arial" w:cs="Arial" w:eastAsia="Arial" w:hAnsi="Arial"/>
          <w:sz w:val="18"/>
          <w:szCs w:val="18"/>
          <w:u w:val="single" w:color="auto"/>
          <w:color w:val="0000FF"/>
        </w:rPr>
        <w:t>conclusively presumed to be correct save for</w:t>
      </w:r>
      <w:r>
        <w:rPr>
          <w:rFonts w:ascii="Arial" w:cs="Arial" w:eastAsia="Arial" w:hAnsi="Arial"/>
          <w:sz w:val="18"/>
          <w:szCs w:val="18"/>
          <w:color w:val="FF0000"/>
        </w:rPr>
        <w:t xml:space="preserve"> </w:t>
      </w:r>
      <w:r>
        <w:rPr>
          <w:rFonts w:ascii="Arial" w:cs="Arial" w:eastAsia="Arial" w:hAnsi="Arial"/>
          <w:sz w:val="18"/>
          <w:szCs w:val="18"/>
          <w:color w:val="000000"/>
        </w:rPr>
        <w:t>manifest</w:t>
      </w:r>
      <w:r>
        <w:rPr>
          <w:rFonts w:ascii="Arial" w:cs="Arial" w:eastAsia="Arial" w:hAnsi="Arial"/>
          <w:sz w:val="18"/>
          <w:szCs w:val="18"/>
          <w:color w:val="FF0000"/>
        </w:rPr>
        <w:t xml:space="preserve"> </w:t>
      </w:r>
      <w:r>
        <w:rPr>
          <w:rFonts w:ascii="Arial" w:cs="Arial" w:eastAsia="Arial" w:hAnsi="Arial"/>
          <w:sz w:val="18"/>
          <w:szCs w:val="18"/>
          <w:color w:val="000000"/>
        </w:rPr>
        <w:t xml:space="preserve">error. </w:t>
      </w:r>
      <w:r>
        <w:rPr>
          <w:rFonts w:ascii="Arial" w:cs="Arial" w:eastAsia="Arial" w:hAnsi="Arial"/>
          <w:sz w:val="18"/>
          <w:szCs w:val="18"/>
          <w:color w:val="FF0000"/>
          <w:strike w:val="1"/>
        </w:rPr>
        <w:t>This covenant</w:t>
      </w:r>
      <w:r>
        <w:rPr>
          <w:rFonts w:ascii="Arial" w:cs="Arial" w:eastAsia="Arial" w:hAnsi="Arial"/>
          <w:sz w:val="18"/>
          <w:szCs w:val="18"/>
          <w:u w:val="single" w:color="auto"/>
          <w:color w:val="0000FF"/>
        </w:rPr>
        <w:t>All of the obligations of the Borrower under this Section 2.16</w:t>
      </w:r>
      <w:r>
        <w:rPr>
          <w:rFonts w:ascii="Arial" w:cs="Arial" w:eastAsia="Arial" w:hAnsi="Arial"/>
          <w:sz w:val="18"/>
          <w:szCs w:val="18"/>
          <w:color w:val="000000"/>
        </w:rPr>
        <w:t xml:space="preserve"> shall survive the </w:t>
      </w:r>
      <w:r>
        <w:rPr>
          <w:rFonts w:ascii="Arial" w:cs="Arial" w:eastAsia="Arial" w:hAnsi="Arial"/>
          <w:sz w:val="18"/>
          <w:szCs w:val="18"/>
          <w:u w:val="single" w:color="auto"/>
          <w:color w:val="0000FF"/>
        </w:rPr>
        <w:t>resignation or replacement of the</w:t>
      </w:r>
    </w:p>
    <w:p>
      <w:pPr>
        <w:spacing w:after="0" w:line="236" w:lineRule="auto"/>
        <w:rPr>
          <w:sz w:val="20"/>
          <w:szCs w:val="20"/>
          <w:color w:val="auto"/>
        </w:rPr>
      </w:pPr>
      <w:r>
        <w:rPr>
          <w:rFonts w:ascii="Arial" w:cs="Arial" w:eastAsia="Arial" w:hAnsi="Arial"/>
          <w:sz w:val="18"/>
          <w:szCs w:val="18"/>
          <w:u w:val="single" w:color="auto"/>
          <w:color w:val="0000FF"/>
        </w:rPr>
        <w:t>Administrative Agent or any assignment of rights by, or the replacement of, a Lender, the</w:t>
      </w:r>
      <w:r>
        <w:rPr>
          <w:rFonts w:ascii="Arial" w:cs="Arial" w:eastAsia="Arial" w:hAnsi="Arial"/>
          <w:sz w:val="18"/>
          <w:szCs w:val="18"/>
          <w:color w:val="0000FF"/>
        </w:rPr>
        <w:t xml:space="preserve"> </w:t>
      </w:r>
      <w:r>
        <w:rPr>
          <w:rFonts w:ascii="Arial" w:cs="Arial" w:eastAsia="Arial" w:hAnsi="Arial"/>
          <w:sz w:val="18"/>
          <w:szCs w:val="18"/>
          <w:color w:val="000000"/>
        </w:rPr>
        <w:t>termination of</w:t>
      </w:r>
      <w:r>
        <w:rPr>
          <w:rFonts w:ascii="Arial" w:cs="Arial" w:eastAsia="Arial" w:hAnsi="Arial"/>
          <w:sz w:val="18"/>
          <w:szCs w:val="18"/>
          <w:color w:val="0000FF"/>
        </w:rPr>
        <w:t xml:space="preserve"> </w:t>
      </w:r>
      <w:r>
        <w:rPr>
          <w:rFonts w:ascii="Arial" w:cs="Arial" w:eastAsia="Arial" w:hAnsi="Arial"/>
          <w:sz w:val="18"/>
          <w:szCs w:val="18"/>
          <w:color w:val="FF0000"/>
          <w:strike w:val="1"/>
        </w:rPr>
        <w:t>this Agreement</w:t>
      </w:r>
      <w:r>
        <w:rPr>
          <w:rFonts w:ascii="Arial" w:cs="Arial" w:eastAsia="Arial" w:hAnsi="Arial"/>
          <w:sz w:val="18"/>
          <w:szCs w:val="18"/>
          <w:u w:val="single" w:color="auto"/>
          <w:color w:val="0000FF"/>
        </w:rPr>
        <w:t>the Commitments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and the </w:t>
      </w:r>
      <w:r>
        <w:rPr>
          <w:rFonts w:ascii="Arial" w:cs="Arial" w:eastAsia="Arial" w:hAnsi="Arial"/>
          <w:sz w:val="20"/>
          <w:szCs w:val="20"/>
          <w:color w:val="FF0000"/>
          <w:strike w:val="1"/>
        </w:rPr>
        <w:t>payment</w:t>
      </w:r>
      <w:r>
        <w:rPr>
          <w:rFonts w:ascii="Arial" w:cs="Arial" w:eastAsia="Arial" w:hAnsi="Arial"/>
          <w:sz w:val="20"/>
          <w:szCs w:val="20"/>
          <w:u w:val="single" w:color="auto"/>
          <w:color w:val="0000FF"/>
        </w:rPr>
        <w:t>repayment, satisfaction or discharge</w:t>
      </w:r>
      <w:r>
        <w:rPr>
          <w:rFonts w:ascii="Arial" w:cs="Arial" w:eastAsia="Arial" w:hAnsi="Arial"/>
          <w:sz w:val="20"/>
          <w:szCs w:val="20"/>
          <w:color w:val="auto"/>
        </w:rPr>
        <w:t xml:space="preserve"> of </w:t>
      </w:r>
      <w:r>
        <w:rPr>
          <w:rFonts w:ascii="Arial" w:cs="Arial" w:eastAsia="Arial" w:hAnsi="Arial"/>
          <w:sz w:val="20"/>
          <w:szCs w:val="20"/>
          <w:color w:val="FF0000"/>
        </w:rPr>
        <w:t>the Loans and</w:t>
      </w:r>
      <w:r>
        <w:rPr>
          <w:rFonts w:ascii="Arial" w:cs="Arial" w:eastAsia="Arial" w:hAnsi="Arial"/>
          <w:sz w:val="20"/>
          <w:szCs w:val="20"/>
          <w:color w:val="auto"/>
        </w:rPr>
        <w:t xml:space="preserve"> all </w:t>
      </w:r>
      <w:r>
        <w:rPr>
          <w:rFonts w:ascii="Arial" w:cs="Arial" w:eastAsia="Arial" w:hAnsi="Arial"/>
          <w:sz w:val="20"/>
          <w:szCs w:val="20"/>
          <w:color w:val="FF0000"/>
          <w:strike w:val="1"/>
        </w:rPr>
        <w:t>other amounts payable hereunder</w:t>
      </w:r>
      <w:r>
        <w:rPr>
          <w:rFonts w:ascii="Arial" w:cs="Arial" w:eastAsia="Arial" w:hAnsi="Arial"/>
          <w:sz w:val="20"/>
          <w:szCs w:val="20"/>
          <w:u w:val="single" w:color="auto"/>
          <w:color w:val="0000FF"/>
        </w:rPr>
        <w:t>obligations under any Loan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Document</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-198120</wp:posOffset>
            </wp:positionV>
            <wp:extent cx="8045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15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u w:val="single" w:color="auto"/>
          <w:color w:val="auto"/>
        </w:rPr>
        <w:t>Change of Lending Office</w:t>
      </w:r>
    </w:p>
    <w:p>
      <w:pPr>
        <w:spacing w:after="0" w:line="189" w:lineRule="exact"/>
        <w:rPr>
          <w:sz w:val="20"/>
          <w:szCs w:val="20"/>
          <w:color w:val="auto"/>
        </w:rPr>
      </w:pPr>
    </w:p>
    <w:p>
      <w:pPr>
        <w:jc w:val="both"/>
        <w:ind w:firstLine="8"/>
        <w:spacing w:after="0" w:line="238" w:lineRule="auto"/>
        <w:tabs>
          <w:tab w:leader="none" w:pos="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Lender agrees that, upon the occurrence of any event giving rise to the operation of Section 2.14 or 2.15 with respect to such Lender, it will, if requested by the Borrower, use reasonable efforts (subject to overall policy considerations of such Lender) to designate another lending office for any Loans affected by such event with the object of avoiding the consequences of such event; provided, that such designation is made on terms that, in the sole judgment of such Lender, cause such Lender and its lending office(s) to suffer no unreimbursed economic disadvantage or any legal or regulatory disadvantage, and provided, further, that nothing in this Section 2.17 shall affect or postpone any of the obligations of the Borrower or the rights of any Lender pursuant to Section 2.14 or 2.15. The Borrower hereby agrees to pay all reasonable costs and expenses incurred by any Lender in connection with any such designation.</w:t>
      </w:r>
    </w:p>
    <w:p>
      <w:pPr>
        <w:spacing w:after="0" w:line="15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6"/>
          <w:szCs w:val="16"/>
          <w:u w:val="single" w:color="auto"/>
          <w:color w:val="auto"/>
        </w:rPr>
        <w:t>Replacement of Lenders</w:t>
      </w:r>
    </w:p>
    <w:p>
      <w:pPr>
        <w:spacing w:after="0" w:line="189" w:lineRule="exact"/>
        <w:rPr>
          <w:sz w:val="20"/>
          <w:szCs w:val="20"/>
          <w:color w:val="auto"/>
        </w:rPr>
      </w:pPr>
    </w:p>
    <w:p>
      <w:pPr>
        <w:jc w:val="both"/>
        <w:ind w:firstLine="8"/>
        <w:spacing w:after="0" w:line="232" w:lineRule="auto"/>
        <w:tabs>
          <w:tab w:leader="none" w:pos="99"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Borrower shall be permitted to replace any Lender that (a) requests (on its behalf or any of its Participants) reimbursement for amounts owing pursuant to Section 2.14 or 2.15 and such Lender has declined or is unable to designate a different lending office in accordance with Section 2.17 or (b) is a Defaulting Lender, with a replacement financial institution; provided that (i) such replacement does not conflict with any Requirement of Law, (ii) no Event of Default shall have occurred and be continuing at the time of such replacement, (iii) prior to any such replacement, such Lender shall have taken no action under Section 2.17 which eliminates the continued need for payment of amounts owing pursuant to Section 2.14 or 2.15, (iv) the replacement financial institution shall purchase, at par, all Loans and other amounts owing to such replaced Lender on or prior to the date of replacement, (v) the Borrower shall be liable to such replaced Lender under Section 2.16 if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owing to such replaced Lender shall be purchased other than on the last day of the Interest Period relating thereto, (vi) the replacement financial institution, if not already a Lender, shall be reasonably satisfactory to the Administrative Agent and, if a different entity, the Issuing Lender, (vii) the replaced Lender shall be obligated to make such replacement in accordance with the provisions of Section 10.6 (provided that the Borrower shall be obligated to pay the registration and processing fee referred to therein), (viii) until such time as such replacement shall be consummated, the Borrower shall pay all additional amounts (if any) required pursuant to Section 2.14 or 2.15, as the case may be, and (ix) any such replacement shall not be deemed to be a waiver of any rights that the Borrower, the Administrative Agent or any other Lender shall have against the replaced Lender; provided, further, that if the Borrower seeks to exercise such right, it must do so within sixty (60) days after it first knows or should have known of the occurrence of the event or events giving rise to such right, and neither the Administrative Agent nor any Lender shall have any obligation to identify or locate a replacement Lender for the Borrower (it being expressly agreed that in such circumstances it is the Borrower’s obligation to identify or locate a replacement Lender that is acceptable to the Administrative Agent).</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6"/>
          <w:szCs w:val="16"/>
          <w:u w:val="single" w:color="auto"/>
          <w:color w:val="auto"/>
        </w:rPr>
        <w:t>Optional Increase</w:t>
      </w:r>
      <w:r>
        <w:rPr>
          <w:rFonts w:ascii="Arial" w:cs="Arial" w:eastAsia="Arial" w:hAnsi="Arial"/>
          <w:sz w:val="16"/>
          <w:szCs w:val="16"/>
          <w:color w:val="auto"/>
        </w:rPr>
        <w:t>.</w:t>
      </w:r>
    </w:p>
    <w:p>
      <w:pPr>
        <w:spacing w:after="0" w:line="175" w:lineRule="exact"/>
        <w:rPr>
          <w:sz w:val="20"/>
          <w:szCs w:val="20"/>
          <w:color w:val="auto"/>
        </w:rPr>
      </w:pPr>
    </w:p>
    <w:p>
      <w:pPr>
        <w:ind w:firstLine="1304"/>
        <w:spacing w:after="0" w:line="236" w:lineRule="auto"/>
        <w:tabs>
          <w:tab w:leader="none" w:pos="1765" w:val="left"/>
        </w:tabs>
        <w:numPr>
          <w:ilvl w:val="0"/>
          <w:numId w:val="89"/>
        </w:numPr>
        <w:rPr>
          <w:rFonts w:ascii="Arial" w:cs="Arial" w:eastAsia="Arial" w:hAnsi="Arial"/>
          <w:sz w:val="20"/>
          <w:szCs w:val="20"/>
          <w:color w:val="auto"/>
        </w:rPr>
      </w:pPr>
      <w:r>
        <w:rPr>
          <w:rFonts w:ascii="Arial" w:cs="Arial" w:eastAsia="Arial" w:hAnsi="Arial"/>
          <w:sz w:val="20"/>
          <w:szCs w:val="20"/>
          <w:color w:val="auto"/>
        </w:rPr>
        <w:t>On the terms and subject to the conditions set forth below, the Borrower may, (x) at any time before the Termination Date, request an increase in the Total Commitments</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Revolving Facility Increase</w:t>
      </w:r>
      <w:r>
        <w:rPr>
          <w:rFonts w:ascii="Arial" w:cs="Arial" w:eastAsia="Arial" w:hAnsi="Arial"/>
          <w:sz w:val="18"/>
          <w:szCs w:val="18"/>
          <w:color w:val="auto"/>
        </w:rPr>
        <w:t>”) and (y) at any time before the Term Loan Maturity Date, request one or more incremental term loans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(each, an “</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and all such Revolving Facility Increases, together with the initial principal amount of the Incremental Term Loans, the “</w:t>
      </w:r>
      <w:r>
        <w:rPr>
          <w:rFonts w:ascii="Arial" w:cs="Arial" w:eastAsia="Arial" w:hAnsi="Arial"/>
          <w:sz w:val="20"/>
          <w:szCs w:val="20"/>
          <w:u w:val="single" w:color="auto"/>
          <w:color w:val="auto"/>
        </w:rPr>
        <w:t>Incremental Increases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0" w:lineRule="exact"/>
        <w:rPr>
          <w:sz w:val="20"/>
          <w:szCs w:val="20"/>
          <w:color w:val="auto"/>
        </w:rPr>
      </w:pPr>
    </w:p>
    <w:p>
      <w:pPr>
        <w:jc w:val="both"/>
        <w:ind w:left="1300" w:firstLine="652"/>
        <w:spacing w:after="0" w:line="214" w:lineRule="auto"/>
        <w:tabs>
          <w:tab w:leader="none" w:pos="2393"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after giving effect to the requested Incremental Increase, the aggregate amount of Incremental Increases after the First Amendment Effective Date shall not exceed the greater of (A) 100% of EBITDA for the most recently ended four consecutive fiscal quarter period for which financial statements have been delivered pursuant to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and (B) an amount which, after giving pro forma effect to the incurrence of such increase (assuming such increase is funded on the effective date thereof and after giving effect to any permanent repayment of indebtedness in connection therewith) would not cause the Total Leverage Ratio to exceed a ratio of 0.50 to 1.00 below the Total Leverage Ratio then required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2400" w:hanging="448"/>
        <w:spacing w:after="0"/>
        <w:tabs>
          <w:tab w:leader="none" w:pos="24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all required third party consents and approvals shall have been obtained;</w:t>
      </w:r>
    </w:p>
    <w:p>
      <w:pPr>
        <w:spacing w:after="0" w:line="175" w:lineRule="exact"/>
        <w:rPr>
          <w:rFonts w:ascii="Arial" w:cs="Arial" w:eastAsia="Arial" w:hAnsi="Arial"/>
          <w:sz w:val="20"/>
          <w:szCs w:val="20"/>
          <w:color w:val="auto"/>
        </w:rPr>
      </w:pPr>
    </w:p>
    <w:p>
      <w:pPr>
        <w:ind w:left="1300" w:firstLine="652"/>
        <w:spacing w:after="0" w:line="236" w:lineRule="auto"/>
        <w:tabs>
          <w:tab w:leader="none" w:pos="2529" w:val="left"/>
        </w:tabs>
        <w:numPr>
          <w:ilvl w:val="0"/>
          <w:numId w:val="90"/>
        </w:numPr>
        <w:rPr>
          <w:rFonts w:ascii="Arial" w:cs="Arial" w:eastAsia="Arial" w:hAnsi="Arial"/>
          <w:sz w:val="20"/>
          <w:szCs w:val="20"/>
          <w:color w:val="auto"/>
        </w:rPr>
      </w:pPr>
      <w:r>
        <w:rPr>
          <w:rFonts w:ascii="Arial" w:cs="Arial" w:eastAsia="Arial" w:hAnsi="Arial"/>
          <w:sz w:val="20"/>
          <w:szCs w:val="20"/>
          <w:color w:val="auto"/>
        </w:rPr>
        <w:t>prior to the date of any proposed Revolving Facility Increase, the Total Commitments shall not have been decreased pursuant to Section 2.6;</w:t>
      </w:r>
    </w:p>
    <w:p>
      <w:pPr>
        <w:spacing w:after="0" w:line="166" w:lineRule="exact"/>
        <w:rPr>
          <w:rFonts w:ascii="Arial" w:cs="Arial" w:eastAsia="Arial" w:hAnsi="Arial"/>
          <w:sz w:val="20"/>
          <w:szCs w:val="20"/>
          <w:color w:val="auto"/>
        </w:rPr>
      </w:pPr>
    </w:p>
    <w:p>
      <w:pPr>
        <w:ind w:left="2480" w:hanging="528"/>
        <w:spacing w:after="0"/>
        <w:tabs>
          <w:tab w:leader="none" w:pos="2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such Incremental Increase shall be equal to $25,000,000 or an integral multiple of $5,000,000 in excess</w:t>
      </w:r>
    </w:p>
    <w:p>
      <w:pPr>
        <w:ind w:left="1300"/>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172" w:lineRule="exact"/>
        <w:rPr>
          <w:rFonts w:ascii="Arial" w:cs="Arial" w:eastAsia="Arial" w:hAnsi="Arial"/>
          <w:sz w:val="18"/>
          <w:szCs w:val="18"/>
          <w:color w:val="auto"/>
        </w:rPr>
      </w:pPr>
    </w:p>
    <w:p>
      <w:pPr>
        <w:ind w:left="2380" w:hanging="428"/>
        <w:spacing w:after="0"/>
        <w:tabs>
          <w:tab w:leader="none" w:pos="2380" w:val="left"/>
        </w:tabs>
        <w:numPr>
          <w:ilvl w:val="0"/>
          <w:numId w:val="90"/>
        </w:numPr>
        <w:rPr>
          <w:rFonts w:ascii="Arial" w:cs="Arial" w:eastAsia="Arial" w:hAnsi="Arial"/>
          <w:sz w:val="19"/>
          <w:szCs w:val="19"/>
          <w:color w:val="auto"/>
        </w:rPr>
      </w:pPr>
      <w:r>
        <w:rPr>
          <w:rFonts w:ascii="Arial" w:cs="Arial" w:eastAsia="Arial" w:hAnsi="Arial"/>
          <w:sz w:val="19"/>
          <w:szCs w:val="19"/>
          <w:color w:val="auto"/>
        </w:rPr>
        <w:t>no Default shall have occurred and be continuing or shall occur as a result of such Incremental Increase;</w:t>
      </w:r>
    </w:p>
    <w:p>
      <w:pPr>
        <w:spacing w:after="0" w:line="200" w:lineRule="exact"/>
        <w:rPr>
          <w:rFonts w:ascii="Arial" w:cs="Arial" w:eastAsia="Arial" w:hAnsi="Arial"/>
          <w:sz w:val="19"/>
          <w:szCs w:val="19"/>
          <w:color w:val="auto"/>
        </w:rPr>
      </w:pPr>
    </w:p>
    <w:p>
      <w:pPr>
        <w:jc w:val="both"/>
        <w:ind w:left="1300" w:firstLine="652"/>
        <w:spacing w:after="0" w:line="226" w:lineRule="auto"/>
        <w:tabs>
          <w:tab w:leader="none" w:pos="2454"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Borrower shall have executed and delivered such documents and instruments and taken such other actions as may be reasonably requested by the Administrative Agent in connection with such Incremental Increases (including new or amended Notes, any related fee letters, documents evidencing the increased Commitment and/or Incremental Term Loan held by any applicable Lender, any joinder agreements related to a New Lender, resolutions regarding the Incremental Increase and related actions taken by the Borrower, certified as true and correct by a Responsible Officer and legal opinions, all in form and substance reasonably satisfactory to the Administrative Agent);</w:t>
      </w:r>
    </w:p>
    <w:p>
      <w:pPr>
        <w:spacing w:after="0" w:line="156" w:lineRule="exact"/>
        <w:rPr>
          <w:rFonts w:ascii="Arial" w:cs="Arial" w:eastAsia="Arial" w:hAnsi="Arial"/>
          <w:sz w:val="19"/>
          <w:szCs w:val="19"/>
          <w:color w:val="auto"/>
        </w:rPr>
      </w:pPr>
    </w:p>
    <w:p>
      <w:pPr>
        <w:ind w:left="1300" w:firstLine="652"/>
        <w:spacing w:after="0" w:line="236" w:lineRule="auto"/>
        <w:tabs>
          <w:tab w:leader="none" w:pos="2658"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each Incremental Increase shall constitute Obligations of the Borrower and will be guaranteed by the Subsidiary Guarantors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with the other Obligations; and</w:t>
      </w:r>
    </w:p>
    <w:p>
      <w:pPr>
        <w:spacing w:after="0" w:line="168" w:lineRule="exact"/>
        <w:rPr>
          <w:rFonts w:ascii="Arial" w:cs="Arial" w:eastAsia="Arial" w:hAnsi="Arial"/>
          <w:sz w:val="20"/>
          <w:szCs w:val="20"/>
          <w:color w:val="auto"/>
        </w:rPr>
      </w:pPr>
    </w:p>
    <w:p>
      <w:pPr>
        <w:ind w:left="2540" w:hanging="588"/>
        <w:spacing w:after="0"/>
        <w:tabs>
          <w:tab w:leader="none" w:pos="25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with respect to any Incremental Term Loan:</w:t>
      </w:r>
    </w:p>
    <w:p>
      <w:pPr>
        <w:spacing w:after="0" w:line="175" w:lineRule="exact"/>
        <w:rPr>
          <w:rFonts w:ascii="Arial" w:cs="Arial" w:eastAsia="Arial" w:hAnsi="Arial"/>
          <w:sz w:val="20"/>
          <w:szCs w:val="20"/>
          <w:color w:val="auto"/>
        </w:rPr>
      </w:pPr>
    </w:p>
    <w:p>
      <w:pPr>
        <w:jc w:val="both"/>
        <w:ind w:left="1960" w:right="20" w:firstLine="640"/>
        <w:spacing w:after="0" w:line="218" w:lineRule="auto"/>
        <w:tabs>
          <w:tab w:leader="none" w:pos="3097"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the maturity date and principal amortization for each Incremental Term Loan shall be determined by the applicable Lenders providing such Incremental Term Loan and the Borrower on the applicable Increase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Incremental Term Loan will have a shorter weighted average life to maturity than the remaining weighted average life to maturity of the Initial Term Loan or a maturity date earlier than the Term Loan Maturity Date;</w:t>
      </w:r>
    </w:p>
    <w:p>
      <w:pPr>
        <w:spacing w:after="0" w:line="170" w:lineRule="exact"/>
        <w:rPr>
          <w:rFonts w:ascii="Arial" w:cs="Arial" w:eastAsia="Arial" w:hAnsi="Arial"/>
          <w:sz w:val="20"/>
          <w:szCs w:val="20"/>
          <w:color w:val="auto"/>
        </w:rPr>
      </w:pPr>
    </w:p>
    <w:p>
      <w:pPr>
        <w:ind w:left="1960" w:right="20" w:firstLine="640"/>
        <w:spacing w:after="0" w:line="229" w:lineRule="auto"/>
        <w:tabs>
          <w:tab w:leader="none" w:pos="3193"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Applicable Margin and pricing grid, if applicable, for each Incremental Term Loan shall be determined by the applicable</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9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Lenders providing such Incremental Term Loan and the Borrower on the applicable Increase Effective Date;</w:t>
      </w:r>
    </w:p>
    <w:p>
      <w:pPr>
        <w:ind w:left="1960"/>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Applicable Margin for an Incremental Term Loan exceeds that for the existing Term Loans by more than 0.50% per annum, then such Applicable Margin shall be reasonably acceptable to the Administrative</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Agent; and</w:t>
      </w:r>
    </w:p>
    <w:p>
      <w:pPr>
        <w:spacing w:after="0" w:line="173" w:lineRule="exact"/>
        <w:rPr>
          <w:sz w:val="20"/>
          <w:szCs w:val="20"/>
          <w:color w:val="auto"/>
        </w:rPr>
      </w:pPr>
    </w:p>
    <w:p>
      <w:pPr>
        <w:ind w:left="1960" w:firstLine="640"/>
        <w:spacing w:after="0" w:line="242" w:lineRule="auto"/>
        <w:tabs>
          <w:tab w:leader="none" w:pos="3097"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except as provided in this </w:t>
      </w:r>
      <w:r>
        <w:rPr>
          <w:rFonts w:ascii="Arial" w:cs="Arial" w:eastAsia="Arial" w:hAnsi="Arial"/>
          <w:sz w:val="19"/>
          <w:szCs w:val="19"/>
          <w:u w:val="single" w:color="auto"/>
          <w:color w:val="auto"/>
        </w:rPr>
        <w:t>Section 2.19</w:t>
      </w:r>
      <w:r>
        <w:rPr>
          <w:rFonts w:ascii="Arial" w:cs="Arial" w:eastAsia="Arial" w:hAnsi="Arial"/>
          <w:sz w:val="19"/>
          <w:szCs w:val="19"/>
          <w:color w:val="auto"/>
        </w:rPr>
        <w:t>, all other terms and conditions applicable to any Incremental Term Loan shall be consistent with the terms and conditions applicable to the Initial Term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Any request under this Section 2.19 shall be submitted by the Borrower to the Administrative Agent (which shall promptly forward copies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Lenders), specify the proposed effective date and amount of such increase and be accompanied by a certificate of a Responsible Officer stating that no Default exists or will occur as a result of such Incremental Increase. If any fees are to be paid or offered in connection with</w:t>
      </w:r>
    </w:p>
    <w:p>
      <w:pPr>
        <w:spacing w:after="0" w:line="236" w:lineRule="auto"/>
        <w:rPr>
          <w:sz w:val="20"/>
          <w:szCs w:val="20"/>
          <w:color w:val="auto"/>
        </w:rPr>
      </w:pPr>
      <w:r>
        <w:rPr>
          <w:rFonts w:ascii="Arial" w:cs="Arial" w:eastAsia="Arial" w:hAnsi="Arial"/>
          <w:sz w:val="18"/>
          <w:szCs w:val="18"/>
          <w:color w:val="auto"/>
        </w:rPr>
        <w:t>such Incremental Increase, the Administrative Agent (with the consent of Borrower) may also specify any fees offered to those Lenders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Lenders</w:t>
      </w:r>
      <w:r>
        <w:rPr>
          <w:rFonts w:ascii="Arial" w:cs="Arial" w:eastAsia="Arial" w:hAnsi="Arial"/>
          <w:sz w:val="18"/>
          <w:szCs w:val="18"/>
          <w:color w:val="auto"/>
        </w:rPr>
        <w:t>”) which agree to provide such Incremental Increase, which fees may be variable based upon the amount by which any such Lender is willing to commit to such Incremental Increase; no Lender which is not an Increasing Lender shall be entitled to receive any</w:t>
      </w:r>
    </w:p>
    <w:p>
      <w:pPr>
        <w:spacing w:after="0" w:line="236" w:lineRule="auto"/>
        <w:rPr>
          <w:sz w:val="20"/>
          <w:szCs w:val="20"/>
          <w:color w:val="auto"/>
        </w:rPr>
      </w:pPr>
      <w:r>
        <w:rPr>
          <w:rFonts w:ascii="Arial" w:cs="Arial" w:eastAsia="Arial" w:hAnsi="Arial"/>
          <w:sz w:val="18"/>
          <w:szCs w:val="18"/>
          <w:color w:val="auto"/>
        </w:rPr>
        <w:t>such fees. No Lender shall have any obligation, express or implied, to offer to provide any portion of such Incremental Increase. Only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consent of each Increasing Lender shall be required for an Incremental Increase pursuant to this Section 2.19(a). No Lender which elects not to provide any portion of an Incremental Increase may be replaced in respect of its existing Commitment and/or outstanding Loans as a result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thereof without such Lender’s written consent.</w:t>
      </w:r>
    </w:p>
    <w:p>
      <w:pPr>
        <w:spacing w:after="0" w:line="173" w:lineRule="exact"/>
        <w:rPr>
          <w:sz w:val="20"/>
          <w:szCs w:val="20"/>
          <w:color w:val="auto"/>
        </w:rPr>
      </w:pPr>
    </w:p>
    <w:p>
      <w:pPr>
        <w:jc w:val="both"/>
        <w:ind w:firstLine="1304"/>
        <w:spacing w:after="0" w:line="212" w:lineRule="auto"/>
        <w:tabs>
          <w:tab w:leader="none" w:pos="1737" w:val="left"/>
        </w:tabs>
        <w:numPr>
          <w:ilvl w:val="0"/>
          <w:numId w:val="92"/>
        </w:numPr>
        <w:rPr>
          <w:rFonts w:ascii="Arial" w:cs="Arial" w:eastAsia="Arial" w:hAnsi="Arial"/>
          <w:sz w:val="20"/>
          <w:szCs w:val="20"/>
          <w:color w:val="auto"/>
        </w:rPr>
      </w:pPr>
      <w:r>
        <w:rPr>
          <w:rFonts w:ascii="Arial" w:cs="Arial" w:eastAsia="Arial" w:hAnsi="Arial"/>
          <w:sz w:val="20"/>
          <w:szCs w:val="20"/>
          <w:color w:val="auto"/>
        </w:rPr>
        <w:t>Each Increasing Lender shall, as soon as practicable after the Borrower has submitted its request under Section 2.19(a), specify the amount of the proposed Incremental Increase which it is willing to offer. To the extent the increased Commitment and/or commitment to the Incremental Term Loan, as applicable, of the Increasing Lenders is insufficient or there are no Increasing Lenders, the Borrower may designate new lenders who qualify as Eligible Assignees and which are reasonably acceptable to the Administrative Agent as additional Lenders hereunder in accordance with this Section 2.19(b) (each such new Lender being a “</w:t>
      </w:r>
      <w:r>
        <w:rPr>
          <w:rFonts w:ascii="Arial" w:cs="Arial" w:eastAsia="Arial" w:hAnsi="Arial"/>
          <w:sz w:val="20"/>
          <w:szCs w:val="20"/>
          <w:u w:val="single" w:color="auto"/>
          <w:color w:val="auto"/>
        </w:rPr>
        <w:t>New Lender</w:t>
      </w:r>
      <w:r>
        <w:rPr>
          <w:rFonts w:ascii="Arial" w:cs="Arial" w:eastAsia="Arial" w:hAnsi="Arial"/>
          <w:sz w:val="20"/>
          <w:szCs w:val="20"/>
          <w:color w:val="auto"/>
        </w:rPr>
        <w:t>”), which New Lender may assume all or a portion of the Incremental Increase. The Borrower shall pay a fee to the Administrative Agent solely for the account of the Administrative Agent in connection with any such Incremental Increase as set forth in the Fee Letter. The Borrower and the Administrative Agent shall have discretion jointly to adjust the allocation of the Incremental Increase among Increasing Lenders and New Lenders.</w:t>
      </w:r>
    </w:p>
    <w:p>
      <w:pPr>
        <w:spacing w:after="0" w:line="156" w:lineRule="exact"/>
        <w:rPr>
          <w:rFonts w:ascii="Arial" w:cs="Arial" w:eastAsia="Arial" w:hAnsi="Arial"/>
          <w:sz w:val="20"/>
          <w:szCs w:val="20"/>
          <w:color w:val="auto"/>
        </w:rPr>
      </w:pPr>
    </w:p>
    <w:p>
      <w:pPr>
        <w:jc w:val="both"/>
        <w:ind w:firstLine="1304"/>
        <w:spacing w:after="0" w:line="228" w:lineRule="auto"/>
        <w:tabs>
          <w:tab w:leader="none" w:pos="1738" w:val="left"/>
        </w:tabs>
        <w:numPr>
          <w:ilvl w:val="0"/>
          <w:numId w:val="92"/>
        </w:numPr>
        <w:rPr>
          <w:rFonts w:ascii="Arial" w:cs="Arial" w:eastAsia="Arial" w:hAnsi="Arial"/>
          <w:sz w:val="19"/>
          <w:szCs w:val="19"/>
          <w:color w:val="auto"/>
        </w:rPr>
      </w:pPr>
      <w:r>
        <w:rPr>
          <w:rFonts w:ascii="Arial" w:cs="Arial" w:eastAsia="Arial" w:hAnsi="Arial"/>
          <w:sz w:val="19"/>
          <w:szCs w:val="19"/>
          <w:color w:val="auto"/>
        </w:rPr>
        <w:t>Each New Lender designated by the Borrower and reasonably acceptable to the Administrative Agent shall become an additional party hereto as a New Lender concurrently with the effectiveness of the proposed Incremental Increase upon its execution of an instrument of joinder (which may contain such modifications to this Agreement and terms and conditions relating thereto as may be necessary to ensure that such Revolving Facility Increases and/or Incremental Term Loans, as applicable, are treated as Commitments and/or Loans, as applicable, for all purposes under the Loan Documents), in each case prepared by the Administrative Agent and otherwise in form and substance reasonably satisfactory to the Administrative Agent.</w:t>
      </w:r>
    </w:p>
    <w:p>
      <w:pPr>
        <w:spacing w:after="0" w:line="158" w:lineRule="exact"/>
        <w:rPr>
          <w:rFonts w:ascii="Arial" w:cs="Arial" w:eastAsia="Arial" w:hAnsi="Arial"/>
          <w:sz w:val="19"/>
          <w:szCs w:val="19"/>
          <w:color w:val="auto"/>
        </w:rPr>
      </w:pPr>
    </w:p>
    <w:p>
      <w:pPr>
        <w:jc w:val="both"/>
        <w:ind w:firstLine="1304"/>
        <w:spacing w:after="0" w:line="287" w:lineRule="auto"/>
        <w:tabs>
          <w:tab w:leader="none" w:pos="1739"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Subject to the foregoing, any Incremental Increase requested by the Borrower shall be effective as of the date proposed by the Borrower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xml:space="preserve">”) and shall be in the principal amount equal to (i) the amount which the Increasing Lenders are willing to assume with respect to such Incremental Increase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amount offered by the New Lenders with respect to such Incremental Increase, in either case as adjusted by the Borrower and the Administrative Agent pursuant to the last sentence of Section 2.19(b).</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90" w:lineRule="exact"/>
        <w:rPr>
          <w:sz w:val="20"/>
          <w:szCs w:val="20"/>
          <w:color w:val="auto"/>
        </w:rPr>
      </w:pPr>
    </w:p>
    <w:p>
      <w:pPr>
        <w:jc w:val="both"/>
        <w:ind w:firstLine="1304"/>
        <w:spacing w:after="0" w:line="231" w:lineRule="auto"/>
        <w:tabs>
          <w:tab w:leader="none" w:pos="17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or prior to the Increase Effective Date, with respect to any Revolving Facility Increase, the Administrative Agent shall notify each Lender of the amount required to be paid by or to such Lender so that the Revolving Loans held by the Lenders on the Increase Effective Date (before giving effect to any new Revolving Loans made on such date) shall be held by each Lender pro rata in accordance with the Commitments of the Lenders as adjusted pursuant to the last sentence of Section 2.19(b). Each Lender which is required to reduce the amount of Revolving Loans held by it (each such Lender, a “</w:t>
      </w:r>
      <w:r>
        <w:rPr>
          <w:rFonts w:ascii="Arial" w:cs="Arial" w:eastAsia="Arial" w:hAnsi="Arial"/>
          <w:sz w:val="18"/>
          <w:szCs w:val="18"/>
          <w:u w:val="single" w:color="auto"/>
          <w:color w:val="auto"/>
        </w:rPr>
        <w:t>Decreasing Lender</w:t>
      </w:r>
      <w:r>
        <w:rPr>
          <w:rFonts w:ascii="Arial" w:cs="Arial" w:eastAsia="Arial" w:hAnsi="Arial"/>
          <w:sz w:val="18"/>
          <w:szCs w:val="18"/>
          <w:color w:val="auto"/>
        </w:rPr>
        <w:t>”) shall irrevocably assign, without recourse or warranty of any kind whatsoever (except that each Decreasing Lender warrants that it is the legal and beneficial owner of the Revolving Loans assigned by it under this Section 2.19(e) and that such Revolving Loans are held by such Decreasing Lender free and clear of adverse claims), to each Increasing Lender and New Lender participating in the applicable increase in the Total Commitments, and each applicable Increasing Lender and New Lender shall irrevocably acquire from the Decreasing Lenders, a portion of the principal amount of the Revolving Loans of each Decreasing Lender (collectively, the “</w:t>
      </w:r>
      <w:r>
        <w:rPr>
          <w:rFonts w:ascii="Arial" w:cs="Arial" w:eastAsia="Arial" w:hAnsi="Arial"/>
          <w:sz w:val="18"/>
          <w:szCs w:val="18"/>
          <w:u w:val="single" w:color="auto"/>
          <w:color w:val="auto"/>
        </w:rPr>
        <w:t>Acquired Portion</w:t>
      </w:r>
      <w:r>
        <w:rPr>
          <w:rFonts w:ascii="Arial" w:cs="Arial" w:eastAsia="Arial" w:hAnsi="Arial"/>
          <w:sz w:val="18"/>
          <w:szCs w:val="18"/>
          <w:color w:val="auto"/>
        </w:rPr>
        <w:t xml:space="preserve">”) outstanding on the Increase Effective Date (before giving effect to any new Revolving Loans made on such date) in an amount such that the principal amount of the Revolving Loans held by each applicable Increasing Lender, New Lender and Decreasing Lender as of the Increase Effective Date shall be held in accordance with each such Lender’s Percentage (if any) as of such date. Such assignment and acquisition shall be effective on the Increase Effective Date automatically and without any action required on the part of any party other than the payment by the applicable Increasing Lenders and New Lenders to the Administrative Agent for the account of the Decreasing Lenders of an aggregate amount equal to the Acquired Portion, which amount shall be allocated and paid by the Administrative Agent at or before 12:00 </w:t>
      </w:r>
      <w:r>
        <w:rPr>
          <w:rFonts w:ascii="Arial" w:cs="Arial" w:eastAsia="Arial" w:hAnsi="Arial"/>
          <w:sz w:val="18"/>
          <w:szCs w:val="18"/>
          <w:color w:val="FF0000"/>
          <w:strike w:val="1"/>
        </w:rPr>
        <w:t>P.M.</w:t>
      </w:r>
      <w:r>
        <w:rPr>
          <w:rFonts w:ascii="Arial" w:cs="Arial" w:eastAsia="Arial" w:hAnsi="Arial"/>
          <w:sz w:val="18"/>
          <w:szCs w:val="18"/>
          <w:u w:val="single" w:color="auto"/>
          <w:color w:val="0000FF"/>
        </w:rPr>
        <w:t>Noon</w:t>
      </w:r>
      <w:r>
        <w:rPr>
          <w:rFonts w:ascii="Arial" w:cs="Arial" w:eastAsia="Arial" w:hAnsi="Arial"/>
          <w:sz w:val="18"/>
          <w:szCs w:val="18"/>
          <w:color w:val="auto"/>
        </w:rPr>
        <w:t xml:space="preserve"> on the Increase Effective Date to the Decreasing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upon the respective reductions in the principal amount of the Revolving Loans held by such Lenders on the Increase Effective Date (before giving effect to any new Revolving Loans made on such date). Each of the Administrative Agent and the Lenders shall adjust its records accordingly to reflect the payment of the Acquired Portion. The payments to be made in respect of the Acquired Portion shall be made by the applicable Increasing Lenders and New Lenders to the Administrative Agent in Dollars in immediately available funds at or before 11:00 </w:t>
      </w:r>
      <w:r>
        <w:rPr>
          <w:rFonts w:ascii="Arial" w:cs="Arial" w:eastAsia="Arial" w:hAnsi="Arial"/>
          <w:sz w:val="18"/>
          <w:szCs w:val="18"/>
          <w:color w:val="FF0000"/>
          <w:strike w:val="1"/>
        </w:rPr>
        <w:t>A</w:t>
      </w:r>
      <w:r>
        <w:rPr>
          <w:rFonts w:ascii="Arial" w:cs="Arial" w:eastAsia="Arial" w:hAnsi="Arial"/>
          <w:sz w:val="18"/>
          <w:szCs w:val="18"/>
          <w:u w:val="single" w:color="auto"/>
          <w:color w:val="0000FF"/>
        </w:rPr>
        <w:t>a</w:t>
      </w:r>
      <w:r>
        <w:rPr>
          <w:rFonts w:ascii="Arial" w:cs="Arial" w:eastAsia="Arial" w:hAnsi="Arial"/>
          <w:sz w:val="18"/>
          <w:szCs w:val="18"/>
          <w:color w:val="auto"/>
        </w:rPr>
        <w:t>.</w:t>
      </w:r>
      <w:r>
        <w:rPr>
          <w:rFonts w:ascii="Arial" w:cs="Arial" w:eastAsia="Arial" w:hAnsi="Arial"/>
          <w:sz w:val="18"/>
          <w:szCs w:val="18"/>
          <w:color w:val="FF0000"/>
          <w:strike w:val="1"/>
        </w:rPr>
        <w:t>M</w:t>
      </w:r>
      <w:r>
        <w:rPr>
          <w:rFonts w:ascii="Arial" w:cs="Arial" w:eastAsia="Arial" w:hAnsi="Arial"/>
          <w:sz w:val="18"/>
          <w:szCs w:val="18"/>
          <w:u w:val="single" w:color="auto"/>
          <w:color w:val="0000FF"/>
        </w:rPr>
        <w:t>m</w:t>
      </w:r>
      <w:r>
        <w:rPr>
          <w:rFonts w:ascii="Arial" w:cs="Arial" w:eastAsia="Arial" w:hAnsi="Arial"/>
          <w:sz w:val="18"/>
          <w:szCs w:val="18"/>
          <w:color w:val="auto"/>
        </w:rPr>
        <w:t xml:space="preserve">. on the Increase Effective Date, such payments to be made by the applicable Increasing Lenders and New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upon the respective increases in the amount of the Commitments held by such Lenders on the Increase Effective Date.</w:t>
      </w:r>
    </w:p>
    <w:p>
      <w:pPr>
        <w:spacing w:after="0" w:line="183" w:lineRule="exact"/>
        <w:rPr>
          <w:rFonts w:ascii="Arial" w:cs="Arial" w:eastAsia="Arial" w:hAnsi="Arial"/>
          <w:sz w:val="18"/>
          <w:szCs w:val="18"/>
          <w:color w:val="auto"/>
        </w:rPr>
      </w:pPr>
    </w:p>
    <w:p>
      <w:pPr>
        <w:jc w:val="both"/>
        <w:ind w:firstLine="1304"/>
        <w:spacing w:after="0" w:line="246" w:lineRule="auto"/>
        <w:tabs>
          <w:tab w:leader="none" w:pos="175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To the extent any of the Revolving Loans acquired by the applicable Increasing Lenders and New Lenders from the Decreasing Lenders pursuant to Section 2.19(e) above are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and the Increase Effective Date is not the last day of an Interest Period for such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the Decreasing Lenders shall be entitled to compensation from the Borrower as provided in Section 2.16 (as if Borrower had prepaid such Revolving Loans in an amount equal to the Acquired Portion on the Increase Effective Date).</w:t>
      </w:r>
    </w:p>
    <w:p>
      <w:pPr>
        <w:spacing w:after="0" w:line="16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Initial Term Loan</w:t>
      </w:r>
      <w:r>
        <w:rPr>
          <w:rFonts w:ascii="Arial" w:cs="Arial" w:eastAsia="Arial" w:hAnsi="Arial"/>
          <w:sz w:val="18"/>
          <w:szCs w:val="18"/>
          <w:color w:val="auto"/>
        </w:rPr>
        <w:t>. Subject to the terms and conditions of this Agreement and the other Loan Documents, and in reliance upon the representations and warranties set forth in this Agreement and the other Loan Documents, each Term Loan Lender severally agrees to</w:t>
      </w:r>
    </w:p>
    <w:p>
      <w:pPr>
        <w:spacing w:after="0" w:line="222" w:lineRule="auto"/>
        <w:rPr>
          <w:sz w:val="20"/>
          <w:szCs w:val="20"/>
          <w:color w:val="auto"/>
        </w:rPr>
      </w:pPr>
      <w:r>
        <w:rPr>
          <w:rFonts w:ascii="Arial" w:cs="Arial" w:eastAsia="Arial" w:hAnsi="Arial"/>
          <w:sz w:val="19"/>
          <w:szCs w:val="19"/>
          <w:color w:val="auto"/>
        </w:rPr>
        <w:t>make the Initial Term Loan to the Borrower on the First Amendment Effective Date in a principal amount equal to the amount of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Lender’s Initial Term Loan commitment as set forth on </w:t>
      </w:r>
      <w:r>
        <w:rPr>
          <w:rFonts w:ascii="Arial" w:cs="Arial" w:eastAsia="Arial" w:hAnsi="Arial"/>
          <w:sz w:val="20"/>
          <w:szCs w:val="20"/>
          <w:u w:val="single" w:color="auto"/>
          <w:color w:val="auto"/>
        </w:rPr>
        <w:t>Schedule 1.1A</w:t>
      </w:r>
      <w:r>
        <w:rPr>
          <w:rFonts w:ascii="Arial" w:cs="Arial" w:eastAsia="Arial" w:hAnsi="Arial"/>
          <w:sz w:val="20"/>
          <w:szCs w:val="20"/>
          <w:color w:val="auto"/>
        </w:rPr>
        <w:t>. Any obligation of the Term Loan Lenders to fund the Initial Term Loan shall terminate upon funding of the Initial Term Loan on the First Amendment Effective Date.</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6"/>
          <w:szCs w:val="16"/>
          <w:u w:val="single" w:color="auto"/>
          <w:color w:val="auto"/>
        </w:rPr>
        <w:t>Procedure for Advance of Term Loans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3" w:lineRule="auto"/>
        <w:tabs>
          <w:tab w:leader="none" w:pos="171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Initial Term Loan</w:t>
      </w:r>
      <w:r>
        <w:rPr>
          <w:rFonts w:ascii="Arial" w:cs="Arial" w:eastAsia="Arial" w:hAnsi="Arial"/>
          <w:sz w:val="20"/>
          <w:szCs w:val="20"/>
          <w:color w:val="auto"/>
        </w:rPr>
        <w:t xml:space="preserve">. The Borrower shall give the Administrative Agent an irrevocable Notice of Borrowing prior to 12:00 Noon on the First Amendment Effective Date requesting that the Term Loan Lenders make the Initial Term Loan as </w:t>
      </w:r>
      <w:r>
        <w:rPr>
          <w:rFonts w:ascii="Arial" w:cs="Arial" w:eastAsia="Arial" w:hAnsi="Arial"/>
          <w:sz w:val="20"/>
          <w:szCs w:val="20"/>
          <w:color w:val="FF0000"/>
          <w:strike w:val="1"/>
        </w:rPr>
        <w:t>a</w:t>
      </w:r>
      <w:r>
        <w:rPr>
          <w:rFonts w:ascii="Arial" w:cs="Arial" w:eastAsia="Arial" w:hAnsi="Arial"/>
          <w:sz w:val="20"/>
          <w:szCs w:val="20"/>
          <w:u w:val="single" w:color="auto"/>
          <w:color w:val="0000FF"/>
        </w:rPr>
        <w:t>an</w:t>
      </w:r>
      <w:r>
        <w:rPr>
          <w:rFonts w:ascii="Arial" w:cs="Arial" w:eastAsia="Arial" w:hAnsi="Arial"/>
          <w:sz w:val="20"/>
          <w:szCs w:val="20"/>
          <w:color w:val="auto"/>
        </w:rPr>
        <w:t xml:space="preserve"> ABR Loan on such date </w:t>
      </w:r>
      <w:r>
        <w:rPr>
          <w:rFonts w:ascii="Arial" w:cs="Arial" w:eastAsia="Arial" w:hAnsi="Arial"/>
          <w:sz w:val="20"/>
          <w:szCs w:val="20"/>
          <w:color w:val="FF0000"/>
          <w:strike w:val="1"/>
        </w:rPr>
        <w:t>(provided that the Borrower may request, no later than two (2) Business Days prior to the</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First Amendment Effective Date, that the Term Loan Lenders make the Initial Term Loan as a Eurodollar Loan if the Borrower has delivered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 xml:space="preserve">to the Administrative Agent a customary letter in form and substance reasonably satisfactory to the Administrative Agent indemnifying the Lenders in the manner set forth in </w:t>
      </w:r>
      <w:r>
        <w:rPr>
          <w:rFonts w:ascii="Arial" w:cs="Arial" w:eastAsia="Arial" w:hAnsi="Arial"/>
          <w:sz w:val="18"/>
          <w:szCs w:val="18"/>
          <w:u w:val="single" w:color="auto"/>
          <w:color w:val="FF0000"/>
          <w:strike w:val="1"/>
        </w:rPr>
        <w:t>Section 2.16</w:t>
      </w:r>
      <w:r>
        <w:rPr>
          <w:rFonts w:ascii="Arial" w:cs="Arial" w:eastAsia="Arial" w:hAnsi="Arial"/>
          <w:sz w:val="18"/>
          <w:szCs w:val="18"/>
          <w:color w:val="FF0000"/>
          <w:strike w:val="1"/>
        </w:rPr>
        <w:t xml:space="preserve"> of this Agreement)</w:t>
      </w:r>
      <w:r>
        <w:rPr>
          <w:rFonts w:ascii="Arial" w:cs="Arial" w:eastAsia="Arial" w:hAnsi="Arial"/>
          <w:sz w:val="18"/>
          <w:szCs w:val="18"/>
          <w:color w:val="000000"/>
          <w:strike w:val="1"/>
        </w:rPr>
        <w:t>. Upon receipt of such Notice of Borrowing from the Borrower, the</w:t>
      </w:r>
    </w:p>
    <w:p>
      <w:pPr>
        <w:spacing w:after="0" w:line="236" w:lineRule="auto"/>
        <w:rPr>
          <w:sz w:val="20"/>
          <w:szCs w:val="20"/>
          <w:color w:val="auto"/>
        </w:rPr>
      </w:pPr>
      <w:r>
        <w:rPr>
          <w:rFonts w:ascii="Arial" w:cs="Arial" w:eastAsia="Arial" w:hAnsi="Arial"/>
          <w:sz w:val="18"/>
          <w:szCs w:val="18"/>
          <w:color w:val="auto"/>
        </w:rPr>
        <w:t>Administrative Agent shall promptly notify each Term Loan Lender thereof. Not later than 1:00 p.m. on the First Amendment Effective Date,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each Term Loan Lender will make available to the Administrative Agent for the account of the Borrower, at the Funding Office in immediately available funds, the amount of such Initial Term Loan to be made by such Term Loan Lender on the First Amendment Effective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Date. The Borrower hereby irrevocably authorizes the Administrative Agent to disburse the proceeds of the Initial Term Loan in immediately available funds by wire transfer to such Person or Persons as may be designated by the Borrower in writing.</w:t>
      </w:r>
    </w:p>
    <w:p>
      <w:pPr>
        <w:spacing w:after="0" w:line="156" w:lineRule="exact"/>
        <w:rPr>
          <w:sz w:val="20"/>
          <w:szCs w:val="20"/>
          <w:color w:val="auto"/>
        </w:rPr>
      </w:pPr>
    </w:p>
    <w:p>
      <w:pPr>
        <w:ind w:left="1760" w:hanging="456"/>
        <w:spacing w:after="0"/>
        <w:tabs>
          <w:tab w:leader="none" w:pos="17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Any Incremental Term Loans shall be borrowed pursuant to, and in accordance with </w:t>
      </w:r>
      <w:r>
        <w:rPr>
          <w:rFonts w:ascii="Arial" w:cs="Arial" w:eastAsia="Arial" w:hAnsi="Arial"/>
          <w:sz w:val="18"/>
          <w:szCs w:val="18"/>
          <w:u w:val="single" w:color="auto"/>
          <w:color w:val="auto"/>
        </w:rPr>
        <w:t>Section</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2.19</w:t>
      </w:r>
      <w:r>
        <w:rPr>
          <w:rFonts w:ascii="Arial" w:cs="Arial" w:eastAsia="Arial" w:hAnsi="Arial"/>
          <w:sz w:val="20"/>
          <w:szCs w:val="20"/>
          <w:color w:val="auto"/>
        </w:rPr>
        <w: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6"/>
          <w:szCs w:val="16"/>
          <w:u w:val="single" w:color="auto"/>
          <w:color w:val="auto"/>
        </w:rPr>
        <w:t>Repayment of Term Loans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59" w:lineRule="auto"/>
        <w:tabs>
          <w:tab w:leader="none" w:pos="178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The Borrower shall repay the aggregate outstanding principal amount of the Initial Term Loan in consecutive quarterly installments equal to $3,750,000.00 on the last Business Day of each of March, June, September and December commencing March 31, 2022, except as the amounts of individual installments may be adjusted pursuant to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hereof.</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If not sooner paid, the Initial Term Loan shall be paid in full, together with accrued interest thereon, on the Term Loan Maturity Date.</w:t>
      </w:r>
    </w:p>
    <w:p>
      <w:pPr>
        <w:spacing w:after="0" w:line="92" w:lineRule="exact"/>
        <w:rPr>
          <w:sz w:val="20"/>
          <w:szCs w:val="20"/>
          <w:color w:val="auto"/>
        </w:rPr>
      </w:pPr>
    </w:p>
    <w:p>
      <w:pPr>
        <w:ind w:right="20" w:firstLine="1304"/>
        <w:spacing w:after="0" w:line="236" w:lineRule="auto"/>
        <w:tabs>
          <w:tab w:leader="none" w:pos="1805"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The Borrower shall repay the aggregate outstanding principal amount of any Incremental Term Loan as determined pursuant to, and in accordance with,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14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8"/>
          <w:szCs w:val="18"/>
          <w:u w:val="single" w:color="auto"/>
          <w:color w:val="auto"/>
        </w:rPr>
        <w:t>Optional Prepayments of Term Loans</w:t>
      </w:r>
      <w:r>
        <w:rPr>
          <w:rFonts w:ascii="Arial" w:cs="Arial" w:eastAsia="Arial" w:hAnsi="Arial"/>
          <w:sz w:val="18"/>
          <w:szCs w:val="18"/>
          <w:color w:val="auto"/>
        </w:rPr>
        <w:t>. The Borrower shall have the right at any time and from time to time, without premium</w:t>
      </w:r>
    </w:p>
    <w:p>
      <w:pPr>
        <w:spacing w:after="0" w:line="226" w:lineRule="auto"/>
        <w:rPr>
          <w:sz w:val="20"/>
          <w:szCs w:val="20"/>
          <w:color w:val="auto"/>
        </w:rPr>
      </w:pPr>
      <w:r>
        <w:rPr>
          <w:rFonts w:ascii="Arial" w:cs="Arial" w:eastAsia="Arial" w:hAnsi="Arial"/>
          <w:sz w:val="18"/>
          <w:szCs w:val="18"/>
          <w:color w:val="auto"/>
        </w:rPr>
        <w:t xml:space="preserve">or penalty, to prepay the Term Loans, in whole or in part, upon irrevocable notice delivered to the Administrative Agent no later than 12:00 Noon one </w:t>
      </w:r>
      <w:r>
        <w:rPr>
          <w:rFonts w:ascii="Arial" w:cs="Arial" w:eastAsia="Arial" w:hAnsi="Arial"/>
          <w:sz w:val="18"/>
          <w:szCs w:val="18"/>
          <w:color w:val="0000FF"/>
        </w:rPr>
        <w:t>U.S. Government Securities</w:t>
      </w:r>
      <w:r>
        <w:rPr>
          <w:rFonts w:ascii="Arial" w:cs="Arial" w:eastAsia="Arial" w:hAnsi="Arial"/>
          <w:sz w:val="18"/>
          <w:szCs w:val="18"/>
          <w:color w:val="auto"/>
        </w:rPr>
        <w:t xml:space="preserve"> Business Day prior thereto, in the case of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and no later than 12:00 Noon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-6350</wp:posOffset>
            </wp:positionV>
            <wp:extent cx="14579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9"/>
          <w:szCs w:val="19"/>
          <w:color w:val="auto"/>
        </w:rPr>
        <w:t>Business Day prior thereto, in the case of ABR Loans, which notice shall specify the date and amount of prepayment, whether the</w:t>
      </w:r>
    </w:p>
    <w:p>
      <w:pPr>
        <w:jc w:val="both"/>
        <w:spacing w:after="0" w:line="226" w:lineRule="auto"/>
        <w:rPr>
          <w:sz w:val="20"/>
          <w:szCs w:val="20"/>
          <w:color w:val="auto"/>
        </w:rPr>
      </w:pPr>
      <w:r>
        <w:rPr>
          <w:rFonts w:ascii="Arial" w:cs="Arial" w:eastAsia="Arial" w:hAnsi="Arial"/>
          <w:sz w:val="18"/>
          <w:szCs w:val="18"/>
          <w:color w:val="auto"/>
        </w:rPr>
        <w:t xml:space="preserve">prepayment is of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or ABR Loans or a combination thereof, and if a combination thereof, the amount allocable to each and whether the prepayment is of the Initial Term Loan, an Incremental Term Loan or a combination thereof, and if a combination thereof,</w:t>
      </w:r>
    </w:p>
    <w:p>
      <w:pPr>
        <w:spacing w:after="0" w:line="236" w:lineRule="auto"/>
        <w:rPr>
          <w:sz w:val="20"/>
          <w:szCs w:val="20"/>
          <w:color w:val="auto"/>
        </w:rPr>
      </w:pPr>
      <w:r>
        <w:rPr>
          <w:rFonts w:ascii="Arial" w:cs="Arial" w:eastAsia="Arial" w:hAnsi="Arial"/>
          <w:sz w:val="18"/>
          <w:szCs w:val="18"/>
          <w:color w:val="auto"/>
        </w:rPr>
        <w:t>the amount allocable to each. Each partial prepayment of the Term Loans hereunder shall be in an aggregate principal amount of at least</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$3,000,000 or a whole multiple of $500,000 in excess thereof and shall be applied, on a pro rata basis, to the outstanding principal installments of the Initial Term Loan and, if applicable, any Incremental Term Loans as directed by the Borrower. Each prepayment shall be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accompanied by any amount required to be paid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A notice of prepayment received after 12:00 Noon shall be deemed</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received on the next Business Day. The Administrative Agent shall promptly notify the applicable Term Loan Lenders of each notice of prepayment.</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w:t>
      </w:r>
    </w:p>
    <w:p>
      <w:pPr>
        <w:jc w:val="center"/>
        <w:spacing w:after="0"/>
        <w:rPr>
          <w:sz w:val="20"/>
          <w:szCs w:val="20"/>
          <w:color w:val="auto"/>
        </w:rPr>
      </w:pPr>
      <w:r>
        <w:rPr>
          <w:rFonts w:ascii="Arial" w:cs="Arial" w:eastAsia="Arial" w:hAnsi="Arial"/>
          <w:sz w:val="20"/>
          <w:szCs w:val="20"/>
          <w:b w:val="1"/>
          <w:bCs w:val="1"/>
          <w:color w:val="auto"/>
        </w:rPr>
        <w:t>LETTERS OF CREDIT</w:t>
      </w:r>
    </w:p>
    <w:p>
      <w:pPr>
        <w:spacing w:after="0" w:line="1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L/C Commitment</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34" w:lineRule="auto"/>
        <w:tabs>
          <w:tab w:leader="none" w:pos="18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On the terms and subject to the conditions hereof, the Issuing Lender, in reliance on the agreements of the other Revolving Loan Lenders set forth in Section 3.4(a), agrees to issue standby letters of credit (the letters of credit issued on or after the Effective Date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collectively, the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for the account of the Borrower on any Business Day on or after the Effective Date and during the Commitment Period in such form as may be approved from time to time by the Issuing Lender; provided, that no Issuing Lender shall issue any Letter of Credit if, after giving effect to such issuance, (i) the L/C Obligations would exceed the L/C Commitment or (ii) the aggregate amount of the Available Commitments would be less than zero. Each Letter of Credit shall (i) be denominated in Dollars and (ii) expire no later than the earlier of (x) the first anniversary of its date of issuance and (y) the date which is five Business Days prior to the Termination Date; provided that any Letter of Credit with a one-year term may provide for the extension of the expiry date thereof for additional one-year periods, which shall not extend beyond the date referred to in clause (y) above; provided further that any Letter of Credit may be extended until up to the twelve month anniversary of the Termination Date if the Borrower has, at least five Business Days prior to the Termination Date, delivered Cash Collateral with respect to such Letter of Credit to the Issuing Lender in an amount equal to 105% of the total L/C Obligations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accrued and unpaid interest thereon.</w:t>
      </w:r>
    </w:p>
    <w:p>
      <w:pPr>
        <w:spacing w:after="0" w:line="170" w:lineRule="exact"/>
        <w:rPr>
          <w:rFonts w:ascii="Arial" w:cs="Arial" w:eastAsia="Arial" w:hAnsi="Arial"/>
          <w:sz w:val="18"/>
          <w:szCs w:val="18"/>
          <w:color w:val="auto"/>
        </w:rPr>
      </w:pPr>
    </w:p>
    <w:p>
      <w:pPr>
        <w:jc w:val="both"/>
        <w:ind w:firstLine="1304"/>
        <w:spacing w:after="0" w:line="223" w:lineRule="auto"/>
        <w:tabs>
          <w:tab w:leader="none" w:pos="1748"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 Issuing Lender shall at any time be obligated to issue, amend, extend or renew any Letter of Credit hereunder if (i) such issuance, amendment, extension or renewal would conflict with, or cause the Issuing Lender or any L/C Participant to exceed any limits imposed by, any applicable Requirement of Law and (ii) a default of any Revolving Loan Lender’s obligations to fund under Section 3.4(a) exists or any Lender is at such time a Defaulting Lender hereunder, unless the Issuing Lender has entered into arrangements reasonably satisfactory to the Issuing Lender with the Borrower or such Lender to eliminate or mitigate the Issuing Lender’s risk with respect to such Lender or the Administrative Agent has received (as set forth in Section 3.13 below) Cash Collateral or similar security reasonably satisfactory to the Issuing Lender (in its sole discretion) from either the Borrower or such Defaulting Lender in respect of such Defaulting Lender’s obligation to fund under Section 3.4(a).</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Procedure for Issuance of Letters of Credit</w:t>
      </w:r>
    </w:p>
    <w:p>
      <w:pPr>
        <w:spacing w:after="0" w:line="189" w:lineRule="exact"/>
        <w:rPr>
          <w:sz w:val="20"/>
          <w:szCs w:val="20"/>
          <w:color w:val="auto"/>
        </w:rPr>
      </w:pPr>
    </w:p>
    <w:p>
      <w:pPr>
        <w:jc w:val="both"/>
        <w:ind w:firstLine="8"/>
        <w:spacing w:after="0" w:line="234" w:lineRule="auto"/>
        <w:tabs>
          <w:tab w:leader="none" w:pos="11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may from time to time request that the Issuing Lender issue a Letter of Credit by delivering to the Issuing Lender at its address for notices specified herein an Application therefor, completed to the satisfaction of the Issuing Lender, and such other certificates, documents and other papers and information as the Issuing Lender may request. Concurrently with the delivery of an Application to the Issuing Lender, the Borrower shall deliver a copy thereof to the Administrative Agent and the Administrative Agent shall provide notice of such request to the Lenders.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by issuing the original of such Letter of Credit to the beneficiary thereof or as otherwise may be agreed to by the Issuing Lender and the Borrower (but in no event shall any Issuing Lender be required to issue any Letter of Credit earlier than three Business Days after its receipt of the Application therefor and all such other certificates, documents and other papers and information relating thereto). Promptly after issuance by the Issuing Lender of a Letter of Credit, the Issuing Lender shall furnish a copy of such Letter of Credit to the Borrower. The Issuing Lender shall promptly give notice to the Administrative Agent of the issuance of each Letter of Credit issued by the Issuing Lender (including the amount thereof), and shall provide a</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copy of such Letter of Credit to the Administrative Agent as soon as possible after the date of issuance.</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u w:val="single" w:color="auto"/>
          <w:color w:val="auto"/>
        </w:rPr>
        <w:t>Fees and Other Charges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25" w:lineRule="auto"/>
        <w:tabs>
          <w:tab w:leader="none" w:pos="173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Borrower will pay a fee on the aggregate drawable amount of all outstanding Letters of Credit at a per annum rate equal to the Applicable Margin then in effect with respect to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shared ratably among the Revolving Loan Lenders in accordance with their respective Percentages and payable quarterly in arrears on each Fee Payment Date after the issuance date, provided that any Defaulting Lender shall not be entitled to receive any portion of such fee and the calculation of such fee shall exclude the amount that such Defaulting Lender is obligated to fund under Section 3.4(a) from and after the date such amount is secured by Cash Collateral in accordance with Section 3.13. On and after the occurrence of an Event of Default, until the time when such Event of Default shall have been cured or waived in writing by the Required Lenders or all the Revolving Loan Lenders (as required by this Agreement), the foregoing fee shall be increased by two percent (2.00%) payable on demand.</w:t>
      </w:r>
    </w:p>
    <w:p>
      <w:pPr>
        <w:spacing w:after="0" w:line="170" w:lineRule="exact"/>
        <w:rPr>
          <w:rFonts w:ascii="Arial" w:cs="Arial" w:eastAsia="Arial" w:hAnsi="Arial"/>
          <w:sz w:val="19"/>
          <w:szCs w:val="19"/>
          <w:color w:val="auto"/>
        </w:rPr>
      </w:pPr>
    </w:p>
    <w:p>
      <w:pPr>
        <w:jc w:val="both"/>
        <w:ind w:firstLine="1304"/>
        <w:spacing w:after="0" w:line="225" w:lineRule="auto"/>
        <w:tabs>
          <w:tab w:leader="none" w:pos="176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Borrower shall pay directly to the Issuing Lender for its own account a fronting fee in an amount with respect to each Letter of Credit equal to 0.10% per annum of the amount of such Letter of Credit or such other fee as may be agreed upon as between the Borrower and the Issuing Lender, due and payable quarterly in arrears on each Fee Payment Date after the issuance date;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case of an increase in the amount of a Letter of Credit after the issuance thereof, such fronting fee shall be payable only on the increased amount thereof. In addition to the foregoing fees, the Borrower shall pay or reimburse the Issuing Lender for such normal and customary costs and expenses as are incurred or charged by the Issuing Lender in issuing, negotiating, effecting payment under, amending, renewing or otherwise administering any Letter of Credit.</w:t>
      </w:r>
    </w:p>
    <w:p>
      <w:pPr>
        <w:spacing w:after="0" w:line="1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u w:val="single" w:color="auto"/>
          <w:color w:val="auto"/>
        </w:rPr>
        <w:t>L/C Participations</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33" w:lineRule="auto"/>
        <w:tabs>
          <w:tab w:leader="none" w:pos="17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Percentage in the Issuing Lender’s obligations and rights under each Letter of Credit issued by the Issuing Lender hereunder and the amount of each draft paid by the Issuing Lender thereunder. Each L/C Participant unconditionally and irrevocably agrees with the Issuing Lender that, if a draft is paid under any Letter of Credit issued by the Issuing Lender for which the Issuing Lender is not reimbursed in full by the Borrower in accordance with the terms of this Agreement, such L/C Participant shall pay to the Administrative Agent for the account of the Issuing Lender upon demand at the Issuing Lender’s address for notices specified herein (and thereafter the Administrative Agent shall promptly pay to the Issuing Lender) an amount equal to such L/C Participant’s Percentage of the amount of such draft, or any part thereof, that is not so reimbursed. Each L/C Participant’s obligation to pay such amount shall be absolute and unconditional and shall not be affected by any circumstance, including (i) any setoff, offset, counterclaim, recoupment, defense or other right that such L/C Participant may have against the Issuing Lender, the Borrower or any other Person for any reason whatsoever, (ii) the occurrence or continuance of a Default or an Event of Default or the failure to satisfy any of the other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(iii) any adverse change in the condition (financial or otherwise) of the Borrower, (iv) any breach of this Agreement or any other Loan Document by the Borrower, any other Borrower or any other L/C Participant or (v) any other circumstance, happening or event whatsoever, whether or not similar to any of the foregoing.</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90" w:lineRule="exact"/>
        <w:rPr>
          <w:sz w:val="20"/>
          <w:szCs w:val="20"/>
          <w:color w:val="auto"/>
        </w:rPr>
      </w:pPr>
    </w:p>
    <w:p>
      <w:pPr>
        <w:jc w:val="both"/>
        <w:ind w:firstLine="1304"/>
        <w:spacing w:after="0" w:line="221" w:lineRule="auto"/>
        <w:tabs>
          <w:tab w:leader="none" w:pos="174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If any amount (a “</w:t>
      </w:r>
      <w:r>
        <w:rPr>
          <w:rFonts w:ascii="Arial" w:cs="Arial" w:eastAsia="Arial" w:hAnsi="Arial"/>
          <w:sz w:val="19"/>
          <w:szCs w:val="19"/>
          <w:u w:val="single" w:color="auto"/>
          <w:color w:val="auto"/>
        </w:rPr>
        <w:t>Participation Amount</w:t>
      </w:r>
      <w:r>
        <w:rPr>
          <w:rFonts w:ascii="Arial" w:cs="Arial" w:eastAsia="Arial" w:hAnsi="Arial"/>
          <w:sz w:val="19"/>
          <w:szCs w:val="19"/>
          <w:color w:val="auto"/>
        </w:rPr>
        <w:t xml:space="preserve">”) required to be paid by any L/C Participant to the Issuing Lender pursuant to Section 3.4(a) in respect of any unreimbursed portion of any payment made by the Issuing Lender under any Letter of Credit is paid to the Issuing Lender within three Business Days after the date such payment is due, the Issuing Lender shall so notify the Administrative Agent, which shall promptly notify the L/C Participants, and each L/C Participant shall pay to the Administrative Agent, for the account of the Issuing Lender, on demand (and thereafter the Administrative Agent shall promptly pay to the Issuing Lender) an amount equal to the product of (i) such Participation Amount,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 the daily average Federal Funds Effective Rate during the period from and including the date such payment is required to the date on which such payment is immediately available to the Issuing Lender,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(iii) a fraction the numerator of which is the number of days that elapse during such period and the denominator of which is 360. If any Participation Amount required to be paid by any L/C Participant pursuant to Section 3.4(a) is not made available to the Administrative Agent for the account of the Issuing Lender by such L/C Participant within three Business Days after the date such payment is due, the Administrative Agent on behalf of the Issuing Lender shall be entitled to recover from such L/C Participant, on demand, such Participation Amount with interest thereon calculated from such due date at the rate per annum applicable to ABR Loans. A certificate of the Administrative Agent submitted on behalf of the Issuing Lender to any L/C Participant with respect to any amounts owing under this Section shall be conclusive in the absence of manifest error.</w:t>
      </w:r>
    </w:p>
    <w:p>
      <w:pPr>
        <w:spacing w:after="0" w:line="166" w:lineRule="exact"/>
        <w:rPr>
          <w:rFonts w:ascii="Arial" w:cs="Arial" w:eastAsia="Arial" w:hAnsi="Arial"/>
          <w:sz w:val="19"/>
          <w:szCs w:val="19"/>
          <w:color w:val="auto"/>
        </w:rPr>
      </w:pPr>
    </w:p>
    <w:p>
      <w:pPr>
        <w:jc w:val="both"/>
        <w:ind w:firstLine="1304"/>
        <w:spacing w:after="0" w:line="237" w:lineRule="auto"/>
        <w:tabs>
          <w:tab w:leader="none" w:pos="172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Whenever, at any time after the Issuing Lender has made payment under any Letter of Credit and has received from the Administrative Agent any L/C Participant’s pro rata 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the Administrative Agent for the account of such L/C Participant (and thereafter the Administrative Agent will promptly distribute to such L/C Participant) its pro rata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any such payment received by the Issuing Lender shall be required to be returned by the Issuing Lender, such L/C Participant shall return to the Administrative Agent for the account of the Issuing Lender (and thereafter the Administrative Agent shall promptly return to the Issuing Lender) the portion thereof previously distributed by the Issuing Lender.</w:t>
      </w:r>
    </w:p>
    <w:p>
      <w:pPr>
        <w:spacing w:after="0" w:line="1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u w:val="single" w:color="auto"/>
          <w:color w:val="auto"/>
        </w:rPr>
        <w:t>Reimbursement Obligation of the Borrower</w:t>
      </w:r>
    </w:p>
    <w:p>
      <w:pPr>
        <w:spacing w:after="0" w:line="189" w:lineRule="exact"/>
        <w:rPr>
          <w:sz w:val="20"/>
          <w:szCs w:val="20"/>
          <w:color w:val="auto"/>
        </w:rPr>
      </w:pPr>
    </w:p>
    <w:p>
      <w:pPr>
        <w:jc w:val="both"/>
        <w:ind w:firstLine="8"/>
        <w:spacing w:after="0" w:line="231" w:lineRule="auto"/>
        <w:tabs>
          <w:tab w:leader="none" w:pos="1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Borrower agrees to reimburse the Issuing Lender on (i) the Business Day on which the Borrower receives notice from the Issuing Lender of a draft drawn on a Letter of Credit issued by the Issuing Lender and paid by the Issuing Lender, if such notice is received on such Business Day prior to 10:00 </w:t>
      </w:r>
      <w:r>
        <w:rPr>
          <w:rFonts w:ascii="Arial" w:cs="Arial" w:eastAsia="Arial" w:hAnsi="Arial"/>
          <w:sz w:val="18"/>
          <w:szCs w:val="18"/>
          <w:color w:val="FF0000"/>
          <w:strike w:val="1"/>
        </w:rPr>
        <w:t>A</w:t>
      </w:r>
      <w:r>
        <w:rPr>
          <w:rFonts w:ascii="Arial" w:cs="Arial" w:eastAsia="Arial" w:hAnsi="Arial"/>
          <w:sz w:val="18"/>
          <w:szCs w:val="18"/>
          <w:u w:val="single" w:color="auto"/>
          <w:color w:val="0000FF"/>
        </w:rPr>
        <w:t>a</w:t>
      </w:r>
      <w:r>
        <w:rPr>
          <w:rFonts w:ascii="Arial" w:cs="Arial" w:eastAsia="Arial" w:hAnsi="Arial"/>
          <w:sz w:val="18"/>
          <w:szCs w:val="18"/>
          <w:color w:val="auto"/>
        </w:rPr>
        <w:t>.</w:t>
      </w:r>
      <w:r>
        <w:rPr>
          <w:rFonts w:ascii="Arial" w:cs="Arial" w:eastAsia="Arial" w:hAnsi="Arial"/>
          <w:sz w:val="18"/>
          <w:szCs w:val="18"/>
          <w:color w:val="FF0000"/>
          <w:strike w:val="1"/>
        </w:rPr>
        <w:t>M</w:t>
      </w:r>
      <w:r>
        <w:rPr>
          <w:rFonts w:ascii="Arial" w:cs="Arial" w:eastAsia="Arial" w:hAnsi="Arial"/>
          <w:sz w:val="18"/>
          <w:szCs w:val="18"/>
          <w:u w:val="single" w:color="auto"/>
          <w:color w:val="0000FF"/>
        </w:rPr>
        <w:t>m</w:t>
      </w:r>
      <w:r>
        <w:rPr>
          <w:rFonts w:ascii="Arial" w:cs="Arial" w:eastAsia="Arial" w:hAnsi="Arial"/>
          <w:sz w:val="18"/>
          <w:szCs w:val="18"/>
          <w:color w:val="auto"/>
        </w:rPr>
        <w:t>. or (ii) if clause (i) above does not apply, the Business Day immediately following the day on which the Borrower receives such notice, for the amount of (A) such draft so paid and (B) any taxes, fees, charges or other costs or expenses incurred by the Issuing Lender in connection with such payment which are obligations of the Borrower hereunder (the amounts described in the foregoing clauses (A) and (B) in respect of any drawing, collectively, the “</w:t>
      </w:r>
      <w:r>
        <w:rPr>
          <w:rFonts w:ascii="Arial" w:cs="Arial" w:eastAsia="Arial" w:hAnsi="Arial"/>
          <w:sz w:val="18"/>
          <w:szCs w:val="18"/>
          <w:u w:val="single" w:color="auto"/>
          <w:color w:val="auto"/>
        </w:rPr>
        <w:t>Payment Amount</w:t>
      </w:r>
      <w:r>
        <w:rPr>
          <w:rFonts w:ascii="Arial" w:cs="Arial" w:eastAsia="Arial" w:hAnsi="Arial"/>
          <w:sz w:val="18"/>
          <w:szCs w:val="18"/>
          <w:color w:val="auto"/>
        </w:rPr>
        <w:t>”). Each such payment shall be made to the Issuing Lender at its address for notices specified herein in lawful money of the United States of America and in immediately available funds. Interest shall be payable on each Payment Amount from the date of the applicable drawing until payment in full at the rate set forth in</w:t>
      </w:r>
    </w:p>
    <w:p>
      <w:pPr>
        <w:spacing w:after="0" w:line="1" w:lineRule="exact"/>
        <w:rPr>
          <w:rFonts w:ascii="Arial" w:cs="Arial" w:eastAsia="Arial" w:hAnsi="Arial"/>
          <w:sz w:val="18"/>
          <w:szCs w:val="18"/>
          <w:color w:val="auto"/>
        </w:rPr>
      </w:pPr>
    </w:p>
    <w:p>
      <w:pPr>
        <w:jc w:val="both"/>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(i) until the second Business Day following the date of the applicable drawing, Section 2.10(b) and (ii) thereafter, Section 2.10(c). Each drawing under any Letter of Credit shall (unless an event of the type described in clause (i) or (ii) of </w:t>
      </w:r>
      <w:r>
        <w:rPr>
          <w:rFonts w:ascii="Arial" w:cs="Arial" w:eastAsia="Arial" w:hAnsi="Arial"/>
          <w:sz w:val="18"/>
          <w:szCs w:val="18"/>
          <w:u w:val="single" w:color="auto"/>
          <w:color w:val="auto"/>
        </w:rPr>
        <w:t>Section 8(f)</w:t>
      </w:r>
      <w:r>
        <w:rPr>
          <w:rFonts w:ascii="Arial" w:cs="Arial" w:eastAsia="Arial" w:hAnsi="Arial"/>
          <w:sz w:val="18"/>
          <w:szCs w:val="18"/>
          <w:color w:val="auto"/>
        </w:rPr>
        <w:t xml:space="preserve"> shall have occurred and be continuing with respect to the Borrower, in which case the procedures specified in Section 3.4 for funding by L/C Participants shall apply) constitute a request by the Borrower to the Administrative Agent for a borrowing pursuant to Section 2.1 of ABR Loans (or, at the option of the Administrative Agent and the Swingline Lender in their sole discretion, a borrowing pursuant to Section 2.3 of Swingline</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Loans) in the amount of such drawing. The Borrowing Date with respect to such borrowing shall be the first date on which a borrowing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Revolving Loans (or, if applicable, Swingline Loans) could be made, pursuant to Section 2.1 (or, if applicable, Section 2.3), if the Administrative Agent had received a notice of such borrowing at the time the Administrative Agent receives notice from the Issuing Lender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such drawing under such Letter of Credit.</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8"/>
          <w:szCs w:val="18"/>
          <w:u w:val="single" w:color="auto"/>
          <w:color w:val="auto"/>
        </w:rPr>
        <w:t>Obligations Absolute</w:t>
      </w:r>
    </w:p>
    <w:p>
      <w:pPr>
        <w:spacing w:after="0" w:line="175" w:lineRule="exact"/>
        <w:rPr>
          <w:sz w:val="20"/>
          <w:szCs w:val="20"/>
          <w:color w:val="auto"/>
        </w:rPr>
      </w:pPr>
    </w:p>
    <w:p>
      <w:pPr>
        <w:jc w:val="both"/>
        <w:ind w:firstLine="8"/>
        <w:spacing w:after="0" w:line="232" w:lineRule="auto"/>
        <w:tabs>
          <w:tab w:leader="none" w:pos="1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Borrower’s obligations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this Agreement or any Letter of Credit, or any term or provision herein or therein, (ii) any draft or other document presented under a Letter of Credit proving to be forged, fraudulent or invalid in any respect or any statement in such draft or other document being untrue or inaccurate in any respect, (iii) payment by the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Without waiving any claim the Borrower may assert against the Issuing Lender pursuant to Section 3.12, the Borrower also agrees with the Issuing Lender that the Issuing Lender shall not be responsible for, and the Borrower’s Reimbursement Obligations under Section 3.5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loss or delay in transmission, dispatch or delivery of any draft, notice, message or advice, however transmitted, under or relating to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issued by it or the related drafts or documents, if done in the absence of gross negligence or willful misconduct (as finally determined by a court of competent jurisdiction) and in accordance with the standards or care specified in the Uniform Commercial Code of the State of New York, shall be binding on the Borrower and shall not result in any liability of the Issuing Lender to the Borrower.</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u w:val="single" w:color="auto"/>
          <w:color w:val="auto"/>
        </w:rPr>
        <w:t>Letter of Credit Payments</w:t>
      </w:r>
    </w:p>
    <w:p>
      <w:pPr>
        <w:spacing w:after="0" w:line="189" w:lineRule="exact"/>
        <w:rPr>
          <w:sz w:val="20"/>
          <w:szCs w:val="20"/>
          <w:color w:val="auto"/>
        </w:rPr>
      </w:pPr>
    </w:p>
    <w:p>
      <w:pPr>
        <w:jc w:val="both"/>
        <w:ind w:firstLine="8"/>
        <w:spacing w:after="0" w:line="229" w:lineRule="auto"/>
        <w:tabs>
          <w:tab w:leader="none" w:pos="12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any draft shall be presented for payment under any Letter of Credit, the Issuing Lender shall promptly notify the Borrower and the Administrative Agent of the date and amount thereof. The responsibility of the Issuing Lender to the Borrower in connection with any draft presented for payment under any Letter of Credit, in addition to any payment obligation expressly provided for in such Letter of Credit issued by the Issuing Lender, shall be limited to determining that the documents (including each draft) delivered under such Letter of Credit in connection with such presentment appear on their face to be in conformity with such Letter of Credit.</w:t>
      </w:r>
    </w:p>
    <w:p>
      <w:pPr>
        <w:spacing w:after="0" w:line="1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8"/>
          <w:szCs w:val="18"/>
          <w:u w:val="single" w:color="auto"/>
          <w:color w:val="auto"/>
        </w:rPr>
        <w:t>Applications</w:t>
      </w:r>
    </w:p>
    <w:p>
      <w:pPr>
        <w:spacing w:after="0" w:line="189" w:lineRule="exact"/>
        <w:rPr>
          <w:sz w:val="20"/>
          <w:szCs w:val="20"/>
          <w:color w:val="auto"/>
        </w:rPr>
      </w:pPr>
    </w:p>
    <w:p>
      <w:pPr>
        <w:ind w:firstLine="8"/>
        <w:spacing w:after="0" w:line="236" w:lineRule="auto"/>
        <w:tabs>
          <w:tab w:leader="none" w:pos="9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To the extent that any provision of any Application related to any Letter of Credit is inconsistent with the 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3 shall apply.</w:t>
      </w:r>
    </w:p>
    <w:p>
      <w:pPr>
        <w:spacing w:after="0" w:line="15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8"/>
          <w:szCs w:val="18"/>
          <w:u w:val="single" w:color="auto"/>
          <w:color w:val="auto"/>
        </w:rPr>
        <w:t>Actions of Issuing Lender</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90" w:lineRule="exact"/>
        <w:rPr>
          <w:sz w:val="20"/>
          <w:szCs w:val="20"/>
          <w:color w:val="auto"/>
        </w:rPr>
      </w:pPr>
    </w:p>
    <w:p>
      <w:pPr>
        <w:jc w:val="both"/>
        <w:ind w:left="-8" w:firstLine="8"/>
        <w:spacing w:after="0" w:line="235" w:lineRule="auto"/>
        <w:tabs>
          <w:tab w:leader="none" w:pos="1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Issuing Lender shall be entitled to rely, and shall be fully protected in relying, upon any draft, writing, resolution, notice, consent, certificate, affidavit, letter, cablegram, telegram, telecopy, telex or teletype message, statement, order or other document believed by it in good faith to be genuine and correct and to have been signed, sent or made by the proper Person or Persons, and upon advice and statements of legal counsel, independent accountants and other experts selected by the Issuing Lender. The Issuing Lender shall be fully justified in failing or refusing to take any action under this Agreement unless it shall first have received such advice or concurrence of the Required Lenders as it reasonably deems appropriate or it shall first be indemnified to its reasonable satisfaction by the Revolving Loan Lenders against any and all liability and expense which may be incurred by it by reason of taking or continuing to take any such action. Notwithstanding any other provision of this Section 3.9, the Issuing Lender shall in all cases be fully protected in acting, or in refraining from acting, under this Agreement in accordance with a request of the Required Lenders, and such request and any action taken or failure to act pursuant thereto shall be binding upon the Lenders and any future holders of a participation in any Letter of Credit.</w:t>
      </w:r>
    </w:p>
    <w:p>
      <w:pPr>
        <w:spacing w:after="0" w:line="174" w:lineRule="exact"/>
        <w:rPr>
          <w:sz w:val="20"/>
          <w:szCs w:val="20"/>
          <w:color w:val="auto"/>
        </w:rPr>
      </w:pPr>
    </w:p>
    <w:p>
      <w:pPr>
        <w:ind w:left="652"/>
        <w:spacing w:after="0"/>
        <w:tabs>
          <w:tab w:leader="none" w:pos="1172"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8"/>
          <w:szCs w:val="18"/>
          <w:u w:val="single" w:color="auto"/>
          <w:color w:val="auto"/>
        </w:rPr>
        <w:t>Borrower’s Indemnification</w:t>
      </w:r>
    </w:p>
    <w:p>
      <w:pPr>
        <w:spacing w:after="0" w:line="175" w:lineRule="exact"/>
        <w:rPr>
          <w:sz w:val="20"/>
          <w:szCs w:val="20"/>
          <w:color w:val="auto"/>
        </w:rPr>
      </w:pPr>
    </w:p>
    <w:p>
      <w:pPr>
        <w:jc w:val="both"/>
        <w:ind w:left="-8" w:firstLine="8"/>
        <w:spacing w:after="0" w:line="233" w:lineRule="auto"/>
        <w:tabs>
          <w:tab w:leader="none" w:pos="11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Borrower hereby agrees to indemnify and hold harmless each Revolving Loan Lender, the Issuing Lender and the Administrative Agent, and their respective directors, officers, agents and employees from and against any and all claims and damages, losses, liabilities, costs or expenses which such Lender, the Issuing Lender or the Administrative Agent may incur (or which may be claimed against such Lender, the Issuing Lender or the Administrative Agent by any Person whatsoever) by reason of or in connection with the issuance, execution and delivery or transfer of or payment or failure to pay under any Letter of Credit or any actual or proposed use of any Letter of Credit, including, without limitation, any claims, damages, losses, liabilities, costs or expenses which the Issuing Lender may incur by reason of or in connection with (i) the failure of any other Revolving Loan Lender to fulfill or comply with its obligations to the Issuing Lender hereunder (but nothing herein contained shall affect any rights the Borrower may have against any Defaulting Lender) or (ii) by reason of or on account of the Issuing Lender issuing any Letter of Credit which specifies that the term “Beneficiary” included therein includes any successor by operation of law of the named Beneficiary, but which Letter of Credit does not require that any drawing by any such successor Beneficiary be accompanied by a copy of a legal document, satisfactory to the Issuing Lender, evidencing the appointment of such successor Beneficiary; provided that the Borrower shall not be required to indemnify any Revolving Loan Lender, any Issuing Lender or the Administrative Agent for any claims, damages, losses, liabilities, costs or expenses to the extent, but only to the extent, caused by (x) the willful misconduct or gross negligence of the Issuing Lender in determining whether a request presented under any Letter of Credit complied with the terms of such Letter of Credit or (y) the Issuing Lender’s failure to pay under any Letter of Credit after the presentation to it of a request strictly complying with the terms and conditions of such Letter of Credit. Nothing in this Section is intended to limit the obligations of the Borrower under any other provision of this Agreement.</w:t>
      </w:r>
    </w:p>
    <w:p>
      <w:pPr>
        <w:spacing w:after="0" w:line="161" w:lineRule="exact"/>
        <w:rPr>
          <w:sz w:val="20"/>
          <w:szCs w:val="20"/>
          <w:color w:val="auto"/>
        </w:rPr>
      </w:pPr>
    </w:p>
    <w:p>
      <w:pPr>
        <w:ind w:left="652"/>
        <w:spacing w:after="0"/>
        <w:tabs>
          <w:tab w:leader="none" w:pos="1172"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u w:val="single" w:color="auto"/>
          <w:color w:val="auto"/>
        </w:rPr>
        <w:t>Lenders’ Indemnification</w:t>
      </w:r>
    </w:p>
    <w:p>
      <w:pPr>
        <w:spacing w:after="0" w:line="189" w:lineRule="exact"/>
        <w:rPr>
          <w:sz w:val="20"/>
          <w:szCs w:val="20"/>
          <w:color w:val="auto"/>
        </w:rPr>
      </w:pPr>
    </w:p>
    <w:p>
      <w:pPr>
        <w:jc w:val="both"/>
        <w:ind w:left="-8" w:firstLine="8"/>
        <w:spacing w:after="0" w:line="214" w:lineRule="auto"/>
        <w:tabs>
          <w:tab w:leader="none" w:pos="131"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Revolving Loan Lender shall, ratably in accordance with its Percentage, indemnify the Issuing Lender,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the Issuing Lender’s failure to pay under any Letter of Credit after the presentation to it of a request strictly complying with the terms and conditions of the Letter of Credit) that such indemnitees may suffer or incur in connection with this Section or any action taken or omitted by such indemnitees hereunder.</w:t>
      </w:r>
    </w:p>
    <w:p>
      <w:pPr>
        <w:spacing w:after="0" w:line="174" w:lineRule="exact"/>
        <w:rPr>
          <w:sz w:val="20"/>
          <w:szCs w:val="20"/>
          <w:color w:val="auto"/>
        </w:rPr>
      </w:pPr>
    </w:p>
    <w:p>
      <w:pPr>
        <w:ind w:left="652"/>
        <w:spacing w:after="0"/>
        <w:tabs>
          <w:tab w:leader="none" w:pos="1172"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u w:val="single" w:color="auto"/>
          <w:color w:val="auto"/>
        </w:rPr>
        <w:t>Claims Against Issuing Lender</w:t>
      </w:r>
    </w:p>
    <w:p>
      <w:pPr>
        <w:sectPr>
          <w:pgSz w:w="11900" w:h="16838" w:orient="portrait"/>
          <w:cols w:equalWidth="0" w:num="1">
            <w:col w:w="11232"/>
          </w:cols>
          <w:pgMar w:left="328" w:top="1440" w:right="339" w:bottom="1440" w:gutter="0" w:footer="0" w:header="0"/>
        </w:sectPr>
      </w:pPr>
    </w:p>
    <w:bookmarkStart w:id="109" w:name="page110"/>
    <w:bookmarkEnd w:id="109"/>
    <w:p>
      <w:pPr>
        <w:spacing w:after="0" w:line="290" w:lineRule="exact"/>
        <w:rPr>
          <w:sz w:val="20"/>
          <w:szCs w:val="20"/>
          <w:color w:val="auto"/>
        </w:rPr>
      </w:pPr>
    </w:p>
    <w:p>
      <w:pPr>
        <w:jc w:val="both"/>
        <w:ind w:firstLine="8"/>
        <w:spacing w:after="0" w:line="220" w:lineRule="auto"/>
        <w:tabs>
          <w:tab w:leader="none" w:pos="99"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Borrower will have a claim against the Issuing Lender, and the Issuing Lender will be liable to the Borrower, to the extent, but only to the extent, of any direct, as opposed to consequential or exemplary, damages suffered by the Borrower which the Borrower proves were caused by the Issuing Lender’s willful misconduct or gross negligence or the Issuing Lender’s payment or failure to pay under any Letter of Credit that is in violation of Article 5 of the Uniform Commercial Code.</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38" w:lineRule="auto"/>
        <w:tabs>
          <w:tab w:leader="none" w:pos="17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Upon the request of the Administrative Agent, if the Issuing Lender has honored any full or partial drawing request under any Letter of Credit and such drawing shall not have been funded pursuant to Section 3.4, the Borrower shall immediately Cash Collateralize the Obligations in an amount equal to 105% of the L/C Obligations related to such Letter of Credit. The Borrower hereby grants the Administrative Agent, for the benefit of the Issuing Lender and the Revolving Loan Lenders, a Lien on all such cash and deposit account balances described in the definition of “Cash Collateral” as security for the Obligations. The Lien held by the Administrative Agent in such Cash Collateral to secure the Obligations shall be released upon the satisfaction of each of the following conditions: (1) all drawings under such Letter of Credit shall have been repaid in full and (2) no Default shall have occurred and be continuing.</w:t>
      </w:r>
    </w:p>
    <w:p>
      <w:pPr>
        <w:spacing w:after="0" w:line="169" w:lineRule="exact"/>
        <w:rPr>
          <w:rFonts w:ascii="Arial" w:cs="Arial" w:eastAsia="Arial" w:hAnsi="Arial"/>
          <w:sz w:val="18"/>
          <w:szCs w:val="18"/>
          <w:color w:val="auto"/>
        </w:rPr>
      </w:pPr>
    </w:p>
    <w:p>
      <w:pPr>
        <w:jc w:val="both"/>
        <w:ind w:firstLine="1304"/>
        <w:spacing w:after="0" w:line="234" w:lineRule="auto"/>
        <w:tabs>
          <w:tab w:leader="none" w:pos="178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In addition to the provisions set forth in Section 3.13(a) and Section 3.1(b), if at any time during which one or more Letters of Credit are outstanding, any Revolving Loan Lender is at such time a Defaulting Lender, then no later than one Business Day of written demand thereof from the Issuing Lender, such Defaulting Lender shall provide the Administrative Agent with Cash Collateral or similar security satisfactory to the Issuing Lender (in its sole discretion) in respect of such Defaulting Lender’s obligation to fund under Section 3.4(a) in an amount not less than the aggregate amount of such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Defaulting Lender fails to provide such Cash Collateral, the Borrower shall provide such Cash Collateral within three Business Days of written demand from the Administrative Agent. The Borrower and such Defaulting Lender, as applicable, hereby grant to the Administrative Agent, for the benefit of the Issuing Lender, a security interest in all such Cash Collateral and all proceeds of the foregoing. If at any time the Administrative Agent determines that any funds held as Cash Collateral are subject to any right or claim of any Person other than the Administrative Agent or that the total amount of such funds is less than the aggregate L/C Obligations in respect of such Defaulting Lender, the Borrower will, promptly upon demand by the Administrative Agent, pay to the Administrative Agent, as additional funds to be deposited as Cash Collateral, an amount equal to the excess of (x) such aggregate L/C Obligations over (y) the total amount of funds, if any, then held as Cash Collateral that the Administrative Agent determines to be free and clear of any such right and claim.</w:t>
      </w:r>
    </w:p>
    <w:p>
      <w:pPr>
        <w:spacing w:after="0" w:line="157" w:lineRule="exact"/>
        <w:rPr>
          <w:rFonts w:ascii="Arial" w:cs="Arial" w:eastAsia="Arial" w:hAnsi="Arial"/>
          <w:sz w:val="18"/>
          <w:szCs w:val="18"/>
          <w:color w:val="auto"/>
        </w:rPr>
      </w:pPr>
    </w:p>
    <w:p>
      <w:pPr>
        <w:jc w:val="both"/>
        <w:ind w:firstLine="1304"/>
        <w:spacing w:after="0" w:line="218" w:lineRule="auto"/>
        <w:tabs>
          <w:tab w:leader="none" w:pos="181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Cash Collateral shall be maintained in blocked deposit accounts at Wells Fargo. Such accounts must be subject to control agreements pursuant to which the Administrative Agent has “control,” as such term is used in the Uniform Commercial Code, sufficient to perfect on a first priority basis a security interest in such Cash Collateral. Upon the drawing of any Letter of Credit for which funds are on deposit as Cash Collateral, such funds shall be applied, to the extent permitted under applicable Requirement of Law, to reimburse the Issuing Lender.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4</w:t>
      </w: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To induce the Administrative Agent and the Lenders to enter into this Agreement and to make the Loans and issue or</w:t>
      </w:r>
    </w:p>
    <w:p>
      <w:pPr>
        <w:spacing w:after="0" w:line="207" w:lineRule="auto"/>
        <w:rPr>
          <w:sz w:val="20"/>
          <w:szCs w:val="20"/>
          <w:color w:val="auto"/>
        </w:rPr>
      </w:pPr>
      <w:r>
        <w:rPr>
          <w:rFonts w:ascii="Arial" w:cs="Arial" w:eastAsia="Arial" w:hAnsi="Arial"/>
          <w:sz w:val="19"/>
          <w:szCs w:val="19"/>
          <w:color w:val="auto"/>
        </w:rPr>
        <w:t>participate in the Letters of Credit, the Borrower hereby represents and warrants to the Administrative Agent and each Lender, on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and on the date of each Credit Event hereunder after the Effective Date, that:</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Financial Condition</w:t>
      </w:r>
      <w:r>
        <w:rPr>
          <w:rFonts w:ascii="Arial" w:cs="Arial" w:eastAsia="Arial" w:hAnsi="Arial"/>
          <w:sz w:val="18"/>
          <w:szCs w:val="18"/>
          <w:color w:val="auto"/>
        </w:rPr>
        <w:t>.</w:t>
      </w:r>
    </w:p>
    <w:p>
      <w:pPr>
        <w:spacing w:after="0" w:line="18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audited consolidated balance sheets of the Borrower and its consolidated Subsidiaries as of September 30, 2019 and 2020, and the related consolidated statements of income and cash flows for the fiscal years ended September 30, 2019 and 2020, reported on by Deloitte &amp;</w:t>
      </w:r>
    </w:p>
    <w:p>
      <w:pPr>
        <w:spacing w:after="0" w:line="236" w:lineRule="auto"/>
        <w:rPr>
          <w:sz w:val="20"/>
          <w:szCs w:val="20"/>
          <w:color w:val="auto"/>
        </w:rPr>
      </w:pPr>
      <w:r>
        <w:rPr>
          <w:rFonts w:ascii="Arial" w:cs="Arial" w:eastAsia="Arial" w:hAnsi="Arial"/>
          <w:sz w:val="18"/>
          <w:szCs w:val="18"/>
          <w:color w:val="auto"/>
        </w:rPr>
        <w:t>Touche LLP, as applicable, present fairly the consolidated financial condition of the Borrower and its consolidated Subsidiaries as of such</w:t>
      </w:r>
    </w:p>
    <w:p>
      <w:pPr>
        <w:spacing w:after="0" w:line="226" w:lineRule="auto"/>
        <w:rPr>
          <w:sz w:val="20"/>
          <w:szCs w:val="20"/>
          <w:color w:val="auto"/>
        </w:rPr>
      </w:pPr>
      <w:r>
        <w:rPr>
          <w:rFonts w:ascii="Arial" w:cs="Arial" w:eastAsia="Arial" w:hAnsi="Arial"/>
          <w:sz w:val="18"/>
          <w:szCs w:val="18"/>
          <w:color w:val="auto"/>
        </w:rPr>
        <w:t>date, and the consolidated results of its operations and its consolidated cash flows for the fiscal period then ended. All such financial statements, including the related schedules and notes thereto, have been prepared in accordance with GAAP applied consistently throughout</w:t>
      </w:r>
    </w:p>
    <w:p>
      <w:pPr>
        <w:spacing w:after="0" w:line="236" w:lineRule="auto"/>
        <w:rPr>
          <w:sz w:val="20"/>
          <w:szCs w:val="20"/>
          <w:color w:val="auto"/>
        </w:rPr>
      </w:pPr>
      <w:r>
        <w:rPr>
          <w:rFonts w:ascii="Arial" w:cs="Arial" w:eastAsia="Arial" w:hAnsi="Arial"/>
          <w:sz w:val="18"/>
          <w:szCs w:val="18"/>
          <w:color w:val="auto"/>
        </w:rPr>
        <w:t>the periods involved. Neither the Borrower nor any of its Subsidiaries has any Guarantee Obligation, contingent liabilities, liability for taxes,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long-term leases, unusual forward or long-term commitments, including any Swap Agreement, or other outstanding obligations (including obligations in respect of off-balance sheet transactions) which, in any such case, are material in the aggregate, except as disclosed</w:t>
      </w:r>
    </w:p>
    <w:p>
      <w:pPr>
        <w:spacing w:after="0" w:line="236" w:lineRule="auto"/>
        <w:rPr>
          <w:sz w:val="20"/>
          <w:szCs w:val="20"/>
          <w:color w:val="auto"/>
        </w:rPr>
      </w:pPr>
      <w:r>
        <w:rPr>
          <w:rFonts w:ascii="Arial" w:cs="Arial" w:eastAsia="Arial" w:hAnsi="Arial"/>
          <w:sz w:val="18"/>
          <w:szCs w:val="18"/>
          <w:color w:val="auto"/>
        </w:rPr>
        <w:t>in the most recent financial statements referred to in this paragraph or in the financial statements delivered to the Administrative Agent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pursuant to Section 6.1. As of the date hereof, the Compliance Certificate delivered under the Existing Credit Agreement to the Administrative Agent for the fiscal quarter ending June 30, 2021, remains true, accurate and complete.</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No Material Adverse Effect</w:t>
      </w:r>
    </w:p>
    <w:p>
      <w:pPr>
        <w:spacing w:after="0" w:line="189" w:lineRule="exact"/>
        <w:rPr>
          <w:sz w:val="20"/>
          <w:szCs w:val="20"/>
          <w:color w:val="auto"/>
        </w:rPr>
      </w:pPr>
    </w:p>
    <w:p>
      <w:pPr>
        <w:ind w:firstLine="8"/>
        <w:spacing w:after="0" w:line="242" w:lineRule="auto"/>
        <w:tabs>
          <w:tab w:leader="none" w:pos="12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Since September 30, 2020, there has been no development or event, including any development or event with respect to any matter disclosed in the Specified Exchange Act Filings, that has had or could reasonably be expected to have a Material Adverse Effect.</w:t>
      </w:r>
    </w:p>
    <w:p>
      <w:pPr>
        <w:spacing w:after="0" w:line="16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Existence; Compliance With Law</w:t>
      </w:r>
    </w:p>
    <w:p>
      <w:pPr>
        <w:spacing w:after="0" w:line="189" w:lineRule="exact"/>
        <w:rPr>
          <w:sz w:val="20"/>
          <w:szCs w:val="20"/>
          <w:color w:val="auto"/>
        </w:rPr>
      </w:pPr>
    </w:p>
    <w:p>
      <w:pPr>
        <w:jc w:val="both"/>
        <w:ind w:firstLine="8"/>
        <w:spacing w:after="0" w:line="234" w:lineRule="auto"/>
        <w:tabs>
          <w:tab w:leader="none" w:pos="9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the Borrower and its Subsidiaries (a) is duly organized, validly existing and in good standing under the laws of its jurisdiction of organization, (b) has the corporate power and corporate authority to own and operate its property, to lease the property it operates as lessee and to conduct the business in which it is currently engaged, (c) is duly qualified as a foreign corporation or other organization and in good standing under the laws of each jurisdiction where its ownership, lease or operation of property or the conduct of its business requires such qualification except to the extent that the failure to so qualify could not reasonably be expected to have a Material Adverse Effect and (d) is in compliance with all Requirements of Law except to the extent that the failure to comply therewith could not, in the aggregate, reasonably be expected to have a Material Adverse Effect. No Subsidiary is a party to, or otherwise subject to, any legal restriction or any agreement (other than customary limitations imposed by corporate law statutes) restricting the ability of such Subsidiary to pay dividends out of profits or make any other similar distributions of profits to the Borrower or any of its Subsidiaries that owns outstanding shares of capital stock or similar equity interests of such Subsidiary. The Borrower is not an Affected Financial Institution or a Covered Party.</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Power; Authorization; Enforceable Obligations</w:t>
      </w:r>
    </w:p>
    <w:p>
      <w:pPr>
        <w:spacing w:after="0" w:line="189" w:lineRule="exact"/>
        <w:rPr>
          <w:sz w:val="20"/>
          <w:szCs w:val="20"/>
          <w:color w:val="auto"/>
        </w:rPr>
      </w:pPr>
    </w:p>
    <w:p>
      <w:pPr>
        <w:jc w:val="both"/>
        <w:ind w:firstLine="8"/>
        <w:spacing w:after="0" w:line="238" w:lineRule="auto"/>
        <w:tabs>
          <w:tab w:leader="none" w:pos="9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Borrower has the corporate power and corporate authority to make, deliver and perform the Loan Documents and to obtain Extensions of Credit. The Borrower has taken all necessary corporate action to authorize the execution, delivery and performance of the Loan Documents and to authorize the extensions of credit on the terms and conditions of this Agreement. No consent or authorization of, filing with, notice to or other act by or in respect of, any Governmental Authority or any other Person is required in connection with the Extensions of Credit or with the execution, delivery, performance, validity or enforceability of this Agreement or any of the Loan Documents, except consents, authorizations, filings and notices which have been obtained or made and are in full force and effect. This Agreement has been, and each other Loan Document upon execution and delivery will be, duly executed and delivered. This Agreement constitutes,</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and each other Loan Document upon execution will constitute, a legal, valid and binding obligation of the Borrower, enforceable against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 in accordance with its terms, except as enforceability may be limited by applicable bankruptcy, insolvency, reorganization, moratorium or similar laws affecting the enforcement of creditors’ rights generally and by general equitable principles (whether enforcement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is sought by proceedings in equity or at law).</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u w:val="single" w:color="auto"/>
          <w:color w:val="auto"/>
        </w:rPr>
        <w:t>No Legal Bar</w:t>
      </w:r>
    </w:p>
    <w:p>
      <w:pPr>
        <w:spacing w:after="0" w:line="175" w:lineRule="exact"/>
        <w:rPr>
          <w:sz w:val="20"/>
          <w:szCs w:val="20"/>
          <w:color w:val="auto"/>
        </w:rPr>
      </w:pPr>
    </w:p>
    <w:p>
      <w:pPr>
        <w:jc w:val="both"/>
        <w:ind w:firstLine="8"/>
        <w:spacing w:after="0" w:line="225" w:lineRule="auto"/>
        <w:tabs>
          <w:tab w:leader="none" w:pos="9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execution, delivery and performance of this Agreement and the other Loan Documents, the issuance of Letters of Credit, the Extensions of Credit and the use of the proceeds thereof will not violate any Requirement of Law included in clause (a) of the definition thereof or, in any material respect, any Requirement of Law included in clause (b) of the definition thereof, in each case, applicable to the Borrower or any of its Subsidiaries, or any Contractual Obligation of the Borrower or any of its Subsidiaries and will not result in, or require, the creation or imposition of any Lien on any of their respective properties or revenues pursuant to any Requirement of Law or any such Contractual Obligation. No Requirement of Law or Contractual Obligation applicable to the Borrower or any of its Subsidiaries could be expected, either individually or in the aggregate, to have a Material Adverse Effect.</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9"/>
          <w:szCs w:val="19"/>
          <w:u w:val="single" w:color="auto"/>
          <w:color w:val="auto"/>
        </w:rPr>
        <w:t>Litigation</w:t>
      </w:r>
    </w:p>
    <w:p>
      <w:pPr>
        <w:spacing w:after="0" w:line="189" w:lineRule="exact"/>
        <w:rPr>
          <w:sz w:val="20"/>
          <w:szCs w:val="20"/>
          <w:color w:val="auto"/>
        </w:rPr>
      </w:pPr>
    </w:p>
    <w:p>
      <w:pPr>
        <w:jc w:val="both"/>
        <w:ind w:firstLine="8"/>
        <w:spacing w:after="0" w:line="252" w:lineRule="auto"/>
        <w:tabs>
          <w:tab w:leader="none" w:pos="11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litigation, investigation or proceeding of or before any arbitrator or Governmental Authority is pending or, to the knowledge of the Borrower, threatened by or against the Borrower or any of its Subsidiaries or against any of their respective properties or revenues with respect to any of the Loan Documents or that, if adversely determined, could reasonably be expected to have a Material Adverse Effect.</w:t>
      </w:r>
    </w:p>
    <w:p>
      <w:pPr>
        <w:spacing w:after="0" w:line="15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No Default</w:t>
      </w:r>
    </w:p>
    <w:p>
      <w:pPr>
        <w:spacing w:after="0" w:line="175" w:lineRule="exact"/>
        <w:rPr>
          <w:sz w:val="20"/>
          <w:szCs w:val="20"/>
          <w:color w:val="auto"/>
        </w:rPr>
      </w:pPr>
    </w:p>
    <w:p>
      <w:pPr>
        <w:ind w:right="20" w:firstLine="8"/>
        <w:spacing w:after="0" w:line="257" w:lineRule="auto"/>
        <w:tabs>
          <w:tab w:leader="none" w:pos="9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Neither the Borrower nor any of its Subsidiaries is in default under or with respect to any of its Contractual Obligations in any respect that could reasonably be expected to have a Material Adverse Effect. No Default or Event of Default has occurred and is continuing.</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6"/>
          <w:szCs w:val="16"/>
          <w:u w:val="single" w:color="auto"/>
          <w:color w:val="auto"/>
        </w:rPr>
        <w:t>Taxes</w:t>
      </w:r>
    </w:p>
    <w:p>
      <w:pPr>
        <w:spacing w:after="0" w:line="189" w:lineRule="exact"/>
        <w:rPr>
          <w:sz w:val="20"/>
          <w:szCs w:val="20"/>
          <w:color w:val="auto"/>
        </w:rPr>
      </w:pPr>
    </w:p>
    <w:p>
      <w:pPr>
        <w:jc w:val="both"/>
        <w:ind w:firstLine="8"/>
        <w:spacing w:after="0" w:line="261" w:lineRule="auto"/>
        <w:tabs>
          <w:tab w:leader="none" w:pos="9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Borrower and each of its Subsidiaries has filed or caused to be filed all Federal and state returns of income and franchise taxes imposed in lieu of net income taxes and all other material tax returns that are required to be filed and has paid all taxes shown to be due and payable on said returns or with respect to any claims or assessments for taxes made against it or any of its property by any Governmental Authority (other than any amounts the validity of which are currently being contested in good faith by appropriate proceedings and with respect to which reserves in conformity with GAAP have been provided on the books of the Borrower or any of its Subsidiaries, as applicable). No material tax Liens have been filed against the Borrower or any of its Subsidiaries other than (a) Liens for taxes which are not delinquent or</w:t>
      </w:r>
    </w:p>
    <w:p>
      <w:pPr>
        <w:spacing w:after="0" w:line="3" w:lineRule="exact"/>
        <w:rPr>
          <w:rFonts w:ascii="Arial" w:cs="Arial" w:eastAsia="Arial" w:hAnsi="Arial"/>
          <w:sz w:val="16"/>
          <w:szCs w:val="16"/>
          <w:color w:val="auto"/>
        </w:rPr>
      </w:pPr>
    </w:p>
    <w:p>
      <w:pPr>
        <w:spacing w:after="0" w:line="227" w:lineRule="auto"/>
        <w:rPr>
          <w:rFonts w:ascii="Arial" w:cs="Arial" w:eastAsia="Arial" w:hAnsi="Arial"/>
          <w:sz w:val="16"/>
          <w:szCs w:val="16"/>
          <w:color w:val="auto"/>
        </w:rPr>
      </w:pPr>
      <w:r>
        <w:rPr>
          <w:rFonts w:ascii="Arial" w:cs="Arial" w:eastAsia="Arial" w:hAnsi="Arial"/>
          <w:sz w:val="20"/>
          <w:szCs w:val="20"/>
          <w:color w:val="auto"/>
        </w:rPr>
        <w:t>(b) Liens for taxes which are being contested in good faith by appropriate proceedings and with respect to which reserves in conformity with GAAP have been provided on the books of the Borrower or any of its Subsidiaries, as applicable.</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6"/>
          <w:szCs w:val="16"/>
          <w:u w:val="single" w:color="auto"/>
          <w:color w:val="auto"/>
        </w:rPr>
        <w:t>Federal Regulations</w:t>
      </w:r>
    </w:p>
    <w:p>
      <w:pPr>
        <w:spacing w:after="0" w:line="189" w:lineRule="exact"/>
        <w:rPr>
          <w:sz w:val="20"/>
          <w:szCs w:val="20"/>
          <w:color w:val="auto"/>
        </w:rPr>
      </w:pPr>
    </w:p>
    <w:p>
      <w:pPr>
        <w:jc w:val="both"/>
        <w:ind w:firstLine="8"/>
        <w:spacing w:after="0" w:line="223" w:lineRule="auto"/>
        <w:tabs>
          <w:tab w:leader="none" w:pos="99"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Borrower is not engaged in the business of extending credit for the purpose of “purchasing” or “carrying” “margin stock,” and no part of the proceeds of any Loans, and no other Extensions of Credit, will be used for “purchasing” or “carrying” any “margin stock” within the respective</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9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meanings of each of the quoted terms under Regulation U as now and from time to time hereafter in effect or for any purpose that violates the provisions of the Regulations of the Board.</w:t>
      </w:r>
    </w:p>
    <w:p>
      <w:pPr>
        <w:spacing w:after="0" w:line="15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9"/>
          <w:szCs w:val="19"/>
          <w:u w:val="single" w:color="auto"/>
          <w:color w:val="auto"/>
        </w:rPr>
        <w:t>ERISA</w:t>
      </w:r>
    </w:p>
    <w:p>
      <w:pPr>
        <w:spacing w:after="0" w:line="189" w:lineRule="exact"/>
        <w:rPr>
          <w:sz w:val="20"/>
          <w:szCs w:val="20"/>
          <w:color w:val="auto"/>
        </w:rPr>
      </w:pPr>
    </w:p>
    <w:p>
      <w:pPr>
        <w:jc w:val="both"/>
        <w:ind w:firstLine="8"/>
        <w:spacing w:after="0" w:line="234" w:lineRule="auto"/>
        <w:tabs>
          <w:tab w:leader="none" w:pos="1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Neither a Reportable Event nor an “accumulated funding deficiency” (within the meaning of Section 412 of the Code or Section 302 of ERISA) has occurred with respect to any Plan, and each Plan has complied in all material respects with the applicable provisions of ERISA and the Code. No termination of a Single Employer Plan has occurred that is a distress termination under Section 4041 of ERISA, a termination at the instigation of the PBGC or has resulted in, or could reasonably be likely to result in, a material liability to the Borrower, and no Lien in favor of the PBGC or a Plan has arisen.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by a material amount. Neither the Borrower nor any Commonly Controlled Entity has had a complete or partial withdrawal from any Multiemployer Plan that has resulted or could reasonably be expected to result in a material liability under ERISA, and neither the Borrower nor any Commonly Controlled Entity would become subject to any material liability under ERISA if the Borrower or any such Commonly Controlled Entity were to withdraw completely from all Multiemployer Plans as of the valuation date most closely preceding the date on which this representation is made or deemed made. To the Borrower’s knowledge, no such Multiemployer Plan is in Reorganization or Insolvent. As of the Effective Date, the Borrower is not nor will be using “plan assets” (within the meaning of 29 CFR § 2510.3-101, as modified by Section 3(42) of ERISA) of one or more Benefit Plans in connection with the Loans, the Letters of Credit or the Commitments.</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8"/>
          <w:szCs w:val="18"/>
          <w:u w:val="single" w:color="auto"/>
          <w:color w:val="auto"/>
        </w:rPr>
        <w:t>Investment Company Act; Other Regulations</w:t>
      </w:r>
    </w:p>
    <w:p>
      <w:pPr>
        <w:spacing w:after="0" w:line="189" w:lineRule="exact"/>
        <w:rPr>
          <w:sz w:val="20"/>
          <w:szCs w:val="20"/>
          <w:color w:val="auto"/>
        </w:rPr>
      </w:pPr>
    </w:p>
    <w:p>
      <w:pPr>
        <w:jc w:val="both"/>
        <w:ind w:firstLine="8"/>
        <w:spacing w:after="0" w:line="223" w:lineRule="auto"/>
        <w:tabs>
          <w:tab w:leader="none" w:pos="126"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Borrower is not an “investment company”, or a company “controlled” by an “investment company”, within the meaning of the Investment Company Act of 1940, as amended. The Borrower is not subject to regulation under any Requirement of Law (other than Regulation X of the Board) that limits its ability to incur Indebtedness under this Agreement.</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8"/>
          <w:szCs w:val="18"/>
          <w:u w:val="single" w:color="auto"/>
          <w:color w:val="auto"/>
        </w:rPr>
        <w:t>Environmental Matters</w:t>
      </w:r>
    </w:p>
    <w:p>
      <w:pPr>
        <w:spacing w:after="0" w:line="175" w:lineRule="exact"/>
        <w:rPr>
          <w:sz w:val="20"/>
          <w:szCs w:val="20"/>
          <w:color w:val="auto"/>
        </w:rPr>
      </w:pPr>
    </w:p>
    <w:p>
      <w:pPr>
        <w:ind w:left="100" w:hanging="92"/>
        <w:spacing w:after="0"/>
        <w:tabs>
          <w:tab w:leader="none" w:pos="10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Except as, individually or in the aggregate, could not reasonably be expected to have a Material Adverse Effect:</w:t>
      </w:r>
    </w:p>
    <w:p>
      <w:pPr>
        <w:spacing w:after="0" w:line="188" w:lineRule="exact"/>
        <w:rPr>
          <w:rFonts w:ascii="Arial" w:cs="Arial" w:eastAsia="Arial" w:hAnsi="Arial"/>
          <w:sz w:val="20"/>
          <w:szCs w:val="20"/>
          <w:color w:val="auto"/>
        </w:rPr>
      </w:pPr>
    </w:p>
    <w:p>
      <w:pPr>
        <w:jc w:val="both"/>
        <w:ind w:firstLine="1304"/>
        <w:spacing w:after="0" w:line="235" w:lineRule="auto"/>
        <w:tabs>
          <w:tab w:leader="none" w:pos="1749"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facilities and properties owned, leased or operated by the Borrower and its Subsidiaries do not contain, and, to the Borrower’s knowledge, have not previously contained, any Materials of Environmental Concern in amounts or concentrations or under circumstances that constitute or constituted a violation of, or could give rise to liability under, any Environmental Law;</w:t>
      </w:r>
    </w:p>
    <w:p>
      <w:pPr>
        <w:spacing w:after="0" w:line="168" w:lineRule="exact"/>
        <w:rPr>
          <w:rFonts w:ascii="Arial" w:cs="Arial" w:eastAsia="Arial" w:hAnsi="Arial"/>
          <w:sz w:val="19"/>
          <w:szCs w:val="19"/>
          <w:color w:val="auto"/>
        </w:rPr>
      </w:pPr>
    </w:p>
    <w:p>
      <w:pPr>
        <w:jc w:val="both"/>
        <w:ind w:firstLine="1304"/>
        <w:spacing w:after="0" w:line="220" w:lineRule="auto"/>
        <w:tabs>
          <w:tab w:leader="none" w:pos="1772" w:val="left"/>
        </w:tabs>
        <w:numPr>
          <w:ilvl w:val="1"/>
          <w:numId w:val="122"/>
        </w:numPr>
        <w:rPr>
          <w:rFonts w:ascii="Arial" w:cs="Arial" w:eastAsia="Arial" w:hAnsi="Arial"/>
          <w:sz w:val="20"/>
          <w:szCs w:val="20"/>
          <w:color w:val="auto"/>
        </w:rPr>
      </w:pPr>
      <w:r>
        <w:rPr>
          <w:rFonts w:ascii="Arial" w:cs="Arial" w:eastAsia="Arial" w:hAnsi="Arial"/>
          <w:sz w:val="20"/>
          <w:szCs w:val="20"/>
          <w:color w:val="auto"/>
        </w:rPr>
        <w:t>neither the Borrower nor any of its Subsidiaries has received or is aware of any notice of violation, alleged violation, non-compliance, liability or potential liability regarding environmental matters or compliance with Environmental Laws with regard to any of the Properties or the business operated by the Borrower and its Subsidiaries (the “</w:t>
      </w:r>
      <w:r>
        <w:rPr>
          <w:rFonts w:ascii="Arial" w:cs="Arial" w:eastAsia="Arial" w:hAnsi="Arial"/>
          <w:sz w:val="20"/>
          <w:szCs w:val="20"/>
          <w:u w:val="single" w:color="auto"/>
          <w:color w:val="auto"/>
        </w:rPr>
        <w:t>Business</w:t>
      </w:r>
      <w:r>
        <w:rPr>
          <w:rFonts w:ascii="Arial" w:cs="Arial" w:eastAsia="Arial" w:hAnsi="Arial"/>
          <w:sz w:val="20"/>
          <w:szCs w:val="20"/>
          <w:color w:val="auto"/>
        </w:rPr>
        <w:t>”), nor does the Borrower have knowledge or reason to believe that any such notice will be received or is being threatened;</w:t>
      </w:r>
    </w:p>
    <w:p>
      <w:pPr>
        <w:spacing w:after="0" w:line="169" w:lineRule="exact"/>
        <w:rPr>
          <w:rFonts w:ascii="Arial" w:cs="Arial" w:eastAsia="Arial" w:hAnsi="Arial"/>
          <w:sz w:val="20"/>
          <w:szCs w:val="20"/>
          <w:color w:val="auto"/>
        </w:rPr>
      </w:pPr>
    </w:p>
    <w:p>
      <w:pPr>
        <w:ind w:firstLine="1304"/>
        <w:spacing w:after="0" w:line="269" w:lineRule="auto"/>
        <w:tabs>
          <w:tab w:leader="none" w:pos="171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Materials of Environmental Concern have not been transported or disposed of from the Properties in violation of, or in a manner or to a location that, to the Borrower’s knowledge, could give rise to liability under, any Environmental Law, nor have any</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90"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Materials of Environmental Concern been generated, treated, stored or disposed of at, on or under any of the Properties in violation of, or in a manner that, to the Borrower’s knowledge, could give rise to liability under, any applicable Environmental Law;</w:t>
      </w:r>
    </w:p>
    <w:p>
      <w:pPr>
        <w:spacing w:after="0" w:line="140" w:lineRule="exact"/>
        <w:rPr>
          <w:sz w:val="20"/>
          <w:szCs w:val="20"/>
          <w:color w:val="auto"/>
        </w:rPr>
      </w:pPr>
    </w:p>
    <w:p>
      <w:pPr>
        <w:jc w:val="both"/>
        <w:ind w:firstLine="1304"/>
        <w:spacing w:after="0" w:line="246" w:lineRule="auto"/>
        <w:tabs>
          <w:tab w:leader="none" w:pos="183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the Borrower, threatened, under any Environmental Law to which the Borrower or any of its Subsidiaries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63" w:lineRule="exact"/>
        <w:rPr>
          <w:rFonts w:ascii="Arial" w:cs="Arial" w:eastAsia="Arial" w:hAnsi="Arial"/>
          <w:sz w:val="18"/>
          <w:szCs w:val="18"/>
          <w:color w:val="auto"/>
        </w:rPr>
      </w:pPr>
    </w:p>
    <w:p>
      <w:pPr>
        <w:jc w:val="both"/>
        <w:ind w:firstLine="1304"/>
        <w:spacing w:after="0" w:line="235" w:lineRule="auto"/>
        <w:tabs>
          <w:tab w:leader="none" w:pos="171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there has been no release or threat of release of Materials of Environmental Concern at or from the Properties, or arising from or related to the operations of the Borrower or any of its Subsidiaries in connection with the Properties or otherwise in connection with the Business, in violation of or in amounts or in a manner that could give rise to liability under Environmental Laws;</w:t>
      </w:r>
    </w:p>
    <w:p>
      <w:pPr>
        <w:spacing w:after="0" w:line="168" w:lineRule="exact"/>
        <w:rPr>
          <w:rFonts w:ascii="Arial" w:cs="Arial" w:eastAsia="Arial" w:hAnsi="Arial"/>
          <w:sz w:val="19"/>
          <w:szCs w:val="19"/>
          <w:color w:val="auto"/>
        </w:rPr>
      </w:pPr>
    </w:p>
    <w:p>
      <w:pPr>
        <w:jc w:val="both"/>
        <w:ind w:firstLine="1304"/>
        <w:spacing w:after="0" w:line="223" w:lineRule="auto"/>
        <w:tabs>
          <w:tab w:leader="none" w:pos="171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Properties and all operations at the Properties are in compliance, and have in the last five years been in compliance, with all applicable Environmental Laws, and there is no contamination at, under or about the Properties or violation of any Environmental Law with respect to the Properties or the Business; and</w:t>
      </w:r>
    </w:p>
    <w:p>
      <w:pPr>
        <w:spacing w:after="0" w:line="168" w:lineRule="exact"/>
        <w:rPr>
          <w:rFonts w:ascii="Arial" w:cs="Arial" w:eastAsia="Arial" w:hAnsi="Arial"/>
          <w:sz w:val="20"/>
          <w:szCs w:val="20"/>
          <w:color w:val="auto"/>
        </w:rPr>
      </w:pPr>
    </w:p>
    <w:p>
      <w:pPr>
        <w:ind w:left="1800" w:hanging="496"/>
        <w:spacing w:after="0"/>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neither the Borrower nor any of its Subsidiaries has assumed any liability of any other Person under Environmental</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Laws.</w:t>
      </w:r>
    </w:p>
    <w:p>
      <w:pPr>
        <w:spacing w:after="0" w:line="15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8"/>
          <w:szCs w:val="18"/>
          <w:u w:val="single" w:color="auto"/>
          <w:color w:val="auto"/>
        </w:rPr>
        <w:t>Accuracy of Information, Etc</w:t>
      </w:r>
    </w:p>
    <w:p>
      <w:pPr>
        <w:spacing w:after="0" w:line="189" w:lineRule="exact"/>
        <w:rPr>
          <w:sz w:val="20"/>
          <w:szCs w:val="20"/>
          <w:color w:val="auto"/>
        </w:rPr>
      </w:pPr>
    </w:p>
    <w:p>
      <w:pPr>
        <w:jc w:val="both"/>
        <w:ind w:firstLine="8"/>
        <w:spacing w:after="0" w:line="234" w:lineRule="auto"/>
        <w:tabs>
          <w:tab w:leader="none" w:pos="12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statement or information (other than projections, if any, and pro forma information) contained in this Agreement, any other Loan Document or any other document, certificate or statement furnished by or on behalf of the Borrower to the Administrative Agent or the Lenders, or any of them,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The projections, if any,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Except as set forth in the Borrower’s Specified Exchange Act Filings, there is no fact known to the Borrower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 As of the Effective Date, all of the information included in the Beneficial Ownership Certification is true and correct.</w:t>
      </w:r>
    </w:p>
    <w:p>
      <w:pPr>
        <w:spacing w:after="0" w:line="15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18"/>
          <w:szCs w:val="18"/>
          <w:u w:val="single" w:color="auto"/>
          <w:color w:val="auto"/>
        </w:rPr>
        <w:t>Regulatory Matters</w:t>
      </w:r>
    </w:p>
    <w:p>
      <w:pPr>
        <w:spacing w:after="0" w:line="189" w:lineRule="exact"/>
        <w:rPr>
          <w:sz w:val="20"/>
          <w:szCs w:val="20"/>
          <w:color w:val="auto"/>
        </w:rPr>
      </w:pPr>
    </w:p>
    <w:p>
      <w:pPr>
        <w:jc w:val="both"/>
        <w:ind w:firstLine="8"/>
        <w:spacing w:after="0" w:line="223" w:lineRule="auto"/>
        <w:tabs>
          <w:tab w:leader="none" w:pos="9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Borrower is not subject to regulation under the Investment Company Act of 1940, the Federal Power Act, the Interstate Commerce Act, any state public utilities code or to any other Requirement of Law (other than Regulation X of the Board) limiting its ability to incur Indebtedness.</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16"/>
          <w:szCs w:val="16"/>
          <w:u w:val="single" w:color="auto"/>
          <w:color w:val="auto"/>
        </w:rPr>
        <w:t>Burdensome Contractual Obligations, Etc</w:t>
      </w:r>
    </w:p>
    <w:p>
      <w:pPr>
        <w:spacing w:after="0" w:line="189" w:lineRule="exact"/>
        <w:rPr>
          <w:sz w:val="20"/>
          <w:szCs w:val="20"/>
          <w:color w:val="auto"/>
        </w:rPr>
      </w:pPr>
    </w:p>
    <w:p>
      <w:pPr>
        <w:ind w:firstLine="8"/>
        <w:spacing w:after="0" w:line="242" w:lineRule="auto"/>
        <w:tabs>
          <w:tab w:leader="none" w:pos="13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Neither the Borrower or any of its Subsidiaries nor any of their respective properties are subject to any Contractual Obligation or Requirement of Law which, either individually or in the aggregate, could reasonably be expected to have a Material Adverse Effect.</w:t>
      </w:r>
    </w:p>
    <w:p>
      <w:pPr>
        <w:spacing w:after="0" w:line="16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4.16</w:t>
      </w:r>
      <w:r>
        <w:rPr>
          <w:sz w:val="20"/>
          <w:szCs w:val="20"/>
          <w:color w:val="auto"/>
        </w:rPr>
        <w:tab/>
      </w:r>
      <w:r>
        <w:rPr>
          <w:rFonts w:ascii="Arial" w:cs="Arial" w:eastAsia="Arial" w:hAnsi="Arial"/>
          <w:sz w:val="16"/>
          <w:szCs w:val="16"/>
          <w:u w:val="single" w:color="auto"/>
          <w:color w:val="auto"/>
        </w:rPr>
        <w:t>Foreign Assets Control, Etc</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35" w:lineRule="auto"/>
        <w:tabs>
          <w:tab w:leader="none" w:pos="17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Covered Entity (i) is not and will not become a Designated Person; (ii) is not and will not become controlled by a Designated Person; (iii) has not received and will not receive funds or other property from a Designated Person; and (iv) is not and will not become in breach of and is not the subject of any action or investigation under any Anti-Terrorism Law. Each Covered Entity does not engage and will not engage in any dealings or transactions, and is not and will not be otherwise associated, with any Designated Person. Each Covered Entity is in compliance in all respects with the Anti-Terrorism Laws. Each Covered Entity has taken commercially reasonable measures to ensure compliance with the Anti-Corruption Laws and Anti-Terrorism Laws including the requirements that (A) funds invested directly or indirectly in such Covered Entity are derived from legal sources, (B) no Covered Entity is the subject of any Sanctions and (C) no Covered Entity is located, organized or resident in a country or territory that is, or whose government is, the subject of Sanctions.</w:t>
      </w:r>
    </w:p>
    <w:p>
      <w:pPr>
        <w:spacing w:after="0" w:line="174" w:lineRule="exact"/>
        <w:rPr>
          <w:rFonts w:ascii="Arial" w:cs="Arial" w:eastAsia="Arial" w:hAnsi="Arial"/>
          <w:sz w:val="18"/>
          <w:szCs w:val="18"/>
          <w:color w:val="auto"/>
        </w:rPr>
      </w:pPr>
    </w:p>
    <w:p>
      <w:pPr>
        <w:jc w:val="both"/>
        <w:ind w:firstLine="1304"/>
        <w:spacing w:after="0" w:line="235" w:lineRule="auto"/>
        <w:tabs>
          <w:tab w:leader="none" w:pos="176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portion of the proceeds of any Extension of Credit made hereunder has been or will be used, directly or indirectly for, and no fee, commission, rebate or other value has been or will (i) be paid to, or for the benefit of, any governmental official, political party, official of a political party or any other Person acting in an official capacity in violation of any applicable law, including the U.S. Foreign Corrupt Practices Act of 1977 and all other laws, rules and regulations relating to bribery or corruption (collectively, with such applicable law,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as amended or (ii) be used to violate Anti-Terrorism Law. None of the Borrower or any of its Subsidiaries or, to the knowledge of the Borrower, any director, officer, agent, employee or other person acting on behalf of the Borrower or any of its Subsidiaries has taken any action, directly or indirectly, that would result in a violation by such persons of applicable Anti-Corruption Laws, and the Borrower has instituted and maintains policies and procedures designed to ensure continued compliance therewith.</w:t>
      </w:r>
    </w:p>
    <w:p>
      <w:pPr>
        <w:spacing w:after="0" w:line="17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18"/>
          <w:szCs w:val="18"/>
          <w:u w:val="single" w:color="auto"/>
          <w:color w:val="auto"/>
        </w:rPr>
        <w:t>Solvency</w:t>
      </w:r>
    </w:p>
    <w:p>
      <w:pPr>
        <w:spacing w:after="0" w:line="189" w:lineRule="exact"/>
        <w:rPr>
          <w:sz w:val="20"/>
          <w:szCs w:val="20"/>
          <w:color w:val="auto"/>
        </w:rPr>
      </w:pPr>
    </w:p>
    <w:p>
      <w:pPr>
        <w:ind w:right="20" w:firstLine="8"/>
        <w:spacing w:after="0" w:line="229" w:lineRule="auto"/>
        <w:tabs>
          <w:tab w:leader="none" w:pos="13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Borrower and its Subsidiaries taken as a whole are Solvent and, after the execution, delivery and consummation of the Loan Documents, will be Solvent.</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16"/>
          <w:szCs w:val="16"/>
          <w:u w:val="single" w:color="auto"/>
          <w:color w:val="auto"/>
        </w:rPr>
        <w:t>Insurance</w:t>
      </w:r>
    </w:p>
    <w:p>
      <w:pPr>
        <w:spacing w:after="0" w:line="189" w:lineRule="exact"/>
        <w:rPr>
          <w:sz w:val="20"/>
          <w:szCs w:val="20"/>
          <w:color w:val="auto"/>
        </w:rPr>
      </w:pPr>
    </w:p>
    <w:p>
      <w:pPr>
        <w:jc w:val="both"/>
        <w:ind w:firstLine="8"/>
        <w:spacing w:after="0" w:line="220" w:lineRule="auto"/>
        <w:tabs>
          <w:tab w:leader="none" w:pos="9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properties of the Borrower and each of its Subsidiaries are, to the Borrower’s knowledge, insured with financially sound and reputable insurance companies not Affiliates of the Borrower or any of its Subsidiaries, in such amounts, with such deductibles and covering such risks as are customarily carried by companies engaged in similar businesses and owning similar properties in localities where the Borrower and its Subsidiaries operate.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5</w:t>
      </w: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Conditions to the Effective Date</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90" w:lineRule="exact"/>
        <w:rPr>
          <w:sz w:val="20"/>
          <w:szCs w:val="20"/>
          <w:color w:val="auto"/>
        </w:rPr>
      </w:pPr>
    </w:p>
    <w:p>
      <w:pPr>
        <w:ind w:left="92" w:hanging="92"/>
        <w:spacing w:after="0"/>
        <w:tabs>
          <w:tab w:leader="none" w:pos="9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occurrence of the Effective Date is subject to the satisfaction of the following conditions precedent:</w:t>
      </w:r>
    </w:p>
    <w:p>
      <w:pPr>
        <w:spacing w:after="0" w:line="188" w:lineRule="exact"/>
        <w:rPr>
          <w:rFonts w:ascii="Arial" w:cs="Arial" w:eastAsia="Arial" w:hAnsi="Arial"/>
          <w:sz w:val="20"/>
          <w:szCs w:val="20"/>
          <w:color w:val="auto"/>
        </w:rPr>
      </w:pPr>
    </w:p>
    <w:p>
      <w:pPr>
        <w:ind w:left="-8" w:right="20" w:firstLine="1304"/>
        <w:spacing w:after="0" w:line="229" w:lineRule="auto"/>
        <w:tabs>
          <w:tab w:leader="none" w:pos="1975"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The Administrative Agent shall have received this Agreement, executed and delivered by the Administrative Agent, the Borrower and each Person listed on Schedule 1.1A.</w:t>
      </w:r>
    </w:p>
    <w:p>
      <w:pPr>
        <w:spacing w:after="0" w:line="168" w:lineRule="exact"/>
        <w:rPr>
          <w:rFonts w:ascii="Arial" w:cs="Arial" w:eastAsia="Arial" w:hAnsi="Arial"/>
          <w:sz w:val="20"/>
          <w:szCs w:val="20"/>
          <w:color w:val="auto"/>
        </w:rPr>
      </w:pPr>
    </w:p>
    <w:p>
      <w:pPr>
        <w:jc w:val="both"/>
        <w:ind w:left="-8" w:firstLine="1304"/>
        <w:spacing w:after="0" w:line="223" w:lineRule="auto"/>
        <w:tabs>
          <w:tab w:leader="none" w:pos="1716"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The Administrative Agent shall have received evidence satisfactory to it that all obligations under the Existing Credit Agreement have been or concurrently with the Effective Date are being repaid in full and all commitments to lend in connection with such Existing Credit Agreement shall have been terminated.</w:t>
      </w:r>
    </w:p>
    <w:p>
      <w:pPr>
        <w:spacing w:after="0" w:line="168" w:lineRule="exact"/>
        <w:rPr>
          <w:rFonts w:ascii="Arial" w:cs="Arial" w:eastAsia="Arial" w:hAnsi="Arial"/>
          <w:sz w:val="20"/>
          <w:szCs w:val="20"/>
          <w:color w:val="auto"/>
        </w:rPr>
      </w:pPr>
    </w:p>
    <w:p>
      <w:pPr>
        <w:ind w:left="1712" w:hanging="416"/>
        <w:spacing w:after="0"/>
        <w:tabs>
          <w:tab w:leader="none" w:pos="1712"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Lenders shall have received the financial statements described in Section 4.1.</w:t>
      </w:r>
    </w:p>
    <w:p>
      <w:pPr>
        <w:spacing w:after="0" w:line="188" w:lineRule="exact"/>
        <w:rPr>
          <w:rFonts w:ascii="Arial" w:cs="Arial" w:eastAsia="Arial" w:hAnsi="Arial"/>
          <w:sz w:val="20"/>
          <w:szCs w:val="20"/>
          <w:color w:val="auto"/>
        </w:rPr>
      </w:pPr>
    </w:p>
    <w:p>
      <w:pPr>
        <w:jc w:val="both"/>
        <w:ind w:left="-8" w:firstLine="1304"/>
        <w:spacing w:after="0" w:line="252" w:lineRule="auto"/>
        <w:tabs>
          <w:tab w:leader="none" w:pos="177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All governmental and third party consents and approvals necessary in connection with this Agreement and the other Loan Documents and the transactions contemplated hereby shall have been obtained and be in full force and effect; and the Administrative Agent shall have received a certificate executed by a Responsible Officer to the foregoing effect.</w:t>
      </w:r>
    </w:p>
    <w:p>
      <w:pPr>
        <w:spacing w:after="0" w:line="158" w:lineRule="exact"/>
        <w:rPr>
          <w:rFonts w:ascii="Arial" w:cs="Arial" w:eastAsia="Arial" w:hAnsi="Arial"/>
          <w:sz w:val="18"/>
          <w:szCs w:val="18"/>
          <w:color w:val="auto"/>
        </w:rPr>
      </w:pPr>
    </w:p>
    <w:p>
      <w:pPr>
        <w:jc w:val="both"/>
        <w:ind w:left="-8" w:firstLine="1304"/>
        <w:spacing w:after="0" w:line="223" w:lineRule="auto"/>
        <w:tabs>
          <w:tab w:leader="none" w:pos="1705"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The Lenders, the Lead Arranger and the Administrative Agent shall have received all fees required to be paid and all expenses for which invoices have been presented (including the reasonable fees and expenses of legal counsel and fees and expenses payable pursuant to the Fee Letter), on or before the Effective Date.</w:t>
      </w:r>
    </w:p>
    <w:p>
      <w:pPr>
        <w:spacing w:after="0" w:line="168" w:lineRule="exact"/>
        <w:rPr>
          <w:rFonts w:ascii="Arial" w:cs="Arial" w:eastAsia="Arial" w:hAnsi="Arial"/>
          <w:sz w:val="20"/>
          <w:szCs w:val="20"/>
          <w:color w:val="auto"/>
        </w:rPr>
      </w:pPr>
    </w:p>
    <w:p>
      <w:pPr>
        <w:jc w:val="both"/>
        <w:ind w:left="-8" w:firstLine="1304"/>
        <w:spacing w:after="0" w:line="215" w:lineRule="auto"/>
        <w:tabs>
          <w:tab w:leader="none" w:pos="1819"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Secretary’s Certificate; Certified Certificate of Incorporation; Closing Certificate; Good Standing Certificate</w:t>
      </w:r>
      <w:r>
        <w:rPr>
          <w:rFonts w:ascii="Arial" w:cs="Arial" w:eastAsia="Arial" w:hAnsi="Arial"/>
          <w:sz w:val="20"/>
          <w:szCs w:val="20"/>
          <w:color w:val="auto"/>
        </w:rPr>
        <w:t xml:space="preserve">. The Administrative Agent shall have received (i) a secretary’s certificate of the Borrower, dated the Effective Date, substantially in the form of </w:t>
      </w:r>
      <w:r>
        <w:rPr>
          <w:rFonts w:ascii="Arial" w:cs="Arial" w:eastAsia="Arial" w:hAnsi="Arial"/>
          <w:sz w:val="20"/>
          <w:szCs w:val="20"/>
          <w:u w:val="single" w:color="auto"/>
          <w:color w:val="auto"/>
        </w:rPr>
        <w:t>Exhibit F-1</w:t>
      </w:r>
      <w:r>
        <w:rPr>
          <w:rFonts w:ascii="Arial" w:cs="Arial" w:eastAsia="Arial" w:hAnsi="Arial"/>
          <w:sz w:val="20"/>
          <w:szCs w:val="20"/>
          <w:color w:val="auto"/>
        </w:rPr>
        <w:t xml:space="preserve">, with appropriate insertions and attachments, including the certificate of incorporation of the Borrower certified by the Delaware Secretary of State, (ii) a closing certificate of the Borrower, dated the Effective Date, substantially in the form of </w:t>
      </w:r>
      <w:r>
        <w:rPr>
          <w:rFonts w:ascii="Arial" w:cs="Arial" w:eastAsia="Arial" w:hAnsi="Arial"/>
          <w:sz w:val="20"/>
          <w:szCs w:val="20"/>
          <w:u w:val="single" w:color="auto"/>
          <w:color w:val="auto"/>
        </w:rPr>
        <w:t>Exhibit F-2</w:t>
      </w:r>
      <w:r>
        <w:rPr>
          <w:rFonts w:ascii="Arial" w:cs="Arial" w:eastAsia="Arial" w:hAnsi="Arial"/>
          <w:sz w:val="20"/>
          <w:szCs w:val="20"/>
          <w:color w:val="auto"/>
        </w:rPr>
        <w:t>, and (iii) a good standing certificate for the Borrower from the Delaware Secretary of State.</w:t>
      </w:r>
    </w:p>
    <w:p>
      <w:pPr>
        <w:spacing w:after="0" w:line="171" w:lineRule="exact"/>
        <w:rPr>
          <w:rFonts w:ascii="Arial" w:cs="Arial" w:eastAsia="Arial" w:hAnsi="Arial"/>
          <w:sz w:val="20"/>
          <w:szCs w:val="20"/>
          <w:color w:val="auto"/>
        </w:rPr>
      </w:pPr>
    </w:p>
    <w:p>
      <w:pPr>
        <w:ind w:left="-8" w:firstLine="1304"/>
        <w:spacing w:after="0" w:line="242" w:lineRule="auto"/>
        <w:tabs>
          <w:tab w:leader="none" w:pos="1743"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Legal Opinion</w:t>
      </w:r>
      <w:r>
        <w:rPr>
          <w:rFonts w:ascii="Arial" w:cs="Arial" w:eastAsia="Arial" w:hAnsi="Arial"/>
          <w:sz w:val="19"/>
          <w:szCs w:val="19"/>
          <w:color w:val="auto"/>
        </w:rPr>
        <w:t>. The Administrative Agent shall have received a legal opinion of Faegre Drinker Biddle &amp; Reath LLP, special counsel on behalf of the Borrower, in form and substance reasonably satisfactory to the Administrative Agent.</w:t>
      </w:r>
    </w:p>
    <w:p>
      <w:pPr>
        <w:spacing w:after="0" w:line="166" w:lineRule="exact"/>
        <w:rPr>
          <w:rFonts w:ascii="Arial" w:cs="Arial" w:eastAsia="Arial" w:hAnsi="Arial"/>
          <w:sz w:val="19"/>
          <w:szCs w:val="19"/>
          <w:color w:val="auto"/>
        </w:rPr>
      </w:pPr>
    </w:p>
    <w:p>
      <w:pPr>
        <w:jc w:val="both"/>
        <w:ind w:left="-8" w:firstLine="1304"/>
        <w:spacing w:after="0" w:line="226" w:lineRule="auto"/>
        <w:tabs>
          <w:tab w:leader="none" w:pos="1770"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of the representations and warranties made by the Borrower in this Agreement that does not contain a materiality or Material Adverse Effect qualification shall be true and correct in all material respects on and as of the Effective Date, and each of the representations and warranties made by the Borrower in this Agreement that contains a materiality or Material Adverse Effect qualification shall be true and correct in all respects on and as of the Effective Date (or, to the extent such representations and warranties specifically relate to an earlier date, that such representations and warranties were true and correct in all material respects, or true and correct in all respects, as the case may be, as of such earlier date).</w:t>
      </w:r>
    </w:p>
    <w:p>
      <w:pPr>
        <w:spacing w:after="0" w:line="169" w:lineRule="exact"/>
        <w:rPr>
          <w:rFonts w:ascii="Arial" w:cs="Arial" w:eastAsia="Arial" w:hAnsi="Arial"/>
          <w:sz w:val="19"/>
          <w:szCs w:val="19"/>
          <w:color w:val="auto"/>
        </w:rPr>
      </w:pPr>
    </w:p>
    <w:p>
      <w:pPr>
        <w:ind w:left="1672" w:hanging="376"/>
        <w:spacing w:after="0"/>
        <w:tabs>
          <w:tab w:leader="none" w:pos="1672"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shall have occurred and be continuing.</w:t>
      </w:r>
    </w:p>
    <w:p>
      <w:pPr>
        <w:spacing w:after="0" w:line="188" w:lineRule="exact"/>
        <w:rPr>
          <w:rFonts w:ascii="Arial" w:cs="Arial" w:eastAsia="Arial" w:hAnsi="Arial"/>
          <w:sz w:val="20"/>
          <w:szCs w:val="20"/>
          <w:color w:val="auto"/>
        </w:rPr>
      </w:pPr>
    </w:p>
    <w:p>
      <w:pPr>
        <w:ind w:left="1672" w:hanging="376"/>
        <w:spacing w:after="0"/>
        <w:tabs>
          <w:tab w:leader="none" w:pos="1672"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Patriot Act, etc</w:t>
      </w:r>
      <w:r>
        <w:rPr>
          <w:rFonts w:ascii="Arial" w:cs="Arial" w:eastAsia="Arial" w:hAnsi="Arial"/>
          <w:sz w:val="20"/>
          <w:szCs w:val="20"/>
          <w:color w:val="auto"/>
        </w:rPr>
        <w:t>.</w:t>
      </w:r>
    </w:p>
    <w:p>
      <w:pPr>
        <w:sectPr>
          <w:pgSz w:w="11900" w:h="16838" w:orient="portrait"/>
          <w:cols w:equalWidth="0" w:num="1">
            <w:col w:w="11232"/>
          </w:cols>
          <w:pgMar w:left="328" w:top="1440" w:right="339" w:bottom="1440" w:gutter="0" w:footer="0" w:header="0"/>
        </w:sectPr>
      </w:pPr>
    </w:p>
    <w:bookmarkStart w:id="116" w:name="page117"/>
    <w:bookmarkEnd w:id="116"/>
    <w:p>
      <w:pPr>
        <w:spacing w:after="0" w:line="290" w:lineRule="exact"/>
        <w:rPr>
          <w:sz w:val="20"/>
          <w:szCs w:val="20"/>
          <w:color w:val="auto"/>
        </w:rPr>
      </w:pPr>
    </w:p>
    <w:p>
      <w:pPr>
        <w:jc w:val="both"/>
        <w:ind w:left="1300" w:firstLine="652"/>
        <w:spacing w:after="0" w:line="231" w:lineRule="auto"/>
        <w:tabs>
          <w:tab w:leader="none" w:pos="2427"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Administrative Agent and the Lenders shall have received, at least five (5) Business Days prior to the Effective Date, all documentation and other information requested by the Administrative Agent or any Lender or required by regulatory authorities in order for the Administrative Agent and the Lenders to comply with requirements of any Anti-Terrorism Laws, including the Patriot Act and any applicable “know your customer” rules and regulations.</w:t>
      </w:r>
    </w:p>
    <w:p>
      <w:pPr>
        <w:spacing w:after="0" w:line="171" w:lineRule="exact"/>
        <w:rPr>
          <w:rFonts w:ascii="Arial" w:cs="Arial" w:eastAsia="Arial" w:hAnsi="Arial"/>
          <w:sz w:val="19"/>
          <w:szCs w:val="19"/>
          <w:color w:val="auto"/>
        </w:rPr>
      </w:pPr>
    </w:p>
    <w:p>
      <w:pPr>
        <w:jc w:val="both"/>
        <w:ind w:left="1300" w:firstLine="652"/>
        <w:spacing w:after="0" w:line="235" w:lineRule="auto"/>
        <w:tabs>
          <w:tab w:leader="none" w:pos="248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w:t>
      </w:r>
    </w:p>
    <w:p>
      <w:pPr>
        <w:spacing w:after="0" w:line="1" w:lineRule="exact"/>
        <w:rPr>
          <w:rFonts w:ascii="Arial" w:cs="Arial" w:eastAsia="Arial" w:hAnsi="Arial"/>
          <w:sz w:val="18"/>
          <w:szCs w:val="18"/>
          <w:color w:val="auto"/>
        </w:rPr>
      </w:pPr>
    </w:p>
    <w:p>
      <w:pPr>
        <w:ind w:left="1580" w:hanging="276"/>
        <w:spacing w:after="0"/>
        <w:tabs>
          <w:tab w:leader="none" w:pos="15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Business Days prior to the Effective Date.</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the Administrative Agent and each Lender that has signed this Agreement shall be deemed to have</w:t>
      </w:r>
    </w:p>
    <w:p>
      <w:pPr>
        <w:spacing w:after="0" w:line="255" w:lineRule="auto"/>
        <w:rPr>
          <w:sz w:val="20"/>
          <w:szCs w:val="20"/>
          <w:color w:val="auto"/>
        </w:rPr>
      </w:pPr>
      <w:r>
        <w:rPr>
          <w:rFonts w:ascii="Arial" w:cs="Arial" w:eastAsia="Arial" w:hAnsi="Arial"/>
          <w:sz w:val="16"/>
          <w:szCs w:val="16"/>
          <w:color w:val="auto"/>
        </w:rPr>
        <w:t>consented to, approved or accepted or to be satisfied with, each document or other matter required thereunder to be consented to or approved by or acceptable or satisfactory to a Lender unless the Administrative Agent shall have received notice from such Lender prior to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proposed Effective Date specifying its objection thereto.</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Conditions to Each Credit Event</w:t>
      </w:r>
    </w:p>
    <w:p>
      <w:pPr>
        <w:spacing w:after="0" w:line="175" w:lineRule="exact"/>
        <w:rPr>
          <w:sz w:val="20"/>
          <w:szCs w:val="20"/>
          <w:color w:val="auto"/>
        </w:rPr>
      </w:pPr>
    </w:p>
    <w:p>
      <w:pPr>
        <w:jc w:val="both"/>
        <w:ind w:firstLine="8"/>
        <w:spacing w:after="0" w:line="220" w:lineRule="auto"/>
        <w:tabs>
          <w:tab w:leader="none" w:pos="99"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agreement of each Lender to make any Loan or to issue or extend the expiry date under, or participate in, a Letter of Credit (other than the extension of a Letter of Credit pursuant to the evergreen provisions therein) (each, a “</w:t>
      </w:r>
      <w:r>
        <w:rPr>
          <w:rFonts w:ascii="Arial" w:cs="Arial" w:eastAsia="Arial" w:hAnsi="Arial"/>
          <w:sz w:val="20"/>
          <w:szCs w:val="20"/>
          <w:u w:val="single" w:color="auto"/>
          <w:color w:val="auto"/>
        </w:rPr>
        <w:t>Credit Event</w:t>
      </w:r>
      <w:r>
        <w:rPr>
          <w:rFonts w:ascii="Arial" w:cs="Arial" w:eastAsia="Arial" w:hAnsi="Arial"/>
          <w:sz w:val="20"/>
          <w:szCs w:val="20"/>
          <w:color w:val="auto"/>
        </w:rPr>
        <w:t>”), including the Issuing Lender to issue a Letter of Credit, on any date (including any Credit Event to occur on the Effective Date) is subject to the satisfaction of the following conditions precedent:</w:t>
      </w:r>
    </w:p>
    <w:p>
      <w:pPr>
        <w:spacing w:after="0" w:line="169" w:lineRule="exact"/>
        <w:rPr>
          <w:rFonts w:ascii="Arial" w:cs="Arial" w:eastAsia="Arial" w:hAnsi="Arial"/>
          <w:sz w:val="20"/>
          <w:szCs w:val="20"/>
          <w:color w:val="auto"/>
        </w:rPr>
      </w:pPr>
    </w:p>
    <w:p>
      <w:pPr>
        <w:ind w:firstLine="1304"/>
        <w:spacing w:after="0" w:line="229" w:lineRule="auto"/>
        <w:tabs>
          <w:tab w:leader="none" w:pos="1754" w:val="left"/>
        </w:tabs>
        <w:numPr>
          <w:ilvl w:val="1"/>
          <w:numId w:val="133"/>
        </w:numPr>
        <w:rPr>
          <w:rFonts w:ascii="Arial" w:cs="Arial" w:eastAsia="Arial" w:hAnsi="Arial"/>
          <w:sz w:val="20"/>
          <w:szCs w:val="20"/>
          <w:color w:val="auto"/>
        </w:rPr>
      </w:pPr>
      <w:r>
        <w:rPr>
          <w:rFonts w:ascii="Arial" w:cs="Arial" w:eastAsia="Arial" w:hAnsi="Arial"/>
          <w:sz w:val="20"/>
          <w:szCs w:val="20"/>
          <w:u w:val="single" w:color="auto"/>
          <w:color w:val="auto"/>
        </w:rPr>
        <w:t>Satisfaction of Conditions Precedent in Section 5.1</w:t>
      </w:r>
      <w:r>
        <w:rPr>
          <w:rFonts w:ascii="Arial" w:cs="Arial" w:eastAsia="Arial" w:hAnsi="Arial"/>
          <w:sz w:val="20"/>
          <w:szCs w:val="20"/>
          <w:color w:val="auto"/>
        </w:rPr>
        <w:t>. The conditions precedent set forth in Section 5.1 shall have been satisfied or waived in accordance with this Agreement as of the Effective Date.</w:t>
      </w:r>
    </w:p>
    <w:p>
      <w:pPr>
        <w:spacing w:after="0" w:line="168" w:lineRule="exact"/>
        <w:rPr>
          <w:rFonts w:ascii="Arial" w:cs="Arial" w:eastAsia="Arial" w:hAnsi="Arial"/>
          <w:sz w:val="20"/>
          <w:szCs w:val="20"/>
          <w:color w:val="auto"/>
        </w:rPr>
      </w:pPr>
    </w:p>
    <w:p>
      <w:pPr>
        <w:jc w:val="both"/>
        <w:ind w:firstLine="1304"/>
        <w:spacing w:after="0" w:line="238" w:lineRule="auto"/>
        <w:tabs>
          <w:tab w:leader="none" w:pos="1814"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the Borrower in this Agreement that does not contain a materiality or Material Adverse Effect qualification shall be true and correct in all material respects on and as of the date of such Credit Event as if made on and as of such date, and each of the representations and warranties made by the Borrower in this Agreement that contains a materiality or Material Adverse Effect qualification shall be true and correct in all respects on and as of such date (or, to the extent such representations and warranties specifically relate to an earlier date, such representations and warranties were true and correct in all material respects, or true and correct in all respects, as the case may be, as of such earlier date).</w:t>
      </w:r>
    </w:p>
    <w:p>
      <w:pPr>
        <w:spacing w:after="0" w:line="172" w:lineRule="exact"/>
        <w:rPr>
          <w:rFonts w:ascii="Arial" w:cs="Arial" w:eastAsia="Arial" w:hAnsi="Arial"/>
          <w:sz w:val="18"/>
          <w:szCs w:val="18"/>
          <w:color w:val="auto"/>
        </w:rPr>
      </w:pPr>
    </w:p>
    <w:p>
      <w:pPr>
        <w:ind w:firstLine="1304"/>
        <w:spacing w:after="0" w:line="236" w:lineRule="auto"/>
        <w:tabs>
          <w:tab w:leader="none" w:pos="1884" w:val="left"/>
        </w:tabs>
        <w:numPr>
          <w:ilvl w:val="1"/>
          <w:numId w:val="133"/>
        </w:numPr>
        <w:rPr>
          <w:rFonts w:ascii="Arial" w:cs="Arial" w:eastAsia="Arial" w:hAnsi="Arial"/>
          <w:sz w:val="20"/>
          <w:szCs w:val="20"/>
          <w:color w:val="auto"/>
        </w:rPr>
      </w:pPr>
      <w:r>
        <w:rPr>
          <w:rFonts w:ascii="Arial" w:cs="Arial" w:eastAsia="Arial" w:hAnsi="Arial"/>
          <w:sz w:val="20"/>
          <w:szCs w:val="20"/>
          <w:u w:val="single" w:color="auto"/>
          <w:color w:val="auto"/>
        </w:rPr>
        <w:t>Material Adverse Change</w:t>
      </w:r>
      <w:r>
        <w:rPr>
          <w:rFonts w:ascii="Arial" w:cs="Arial" w:eastAsia="Arial" w:hAnsi="Arial"/>
          <w:sz w:val="20"/>
          <w:szCs w:val="20"/>
          <w:color w:val="auto"/>
        </w:rPr>
        <w:t>. Since September 30, 2020, there has been no material adverse change in the business, assets, results of operations or condition (financial or other) of the Borrower and its Subsidiaries, taken as a whole.</w:t>
      </w:r>
    </w:p>
    <w:p>
      <w:pPr>
        <w:spacing w:after="0" w:line="155" w:lineRule="exact"/>
        <w:rPr>
          <w:rFonts w:ascii="Arial" w:cs="Arial" w:eastAsia="Arial" w:hAnsi="Arial"/>
          <w:sz w:val="20"/>
          <w:szCs w:val="20"/>
          <w:color w:val="auto"/>
        </w:rPr>
      </w:pPr>
    </w:p>
    <w:p>
      <w:pPr>
        <w:ind w:firstLine="1304"/>
        <w:spacing w:after="0" w:line="236" w:lineRule="auto"/>
        <w:tabs>
          <w:tab w:leader="none" w:pos="1751" w:val="left"/>
        </w:tabs>
        <w:numPr>
          <w:ilvl w:val="1"/>
          <w:numId w:val="133"/>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shall have occurred and be continuing on the date of such Credit Event or after giving effect to the Credit Event requested to be made on such date.</w:t>
      </w:r>
    </w:p>
    <w:p>
      <w:pPr>
        <w:spacing w:after="0" w:line="169"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Each borrowing of Loans hereunder, and each request by the Borrower for the issuance of or extension of an expiry date under a Letter of Credit hereunder (other than the extension of a</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9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Letter of Credit pursuant to the evergreen provisions therein), shall constitute a representation and warranty by the Borrower as of the date of such Credit Event that the conditions contained in this Section 5.2 have been satisfied.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6</w:t>
      </w: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The Borrower hereby agrees that, so long as the Commitments remain in effect or any Obligation remains unpaid or unperformed, the Borrower shall and shall cause its Subsidiaries to:</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u w:val="single" w:color="auto"/>
          <w:color w:val="auto"/>
        </w:rPr>
        <w:t>Financial Statements</w:t>
      </w:r>
    </w:p>
    <w:p>
      <w:pPr>
        <w:spacing w:after="0" w:line="189" w:lineRule="exact"/>
        <w:rPr>
          <w:sz w:val="20"/>
          <w:szCs w:val="20"/>
          <w:color w:val="auto"/>
        </w:rPr>
      </w:pPr>
    </w:p>
    <w:p>
      <w:pPr>
        <w:ind w:firstLine="8"/>
        <w:spacing w:after="0" w:line="229" w:lineRule="auto"/>
        <w:tabs>
          <w:tab w:leader="none" w:pos="139" w:val="left"/>
        </w:tabs>
        <w:numPr>
          <w:ilvl w:val="0"/>
          <w:numId w:val="134"/>
        </w:numPr>
        <w:rPr>
          <w:rFonts w:ascii="Arial" w:cs="Arial" w:eastAsia="Arial" w:hAnsi="Arial"/>
          <w:sz w:val="20"/>
          <w:szCs w:val="20"/>
          <w:color w:val="auto"/>
        </w:rPr>
      </w:pPr>
      <w:r>
        <w:rPr>
          <w:rFonts w:ascii="Arial" w:cs="Arial" w:eastAsia="Arial" w:hAnsi="Arial"/>
          <w:sz w:val="20"/>
          <w:szCs w:val="20"/>
          <w:color w:val="auto"/>
        </w:rPr>
        <w:t>Furnish to the Administrative Agent, and the Administrative Agent shall deliver to each Lender via Intralinks or any other method reasonably acceptable to the Administrative Agent:</w:t>
      </w:r>
    </w:p>
    <w:p>
      <w:pPr>
        <w:spacing w:after="0" w:line="168" w:lineRule="exact"/>
        <w:rPr>
          <w:rFonts w:ascii="Arial" w:cs="Arial" w:eastAsia="Arial" w:hAnsi="Arial"/>
          <w:sz w:val="20"/>
          <w:szCs w:val="20"/>
          <w:color w:val="auto"/>
        </w:rPr>
      </w:pPr>
    </w:p>
    <w:p>
      <w:pPr>
        <w:jc w:val="both"/>
        <w:ind w:firstLine="1304"/>
        <w:spacing w:after="0" w:line="214" w:lineRule="auto"/>
        <w:tabs>
          <w:tab w:leader="none" w:pos="1715"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as soon as available, but in any event within the earlier of (i) 90 days after the end of each fiscal year of the Borrower or (ii) five Business Days after the filing of the following financial statements with the SEC, a copy of the audited consolidated balance sheet of the Borrower and its consolidated Subsidiaries as at the end of such year and the related audited consolidated statements of income, statements of stockholders’ equity and comprehensive income and cash flows for such year, setting forth in each case in comparative form the figures for the previous year, accompanied by the unqualified opinion of Deloitte &amp; Touche LLP or other independent certified public accountants of nationally recognized standing; and</w:t>
      </w:r>
    </w:p>
    <w:p>
      <w:pPr>
        <w:spacing w:after="0" w:line="173" w:lineRule="exact"/>
        <w:rPr>
          <w:rFonts w:ascii="Arial" w:cs="Arial" w:eastAsia="Arial" w:hAnsi="Arial"/>
          <w:sz w:val="20"/>
          <w:szCs w:val="20"/>
          <w:color w:val="auto"/>
        </w:rPr>
      </w:pPr>
    </w:p>
    <w:p>
      <w:pPr>
        <w:jc w:val="both"/>
        <w:ind w:firstLine="1304"/>
        <w:spacing w:after="0" w:line="212" w:lineRule="auto"/>
        <w:tabs>
          <w:tab w:leader="none" w:pos="1769"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as soon as available, but in any event within the earlier of (i) 45 days after the end of each of the first three quarterly periods of each fiscal year of the Borrower or (ii) five Business Days after the filing of the following financial statements with the SEC, the unaudited consolidated balance sheet of the Borrower and its consolidated Subsidiaries as at the end of such quarter, the related unaudited consolidated statements of income for such quarter and the portion of the fiscal year through the end of such quarter, statement of stockholders’ equity and comprehensive income as at the end of such quarter and cash flows for the portion of the fiscal year through the end of such quarter, setting forth in each case (other than the statement of stockholders’ equity and comprehensive income) in comparative form the figures for the previous year, certified by a Responsible Officer as being fairly stated in all material respects (subject to normal year-end audit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All such financial statements shall be complete and correct in all material respects and shall be prepared in reasonable detail and in</w:t>
      </w:r>
    </w:p>
    <w:p>
      <w:pPr>
        <w:spacing w:after="0" w:line="255" w:lineRule="auto"/>
        <w:rPr>
          <w:sz w:val="20"/>
          <w:szCs w:val="20"/>
          <w:color w:val="auto"/>
        </w:rPr>
      </w:pPr>
      <w:r>
        <w:rPr>
          <w:rFonts w:ascii="Arial" w:cs="Arial" w:eastAsia="Arial" w:hAnsi="Arial"/>
          <w:sz w:val="16"/>
          <w:szCs w:val="16"/>
          <w:color w:val="auto"/>
        </w:rPr>
        <w:t>accordance with GAAP applied consistently throughout the periods reflected therein and with prior periods. All financial statements and reports referred to in Section 6.1(a) and (b) shall be deemed to have been delivered upon the filing of such financial statements and reports by</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Borrower through the SEC’s EDGAR system or publication by the Borrower of such financial statements and reports on its website and the receipt by the Administrative Agent of electronic notice from the Borrower with a link to such financial statements and reports.</w:t>
      </w:r>
    </w:p>
    <w:p>
      <w:pPr>
        <w:spacing w:after="0" w:line="1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u w:val="single" w:color="auto"/>
          <w:color w:val="auto"/>
        </w:rPr>
        <w:t>Certificates; Other Information</w:t>
      </w:r>
    </w:p>
    <w:p>
      <w:pPr>
        <w:spacing w:after="0" w:line="189" w:lineRule="exact"/>
        <w:rPr>
          <w:sz w:val="20"/>
          <w:szCs w:val="20"/>
          <w:color w:val="auto"/>
        </w:rPr>
      </w:pPr>
    </w:p>
    <w:p>
      <w:pPr>
        <w:ind w:left="100" w:hanging="92"/>
        <w:spacing w:after="0"/>
        <w:tabs>
          <w:tab w:leader="none" w:pos="1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Furnish to the Administrative Agent and each Lender:</w:t>
      </w:r>
    </w:p>
    <w:p>
      <w:pPr>
        <w:spacing w:after="0" w:line="188" w:lineRule="exact"/>
        <w:rPr>
          <w:rFonts w:ascii="Arial" w:cs="Arial" w:eastAsia="Arial" w:hAnsi="Arial"/>
          <w:sz w:val="20"/>
          <w:szCs w:val="20"/>
          <w:color w:val="auto"/>
        </w:rPr>
      </w:pPr>
    </w:p>
    <w:p>
      <w:pPr>
        <w:jc w:val="both"/>
        <w:ind w:firstLine="1304"/>
        <w:spacing w:after="0" w:line="220" w:lineRule="auto"/>
        <w:tabs>
          <w:tab w:leader="none" w:pos="1842" w:val="left"/>
        </w:tabs>
        <w:numPr>
          <w:ilvl w:val="1"/>
          <w:numId w:val="135"/>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any financial statements pursuant to Section 6.1, (i) a certificate executed by a Responsible Officer stating that such Responsible Officer has obtained no knowledge of any Default or Event of Default except as specified in such certificate and (ii) a Compliance Certificate,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containing all information and calculations reasonably necessary for determining compliance by the Borrower</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9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with the provisions of this Agreement referred to therein as of the last day of the fiscal quarter or fiscal year of the Borrower, as the case may be;</w:t>
      </w:r>
    </w:p>
    <w:p>
      <w:pPr>
        <w:spacing w:after="0" w:line="155" w:lineRule="exact"/>
        <w:rPr>
          <w:sz w:val="20"/>
          <w:szCs w:val="20"/>
          <w:color w:val="auto"/>
        </w:rPr>
      </w:pPr>
    </w:p>
    <w:p>
      <w:pPr>
        <w:jc w:val="both"/>
        <w:ind w:firstLine="1304"/>
        <w:spacing w:after="0" w:line="217" w:lineRule="auto"/>
        <w:tabs>
          <w:tab w:leader="none" w:pos="1744"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(i) within five days after the same are sent, copies of all financial statements and reports that the Borrower sends to the holders of any class of its debt securities or public equity securities, and (ii) within five days after the same are filed, copies of all financial statements and reports that the Borrower may make to, or file with, the SEC or any national securities exchange or national market,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financial statements and reports referred to in clauses (i) and (ii) shall be deemed to have been delivered upon the filing of such financial statements and reports by the Borrower through the SEC’s EDGAR system or publication by the Borrower of such financial statements and reports on its website;</w:t>
      </w:r>
    </w:p>
    <w:p>
      <w:pPr>
        <w:spacing w:after="0" w:line="156" w:lineRule="exact"/>
        <w:rPr>
          <w:rFonts w:ascii="Arial" w:cs="Arial" w:eastAsia="Arial" w:hAnsi="Arial"/>
          <w:sz w:val="20"/>
          <w:szCs w:val="20"/>
          <w:color w:val="auto"/>
        </w:rPr>
      </w:pPr>
    </w:p>
    <w:p>
      <w:pPr>
        <w:jc w:val="both"/>
        <w:ind w:firstLine="1304"/>
        <w:spacing w:after="0" w:line="229" w:lineRule="auto"/>
        <w:tabs>
          <w:tab w:leader="none" w:pos="183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with respect to any Lender (including the Administrative Agent) that previously received a Beneficial Ownership Certification (or a certification that the Borrower qualifies for an express exclusion to the “legal entity customer” definition under the Beneficial Ownership Regulation), prompt notice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 and</w:t>
      </w:r>
    </w:p>
    <w:p>
      <w:pPr>
        <w:spacing w:after="0" w:line="159" w:lineRule="exact"/>
        <w:rPr>
          <w:rFonts w:ascii="Arial" w:cs="Arial" w:eastAsia="Arial" w:hAnsi="Arial"/>
          <w:sz w:val="19"/>
          <w:szCs w:val="19"/>
          <w:color w:val="auto"/>
        </w:rPr>
      </w:pPr>
    </w:p>
    <w:p>
      <w:pPr>
        <w:ind w:left="1920" w:hanging="616"/>
        <w:spacing w:after="0"/>
        <w:tabs>
          <w:tab w:leader="none" w:pos="192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promptly, such additional financial and other information as the Administrative Agent may from time to time</w:t>
      </w:r>
    </w:p>
    <w:p>
      <w:pPr>
        <w:spacing w:after="0"/>
        <w:rPr>
          <w:rFonts w:ascii="Arial" w:cs="Arial" w:eastAsia="Arial" w:hAnsi="Arial"/>
          <w:sz w:val="19"/>
          <w:szCs w:val="19"/>
          <w:color w:val="auto"/>
        </w:rPr>
      </w:pPr>
      <w:r>
        <w:rPr>
          <w:rFonts w:ascii="Arial" w:cs="Arial" w:eastAsia="Arial" w:hAnsi="Arial"/>
          <w:sz w:val="20"/>
          <w:szCs w:val="20"/>
          <w:color w:val="auto"/>
        </w:rPr>
        <w:t>reasonably request.</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u w:val="single" w:color="auto"/>
          <w:color w:val="auto"/>
        </w:rPr>
        <w:t>Payment of Taxes</w:t>
      </w:r>
    </w:p>
    <w:p>
      <w:pPr>
        <w:spacing w:after="0" w:line="189" w:lineRule="exact"/>
        <w:rPr>
          <w:sz w:val="20"/>
          <w:szCs w:val="20"/>
          <w:color w:val="auto"/>
        </w:rPr>
      </w:pPr>
    </w:p>
    <w:p>
      <w:pPr>
        <w:jc w:val="both"/>
        <w:ind w:firstLine="8"/>
        <w:spacing w:after="0" w:line="216" w:lineRule="auto"/>
        <w:tabs>
          <w:tab w:leader="none" w:pos="99" w:val="left"/>
        </w:tabs>
        <w:numPr>
          <w:ilvl w:val="0"/>
          <w:numId w:val="137"/>
        </w:numPr>
        <w:rPr>
          <w:rFonts w:ascii="Arial" w:cs="Arial" w:eastAsia="Arial" w:hAnsi="Arial"/>
          <w:sz w:val="20"/>
          <w:szCs w:val="20"/>
          <w:color w:val="auto"/>
        </w:rPr>
      </w:pPr>
      <w:r>
        <w:rPr>
          <w:rFonts w:ascii="Arial" w:cs="Arial" w:eastAsia="Arial" w:hAnsi="Arial"/>
          <w:sz w:val="20"/>
          <w:szCs w:val="20"/>
          <w:color w:val="auto"/>
        </w:rPr>
        <w:t>Pay all taxes due and payable by or any other tax assessments made against the Borrower or any of its Subsidiaries or any of their respective property by any Governmental Authority (other than any amounts the validity of which are currently being contested in good faith by appropriate proceedings and with respect to which reserves in conformity with GAAP have been provided on the books of the Borrower or any of its Subsidiaries, as applicable).</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u w:val="single" w:color="auto"/>
          <w:color w:val="auto"/>
        </w:rPr>
        <w:t>Maintenance of Existence; Compliance</w:t>
      </w:r>
    </w:p>
    <w:p>
      <w:pPr>
        <w:spacing w:after="0" w:line="189" w:lineRule="exact"/>
        <w:rPr>
          <w:sz w:val="20"/>
          <w:szCs w:val="20"/>
          <w:color w:val="auto"/>
        </w:rPr>
      </w:pPr>
    </w:p>
    <w:p>
      <w:pPr>
        <w:jc w:val="both"/>
        <w:ind w:firstLine="8"/>
        <w:spacing w:after="0" w:line="239" w:lineRule="auto"/>
        <w:tabs>
          <w:tab w:leader="none" w:pos="9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(a)(i) Preserve, renew and keep in full force and effect its organizational existence and (ii) take all reasonable action to maintain all rights, privileges and franchises necessary or desirable in the normal conduct of its business, except, in each case, as otherwise permitted by Section 7.4 and except, in the case of clause (ii) above, to the extent that failure to do so could not reasonably be expected to have a Material Adverse Effect; and (b) comply with all Contractual Obligations and Requirements of Law except to the extent that failure to comply therewith could not, individually or in the aggregate, reasonably be expected to have a Material Adverse Effect.</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6"/>
          <w:szCs w:val="16"/>
          <w:u w:val="single" w:color="auto"/>
          <w:color w:val="auto"/>
        </w:rPr>
        <w:t>Maintenance of Property; Insurance</w:t>
      </w:r>
    </w:p>
    <w:p>
      <w:pPr>
        <w:spacing w:after="0" w:line="189" w:lineRule="exact"/>
        <w:rPr>
          <w:sz w:val="20"/>
          <w:szCs w:val="20"/>
          <w:color w:val="auto"/>
        </w:rPr>
      </w:pPr>
    </w:p>
    <w:p>
      <w:pPr>
        <w:jc w:val="both"/>
        <w:ind w:firstLine="8"/>
        <w:spacing w:after="0" w:line="215" w:lineRule="auto"/>
        <w:tabs>
          <w:tab w:leader="none" w:pos="112"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 Keep all property useful and necessary in its business in good working order and condition, ordinary wear and tear excepted, and (b) maintain with financially sound and reputable insurance companies insurance on its property in at least such amounts and against at least such risks as are usually insured against in the same general area by companies engaged in the same or a similar business of comparable size and financial strength and owning similar properties in the same general areas in which the Borrower operates, which may include self-insurance, if determined by the Borrower to be reasonably prudent.</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6"/>
          <w:szCs w:val="16"/>
          <w:u w:val="single" w:color="auto"/>
          <w:color w:val="auto"/>
        </w:rPr>
        <w:t>Inspection of Property; Books and Records; Discussions</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90" w:lineRule="exact"/>
        <w:rPr>
          <w:sz w:val="20"/>
          <w:szCs w:val="20"/>
          <w:color w:val="auto"/>
        </w:rPr>
      </w:pPr>
    </w:p>
    <w:p>
      <w:pPr>
        <w:jc w:val="both"/>
        <w:ind w:firstLine="8"/>
        <w:spacing w:after="0" w:line="225" w:lineRule="auto"/>
        <w:tabs>
          <w:tab w:leader="none" w:pos="112" w:val="left"/>
        </w:tabs>
        <w:numPr>
          <w:ilvl w:val="0"/>
          <w:numId w:val="140"/>
        </w:numPr>
        <w:rPr>
          <w:rFonts w:ascii="Arial" w:cs="Arial" w:eastAsia="Arial" w:hAnsi="Arial"/>
          <w:sz w:val="19"/>
          <w:szCs w:val="19"/>
          <w:color w:val="auto"/>
        </w:rPr>
      </w:pPr>
      <w:r>
        <w:rPr>
          <w:rFonts w:ascii="Arial" w:cs="Arial" w:eastAsia="Arial" w:hAnsi="Arial"/>
          <w:sz w:val="19"/>
          <w:szCs w:val="19"/>
          <w:color w:val="auto"/>
        </w:rPr>
        <w:t>Keep proper books of records and account in which full, true and correct entries in conformity with GAAP and all Requirements of Law shall be made of all dealings and transactions in relation to its business and activities and (i) permit representatives of the Administrative Agent and any Lender (but no more than once annually in case of Lenders unless and Event of Default shall have occurred and be continuing) to visit and inspect any of its and its Subsidiaries’ properties and examine and make abstracts from any of its books and records at any reasonable time and to discuss the business, operations, properties and financial and other condition of the Borrower and its Subsidiaries with officers and employees of the Borrower and its Subsidiaries and (ii) use commercially reasonable efforts to provide for the Lenders to meet with the independent certified public accountants of the Borrower and its Subsidiaries to discuss the business, operations, properties and financial and other condition of the Borrower and its Subsidiaries.</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6"/>
          <w:szCs w:val="16"/>
          <w:u w:val="single" w:color="auto"/>
          <w:color w:val="auto"/>
        </w:rPr>
        <w:t>Notices</w:t>
      </w:r>
    </w:p>
    <w:p>
      <w:pPr>
        <w:spacing w:after="0" w:line="189" w:lineRule="exact"/>
        <w:rPr>
          <w:sz w:val="20"/>
          <w:szCs w:val="20"/>
          <w:color w:val="auto"/>
        </w:rPr>
      </w:pPr>
    </w:p>
    <w:p>
      <w:pPr>
        <w:ind w:left="100" w:hanging="92"/>
        <w:spacing w:after="0"/>
        <w:tabs>
          <w:tab w:leader="none" w:pos="1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Promptly give notice to the Administrative Agent and each Lender of:</w:t>
      </w:r>
    </w:p>
    <w:p>
      <w:pPr>
        <w:spacing w:after="0" w:line="188" w:lineRule="exact"/>
        <w:rPr>
          <w:rFonts w:ascii="Arial" w:cs="Arial" w:eastAsia="Arial" w:hAnsi="Arial"/>
          <w:sz w:val="20"/>
          <w:szCs w:val="20"/>
          <w:color w:val="auto"/>
        </w:rPr>
      </w:pPr>
    </w:p>
    <w:p>
      <w:pPr>
        <w:ind w:left="1720" w:hanging="416"/>
        <w:spacing w:after="0"/>
        <w:tabs>
          <w:tab w:leader="none" w:pos="1720"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175" w:lineRule="exact"/>
        <w:rPr>
          <w:rFonts w:ascii="Arial" w:cs="Arial" w:eastAsia="Arial" w:hAnsi="Arial"/>
          <w:sz w:val="20"/>
          <w:szCs w:val="20"/>
          <w:color w:val="auto"/>
        </w:rPr>
      </w:pPr>
    </w:p>
    <w:p>
      <w:pPr>
        <w:jc w:val="both"/>
        <w:ind w:firstLine="1304"/>
        <w:spacing w:after="0" w:line="220" w:lineRule="auto"/>
        <w:tabs>
          <w:tab w:leader="none" w:pos="1729" w:val="left"/>
        </w:tabs>
        <w:numPr>
          <w:ilvl w:val="1"/>
          <w:numId w:val="141"/>
        </w:numPr>
        <w:rPr>
          <w:rFonts w:ascii="Arial" w:cs="Arial" w:eastAsia="Arial" w:hAnsi="Arial"/>
          <w:sz w:val="20"/>
          <w:szCs w:val="20"/>
          <w:color w:val="auto"/>
        </w:rPr>
      </w:pPr>
      <w:r>
        <w:rPr>
          <w:rFonts w:ascii="Arial" w:cs="Arial" w:eastAsia="Arial" w:hAnsi="Arial"/>
          <w:sz w:val="20"/>
          <w:szCs w:val="20"/>
          <w:color w:val="auto"/>
        </w:rPr>
        <w:t>any litigation or proceeding to which the Borrower or any of its Subsidiaries is a party (i) in which the amount involved is $50,000,000 or more and not covered by insurance, (ii) in which injunctive or similar relief is sought, (iii) which relates to any Loan Document or (iv) which seeks to prohibit the ownership or operation by the Borrower or any of its Subsidiaries of all or a material portion of their respective businesses or assets;</w:t>
      </w:r>
    </w:p>
    <w:p>
      <w:pPr>
        <w:spacing w:after="0" w:line="169" w:lineRule="exact"/>
        <w:rPr>
          <w:rFonts w:ascii="Arial" w:cs="Arial" w:eastAsia="Arial" w:hAnsi="Arial"/>
          <w:sz w:val="20"/>
          <w:szCs w:val="20"/>
          <w:color w:val="auto"/>
        </w:rPr>
      </w:pPr>
    </w:p>
    <w:p>
      <w:pPr>
        <w:jc w:val="both"/>
        <w:ind w:firstLine="1304"/>
        <w:spacing w:after="0" w:line="214" w:lineRule="auto"/>
        <w:tabs>
          <w:tab w:leader="none" w:pos="1770"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the following events, as soon as possible and in any event within 30 days after the Borrower knows or has reason to know thereof: (i) the occurrence of any Reportable Event with respect to any Plan, a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or the Borrower or any Commonly Controlled Entity or any Multiemployer Plan with respect to the withdrawal from, or the termination, Reorganization or Insolvency of, any Plan; and</w:t>
      </w:r>
    </w:p>
    <w:p>
      <w:pPr>
        <w:spacing w:after="0" w:line="173" w:lineRule="exact"/>
        <w:rPr>
          <w:rFonts w:ascii="Arial" w:cs="Arial" w:eastAsia="Arial" w:hAnsi="Arial"/>
          <w:sz w:val="20"/>
          <w:szCs w:val="20"/>
          <w:color w:val="auto"/>
        </w:rPr>
      </w:pPr>
    </w:p>
    <w:p>
      <w:pPr>
        <w:ind w:left="1740" w:hanging="436"/>
        <w:spacing w:after="0"/>
        <w:tabs>
          <w:tab w:leader="none" w:pos="1740" w:val="left"/>
        </w:tabs>
        <w:numPr>
          <w:ilvl w:val="1"/>
          <w:numId w:val="141"/>
        </w:numPr>
        <w:rPr>
          <w:rFonts w:ascii="Arial" w:cs="Arial" w:eastAsia="Arial" w:hAnsi="Arial"/>
          <w:sz w:val="20"/>
          <w:szCs w:val="20"/>
          <w:color w:val="auto"/>
        </w:rPr>
      </w:pPr>
      <w:r>
        <w:rPr>
          <w:rFonts w:ascii="Arial" w:cs="Arial" w:eastAsia="Arial" w:hAnsi="Arial"/>
          <w:sz w:val="20"/>
          <w:szCs w:val="20"/>
          <w:color w:val="auto"/>
        </w:rPr>
        <w:t>any development or event that has had or could reasonably be expected to have a Material Adverse Effect.</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Each notice pursuant to this Section 6.7 shall be accompanied by a statement of a Responsible Officer setting forth the details of the occurrence referred to therein and stating what action the Borrower proposes to take with respect thereto.</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16"/>
          <w:szCs w:val="16"/>
          <w:u w:val="single" w:color="auto"/>
          <w:color w:val="auto"/>
        </w:rPr>
        <w:t>Maintenance of Licenses, Etc</w:t>
      </w:r>
      <w:r>
        <w:rPr>
          <w:rFonts w:ascii="Arial" w:cs="Arial" w:eastAsia="Arial" w:hAnsi="Arial"/>
          <w:sz w:val="16"/>
          <w:szCs w:val="16"/>
          <w:i w:val="1"/>
          <w:iCs w:val="1"/>
          <w:u w:val="single" w:color="auto"/>
          <w:color w:val="auto"/>
        </w:rPr>
        <w:t>.</w:t>
      </w:r>
    </w:p>
    <w:p>
      <w:pPr>
        <w:spacing w:after="0" w:line="17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Maintain in full force and effect any authorization, consent, license or approval of any Governmental Authority necessary for the conduct of the Borrower’s business as now conducted by it or necessary in connection with this Agreement, except to the extent the failure to do so could not reasonably be expected to have a Material Adverse Effect.</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16"/>
          <w:szCs w:val="16"/>
          <w:u w:val="single" w:color="auto"/>
          <w:color w:val="auto"/>
        </w:rPr>
        <w:t>More Favorable Debt Covenants</w:t>
      </w:r>
      <w:r>
        <w:rPr>
          <w:rFonts w:ascii="Arial" w:cs="Arial" w:eastAsia="Arial" w:hAnsi="Arial"/>
          <w:sz w:val="16"/>
          <w:szCs w:val="16"/>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Promptly advise the Administrative Agent and the Lenders if at any time after the date of this Agreement the Borrower or any of its</w:t>
      </w:r>
    </w:p>
    <w:p>
      <w:pPr>
        <w:jc w:val="both"/>
        <w:ind w:right="20"/>
        <w:spacing w:after="0" w:line="220" w:lineRule="auto"/>
        <w:rPr>
          <w:sz w:val="20"/>
          <w:szCs w:val="20"/>
          <w:color w:val="auto"/>
        </w:rPr>
      </w:pPr>
      <w:r>
        <w:rPr>
          <w:rFonts w:ascii="Arial" w:cs="Arial" w:eastAsia="Arial" w:hAnsi="Arial"/>
          <w:sz w:val="20"/>
          <w:szCs w:val="20"/>
          <w:color w:val="auto"/>
        </w:rPr>
        <w:t>Subsidiaries shall enter into or be a party to any instrument or agreement relating to or amending any provisions applicable to any of its Indebtedness which exceeds $50,000,000. Thereupon, if the Administrative Agent or the Required Lenders shall</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request, upon notice to the Borrower, the Administrative Agent and the Lenders shall enter into an amendment to this Agreement or an</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additional agreement (as the Administrative Agent may request), providing for substantially the same covenants and defaults as those provided for in such instrument or agreement to the extent required and as may be selected by the Administrative Agent.</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6"/>
          <w:szCs w:val="16"/>
          <w:u w:val="single" w:color="auto"/>
          <w:color w:val="auto"/>
        </w:rPr>
        <w:t>Use of Proceeds</w:t>
      </w:r>
    </w:p>
    <w:p>
      <w:pPr>
        <w:spacing w:after="0" w:line="189" w:lineRule="exact"/>
        <w:rPr>
          <w:sz w:val="20"/>
          <w:szCs w:val="20"/>
          <w:color w:val="auto"/>
        </w:rPr>
      </w:pPr>
    </w:p>
    <w:p>
      <w:pPr>
        <w:jc w:val="both"/>
        <w:ind w:firstLine="8"/>
        <w:spacing w:after="0" w:line="252" w:lineRule="auto"/>
        <w:tabs>
          <w:tab w:leader="none" w:pos="11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Only use the proceeds of the Extensions of Credit to: (a) refinance certain debt outstanding on the Effective Date, (b) finance fees and expenses incurred in connection with this Agreement, (c) repurchase shares of the Borrower’s Capital Stock in accordance with applicable legal requirements, and (d) provide for the working capital needs and general corporate purpose needs of the Borrower and its Subsidiaries.</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6"/>
          <w:szCs w:val="16"/>
          <w:u w:val="single" w:color="auto"/>
          <w:color w:val="auto"/>
        </w:rPr>
        <w:t>Subsidiary Guarantors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jc w:val="both"/>
        <w:ind w:firstLine="1304"/>
        <w:spacing w:after="0" w:line="223" w:lineRule="auto"/>
        <w:tabs>
          <w:tab w:leader="none" w:pos="177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Borrower will cause any Subsidiary which becomes obligated for, or guarantees, Indebtedness in respect of any Other Borrower Debt Agreement, to deliver to the Administrative Agent (concurrently with the incurrence of any such obligation) the following items:</w:t>
      </w:r>
    </w:p>
    <w:p>
      <w:pPr>
        <w:spacing w:after="0" w:line="168" w:lineRule="exact"/>
        <w:rPr>
          <w:rFonts w:ascii="Arial" w:cs="Arial" w:eastAsia="Arial" w:hAnsi="Arial"/>
          <w:sz w:val="20"/>
          <w:szCs w:val="20"/>
          <w:color w:val="auto"/>
        </w:rPr>
      </w:pPr>
    </w:p>
    <w:p>
      <w:pPr>
        <w:ind w:left="1300" w:firstLine="652"/>
        <w:spacing w:after="0" w:line="236" w:lineRule="auto"/>
        <w:tabs>
          <w:tab w:leader="none" w:pos="2387" w:val="left"/>
        </w:tabs>
        <w:numPr>
          <w:ilvl w:val="1"/>
          <w:numId w:val="143"/>
        </w:numPr>
        <w:rPr>
          <w:rFonts w:ascii="Arial" w:cs="Arial" w:eastAsia="Arial" w:hAnsi="Arial"/>
          <w:sz w:val="20"/>
          <w:szCs w:val="20"/>
          <w:color w:val="auto"/>
        </w:rPr>
      </w:pPr>
      <w:r>
        <w:rPr>
          <w:rFonts w:ascii="Arial" w:cs="Arial" w:eastAsia="Arial" w:hAnsi="Arial"/>
          <w:sz w:val="20"/>
          <w:szCs w:val="20"/>
          <w:color w:val="auto"/>
        </w:rPr>
        <w:t>a duly executed guaranty agreement (the “</w:t>
      </w:r>
      <w:r>
        <w:rPr>
          <w:rFonts w:ascii="Arial" w:cs="Arial" w:eastAsia="Arial" w:hAnsi="Arial"/>
          <w:sz w:val="20"/>
          <w:szCs w:val="20"/>
          <w:u w:val="single" w:color="auto"/>
          <w:color w:val="auto"/>
        </w:rPr>
        <w:t>Subsidiary Guaranty</w:t>
      </w:r>
      <w:r>
        <w:rPr>
          <w:rFonts w:ascii="Arial" w:cs="Arial" w:eastAsia="Arial" w:hAnsi="Arial"/>
          <w:sz w:val="20"/>
          <w:szCs w:val="20"/>
          <w:color w:val="auto"/>
        </w:rPr>
        <w:t>”) in scope, form and substance satisfactory to the Administrative Agent;</w:t>
      </w:r>
    </w:p>
    <w:p>
      <w:pPr>
        <w:spacing w:after="0" w:line="155" w:lineRule="exact"/>
        <w:rPr>
          <w:rFonts w:ascii="Arial" w:cs="Arial" w:eastAsia="Arial" w:hAnsi="Arial"/>
          <w:sz w:val="20"/>
          <w:szCs w:val="20"/>
          <w:color w:val="auto"/>
        </w:rPr>
      </w:pPr>
    </w:p>
    <w:p>
      <w:pPr>
        <w:jc w:val="both"/>
        <w:ind w:left="1300" w:firstLine="652"/>
        <w:spacing w:after="0" w:line="227" w:lineRule="auto"/>
        <w:tabs>
          <w:tab w:leader="none" w:pos="2393" w:val="left"/>
        </w:tabs>
        <w:numPr>
          <w:ilvl w:val="1"/>
          <w:numId w:val="143"/>
        </w:numPr>
        <w:rPr>
          <w:rFonts w:ascii="Arial" w:cs="Arial" w:eastAsia="Arial" w:hAnsi="Arial"/>
          <w:sz w:val="20"/>
          <w:szCs w:val="20"/>
          <w:color w:val="auto"/>
        </w:rPr>
      </w:pPr>
      <w:r>
        <w:rPr>
          <w:rFonts w:ascii="Arial" w:cs="Arial" w:eastAsia="Arial" w:hAnsi="Arial"/>
          <w:sz w:val="20"/>
          <w:szCs w:val="20"/>
          <w:color w:val="auto"/>
        </w:rPr>
        <w:t>an amendment to this Agreement, duly executed by an authorized officer of the Borrower, that is satisfactory in scope, form and substance to the Required Lenders, incorporating customary events of default for the Subsidiary Guarantors and the Subsidiary Guaranty;</w:t>
      </w:r>
    </w:p>
    <w:p>
      <w:pPr>
        <w:spacing w:after="0" w:line="157" w:lineRule="exact"/>
        <w:rPr>
          <w:rFonts w:ascii="Arial" w:cs="Arial" w:eastAsia="Arial" w:hAnsi="Arial"/>
          <w:sz w:val="20"/>
          <w:szCs w:val="20"/>
          <w:color w:val="auto"/>
        </w:rPr>
      </w:pPr>
    </w:p>
    <w:p>
      <w:pPr>
        <w:jc w:val="both"/>
        <w:ind w:left="1300" w:firstLine="652"/>
        <w:spacing w:after="0" w:line="223" w:lineRule="auto"/>
        <w:tabs>
          <w:tab w:leader="none" w:pos="262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a certificate signed by an authorized Responsible Officer of the Borrower making representations and warranties to the effect of those contained in Sections 4.3, 4.4 and 4.5, with respect to such Subsidiary and the Subsidiary Guaranty, as applicable; and</w:t>
      </w:r>
    </w:p>
    <w:p>
      <w:pPr>
        <w:spacing w:after="0" w:line="168" w:lineRule="exact"/>
        <w:rPr>
          <w:rFonts w:ascii="Arial" w:cs="Arial" w:eastAsia="Arial" w:hAnsi="Arial"/>
          <w:sz w:val="20"/>
          <w:szCs w:val="20"/>
          <w:color w:val="auto"/>
        </w:rPr>
      </w:pPr>
    </w:p>
    <w:p>
      <w:pPr>
        <w:jc w:val="both"/>
        <w:ind w:left="1300" w:firstLine="652"/>
        <w:spacing w:after="0" w:line="214" w:lineRule="auto"/>
        <w:tabs>
          <w:tab w:leader="none" w:pos="2464" w:val="left"/>
        </w:tabs>
        <w:numPr>
          <w:ilvl w:val="1"/>
          <w:numId w:val="143"/>
        </w:numPr>
        <w:rPr>
          <w:rFonts w:ascii="Arial" w:cs="Arial" w:eastAsia="Arial" w:hAnsi="Arial"/>
          <w:sz w:val="20"/>
          <w:szCs w:val="20"/>
          <w:color w:val="auto"/>
        </w:rPr>
      </w:pPr>
      <w:r>
        <w:rPr>
          <w:rFonts w:ascii="Arial" w:cs="Arial" w:eastAsia="Arial" w:hAnsi="Arial"/>
          <w:sz w:val="20"/>
          <w:szCs w:val="20"/>
          <w:color w:val="auto"/>
        </w:rPr>
        <w:t>an opinion of counsel (who may be in-house counsel for the Borrower) addressed to each Lender satisfactory to the Administrative Agent, to the effect that the Subsidiary Guaranty by such Person has been duly authorized, executed and delivered and that the Subsidiary Guaranty constitutes the legal, valid and binding contract and agreement of such Person enforceable in accordance with its terms, except as an enforcement of such terms may be limited by bankruptcy, insolvency, fraudulent conveyance and similar laws affecting the enforcement of creditors’ rights generally and by general equitable principles.</w:t>
      </w:r>
    </w:p>
    <w:p>
      <w:pPr>
        <w:spacing w:after="0" w:line="173" w:lineRule="exact"/>
        <w:rPr>
          <w:rFonts w:ascii="Arial" w:cs="Arial" w:eastAsia="Arial" w:hAnsi="Arial"/>
          <w:sz w:val="20"/>
          <w:szCs w:val="20"/>
          <w:color w:val="auto"/>
        </w:rPr>
      </w:pPr>
    </w:p>
    <w:p>
      <w:pPr>
        <w:jc w:val="both"/>
        <w:ind w:firstLine="1304"/>
        <w:spacing w:after="0" w:line="226" w:lineRule="auto"/>
        <w:tabs>
          <w:tab w:leader="none" w:pos="177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Lenders agree to discharge and release any Subsidiary Guarantor from the Subsidiary Guaranty upon the written request of the Borrower, provided that (i) such Subsidiary Guarantor has been released and discharged (or will be released and discharged concurrently with the release of such Subsidiary Guarantor under the Subsidiary Guaranty) as an obligor and guarantor under and in respect of each Other Borrower Debt Agreement and the Borrower so certifies to the Lenders in a certificate of a Responsible Officer, (ii) at the time of such release and discharge, the Borrower shall deliver a certificate of a Responsible Officer to the Lenders stating that no Default or Event of Default exists, and (iii) if any fee or other form of</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9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consideration is given to any holder of Indebtedness of the Borrower for the purpose of such release, the Lenders shall receive equivalent consideration.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7</w:t>
      </w: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hereby agrees that, so long as the Commitments remain in effect or any Obligation remains unpaid or unperformed:</w:t>
      </w:r>
    </w:p>
    <w:p>
      <w:pPr>
        <w:spacing w:after="0" w:line="19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u w:val="single" w:color="auto"/>
          <w:color w:val="auto"/>
        </w:rPr>
        <w:t>Total Leverage Ratio</w:t>
      </w:r>
    </w:p>
    <w:p>
      <w:pPr>
        <w:spacing w:after="0" w:line="189" w:lineRule="exact"/>
        <w:rPr>
          <w:sz w:val="20"/>
          <w:szCs w:val="20"/>
          <w:color w:val="auto"/>
        </w:rPr>
      </w:pPr>
    </w:p>
    <w:p>
      <w:pPr>
        <w:jc w:val="both"/>
        <w:ind w:firstLine="8"/>
        <w:spacing w:after="0" w:line="225" w:lineRule="auto"/>
        <w:tabs>
          <w:tab w:leader="none" w:pos="112"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Borrower shall not permit the Total Leverage Ratio on the last day of any fiscal quarter to exceed 3.50 to 1.00. Notwithstanding the foregoing, the maximum Total Leverage Ratio permitted under this Section 7.1 shall increase to 4.00 to 1.00 for the fiscal quarter in which a Permitted Acquisition with total consideration in excess of $50,000,000 is consummated and each of the three consecutive fiscal quarter periods thereafter (each such increase, an “</w:t>
      </w:r>
      <w:r>
        <w:rPr>
          <w:rFonts w:ascii="Arial" w:cs="Arial" w:eastAsia="Arial" w:hAnsi="Arial"/>
          <w:sz w:val="19"/>
          <w:szCs w:val="19"/>
          <w:u w:val="single" w:color="auto"/>
          <w:color w:val="auto"/>
        </w:rPr>
        <w:t>Acquisition Step Up</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Total Leverage Ratio shall not exceed 3.50 to 1.00 for at least two consecutive fiscal quarter periods before any subsequent Acquisition Step Up is permitted, (b) the Total Leverage Ratio shall not exceed 3.50 to 1.00 for the two consecutive fiscal quarter periods immediately prior to the Termination Date, and (c) if the maximum Total Leverage Ratio in any Other Borrower Debt Agreement is less than the maximum ratio permitted by this Section 7.1, then the maximum Total Leverage Ratio permitted by this Section 7.1 shall be deemed to be such lesser ratio.</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u w:val="single" w:color="auto"/>
          <w:color w:val="auto"/>
        </w:rPr>
        <w:t>Interest Coverage Ratio</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The Borrower shall not permit the Interest Coverage Ratio on the last day of any fiscal quarter to be less than 3.00 to 1.00.</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6"/>
          <w:szCs w:val="16"/>
          <w:u w:val="single" w:color="auto"/>
          <w:color w:val="auto"/>
        </w:rPr>
        <w:t>Change in Business</w:t>
      </w:r>
    </w:p>
    <w:p>
      <w:pPr>
        <w:spacing w:after="0" w:line="175" w:lineRule="exact"/>
        <w:rPr>
          <w:sz w:val="20"/>
          <w:szCs w:val="20"/>
          <w:color w:val="auto"/>
        </w:rPr>
      </w:pPr>
    </w:p>
    <w:p>
      <w:pPr>
        <w:jc w:val="both"/>
        <w:ind w:firstLine="8"/>
        <w:spacing w:after="0" w:line="231" w:lineRule="auto"/>
        <w:tabs>
          <w:tab w:leader="none" w:pos="12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Borrower shall not and shall not permit its Subsidiaries to engage, either directly or indirectly through Affiliates, in any business substantially different from the business of the Borrower or the applicable Subsidiary as of the Effective Date; provided, however, that the Borrower or any of its Subsidiaries may (a) form or acquire an Industrial Loan Corporation and (b) act as a broker, agent or act in another similar capacity for third party providers of financial products or consumers seeking financial products.</w:t>
      </w:r>
    </w:p>
    <w:p>
      <w:pPr>
        <w:spacing w:after="0" w:line="17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Mergers, Acquisitions, Etc</w:t>
      </w:r>
      <w:r>
        <w:rPr>
          <w:rFonts w:ascii="Arial" w:cs="Arial" w:eastAsia="Arial" w:hAnsi="Arial"/>
          <w:sz w:val="18"/>
          <w:szCs w:val="18"/>
          <w:color w:val="auto"/>
        </w:rPr>
        <w:t>. The Borrower shall not and shall not permit its Subsidiaries to consolidate with or merge into any other Person or permit any other Person to merge into it, acquire any Person as a new Subsidiary, sell all or substantially all of its assets or</w:t>
      </w:r>
    </w:p>
    <w:p>
      <w:pPr>
        <w:spacing w:after="0"/>
        <w:rPr>
          <w:sz w:val="20"/>
          <w:szCs w:val="20"/>
          <w:color w:val="auto"/>
        </w:rPr>
      </w:pPr>
      <w:r>
        <w:rPr>
          <w:rFonts w:ascii="Arial" w:cs="Arial" w:eastAsia="Arial" w:hAnsi="Arial"/>
          <w:sz w:val="20"/>
          <w:szCs w:val="20"/>
          <w:color w:val="auto"/>
        </w:rPr>
        <w:t>acquire all or substantially all of the assets of any other Person, except for the following (each, a “</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w:t>
      </w:r>
    </w:p>
    <w:p>
      <w:pPr>
        <w:spacing w:after="0" w:line="173" w:lineRule="exact"/>
        <w:rPr>
          <w:sz w:val="20"/>
          <w:szCs w:val="20"/>
          <w:color w:val="auto"/>
        </w:rPr>
      </w:pPr>
    </w:p>
    <w:p>
      <w:pPr>
        <w:jc w:val="both"/>
        <w:ind w:firstLine="1304"/>
        <w:spacing w:after="0" w:line="223" w:lineRule="auto"/>
        <w:tabs>
          <w:tab w:leader="none" w:pos="1872"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the Borrower and its wholly-owned Subsidiaries may merge with each other and the Borrower’s wholly-owned Subsidiaries may sell all or substantially all of their assets to each other,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any such merger involving the Borrower, the Borrower is the surviving Person; and</w:t>
      </w:r>
    </w:p>
    <w:p>
      <w:pPr>
        <w:spacing w:after="0" w:line="168" w:lineRule="exact"/>
        <w:rPr>
          <w:rFonts w:ascii="Arial" w:cs="Arial" w:eastAsia="Arial" w:hAnsi="Arial"/>
          <w:sz w:val="20"/>
          <w:szCs w:val="20"/>
          <w:color w:val="auto"/>
        </w:rPr>
      </w:pPr>
    </w:p>
    <w:p>
      <w:pPr>
        <w:ind w:firstLine="1304"/>
        <w:spacing w:after="0" w:line="229" w:lineRule="auto"/>
        <w:tabs>
          <w:tab w:leader="none" w:pos="1725"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Borrower or any of its Subsidiaries may acquire (by merger or otherwise) any Person as a new Subsidiary or acquire all or substantially all the assets of any other Person (each, a “</w:t>
      </w:r>
      <w:r>
        <w:rPr>
          <w:rFonts w:ascii="Arial" w:cs="Arial" w:eastAsia="Arial" w:hAnsi="Arial"/>
          <w:sz w:val="20"/>
          <w:szCs w:val="20"/>
          <w:u w:val="single" w:color="auto"/>
          <w:color w:val="auto"/>
        </w:rPr>
        <w:t>Proposed Target</w:t>
      </w:r>
      <w:r>
        <w:rPr>
          <w:rFonts w:ascii="Arial" w:cs="Arial" w:eastAsia="Arial" w:hAnsi="Arial"/>
          <w:sz w:val="20"/>
          <w:szCs w:val="20"/>
          <w:color w:val="auto"/>
        </w:rPr>
        <w:t>”); provided that:</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90" w:lineRule="exact"/>
        <w:rPr>
          <w:sz w:val="20"/>
          <w:szCs w:val="20"/>
          <w:color w:val="auto"/>
        </w:rPr>
      </w:pPr>
    </w:p>
    <w:p>
      <w:pPr>
        <w:ind w:left="2332" w:hanging="388"/>
        <w:spacing w:after="0"/>
        <w:tabs>
          <w:tab w:leader="none" w:pos="2332" w:val="left"/>
        </w:tabs>
        <w:numPr>
          <w:ilvl w:val="1"/>
          <w:numId w:val="147"/>
        </w:numPr>
        <w:rPr>
          <w:rFonts w:ascii="Arial" w:cs="Arial" w:eastAsia="Arial" w:hAnsi="Arial"/>
          <w:sz w:val="20"/>
          <w:szCs w:val="20"/>
          <w:color w:val="auto"/>
        </w:rPr>
      </w:pPr>
      <w:r>
        <w:rPr>
          <w:rFonts w:ascii="Arial" w:cs="Arial" w:eastAsia="Arial" w:hAnsi="Arial"/>
          <w:sz w:val="20"/>
          <w:szCs w:val="20"/>
          <w:color w:val="auto"/>
        </w:rPr>
        <w:t>no Default or Event of Default exists or will result after giving effect to any such acquisition;</w:t>
      </w:r>
    </w:p>
    <w:p>
      <w:pPr>
        <w:spacing w:after="0" w:line="188" w:lineRule="exact"/>
        <w:rPr>
          <w:rFonts w:ascii="Arial" w:cs="Arial" w:eastAsia="Arial" w:hAnsi="Arial"/>
          <w:sz w:val="20"/>
          <w:szCs w:val="20"/>
          <w:color w:val="auto"/>
        </w:rPr>
      </w:pPr>
    </w:p>
    <w:p>
      <w:pPr>
        <w:jc w:val="both"/>
        <w:ind w:left="1292" w:right="20" w:firstLine="652"/>
        <w:spacing w:after="0" w:line="223" w:lineRule="auto"/>
        <w:tabs>
          <w:tab w:leader="none" w:pos="2397" w:val="left"/>
        </w:tabs>
        <w:numPr>
          <w:ilvl w:val="1"/>
          <w:numId w:val="147"/>
        </w:numPr>
        <w:rPr>
          <w:rFonts w:ascii="Arial" w:cs="Arial" w:eastAsia="Arial" w:hAnsi="Arial"/>
          <w:sz w:val="20"/>
          <w:szCs w:val="20"/>
          <w:color w:val="auto"/>
        </w:rPr>
      </w:pPr>
      <w:r>
        <w:rPr>
          <w:rFonts w:ascii="Arial" w:cs="Arial" w:eastAsia="Arial" w:hAnsi="Arial"/>
          <w:sz w:val="20"/>
          <w:szCs w:val="20"/>
          <w:color w:val="auto"/>
        </w:rPr>
        <w:t>the Proposed Target is engaged in a business or activity reasonably related to the business of the Borrower and its Subsidiaries (for purposes hereof, the operation of an Industrial Loan Corporation shall be deemed reasonably related to the business of the Borrower and its Subsidiaries);</w:t>
      </w:r>
    </w:p>
    <w:p>
      <w:pPr>
        <w:spacing w:after="0" w:line="168" w:lineRule="exact"/>
        <w:rPr>
          <w:rFonts w:ascii="Arial" w:cs="Arial" w:eastAsia="Arial" w:hAnsi="Arial"/>
          <w:sz w:val="20"/>
          <w:szCs w:val="20"/>
          <w:color w:val="auto"/>
        </w:rPr>
      </w:pPr>
    </w:p>
    <w:p>
      <w:pPr>
        <w:ind w:left="1292" w:firstLine="652"/>
        <w:spacing w:after="0" w:line="229" w:lineRule="auto"/>
        <w:tabs>
          <w:tab w:leader="none" w:pos="2491"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after giving effect to such acquisition, the Proposed Target shall be owned directly by the Borrower or shall become a wholly-owned Subsidiary, directly or indirectly, of the Borrower;</w:t>
      </w:r>
    </w:p>
    <w:p>
      <w:pPr>
        <w:spacing w:after="0" w:line="168" w:lineRule="exact"/>
        <w:rPr>
          <w:rFonts w:ascii="Arial" w:cs="Arial" w:eastAsia="Arial" w:hAnsi="Arial"/>
          <w:sz w:val="20"/>
          <w:szCs w:val="20"/>
          <w:color w:val="auto"/>
        </w:rPr>
      </w:pPr>
    </w:p>
    <w:p>
      <w:pPr>
        <w:jc w:val="both"/>
        <w:ind w:left="1292" w:firstLine="652"/>
        <w:spacing w:after="0" w:line="235" w:lineRule="auto"/>
        <w:tabs>
          <w:tab w:leader="none" w:pos="2538" w:val="left"/>
        </w:tabs>
        <w:numPr>
          <w:ilvl w:val="1"/>
          <w:numId w:val="147"/>
        </w:numPr>
        <w:rPr>
          <w:rFonts w:ascii="Arial" w:cs="Arial" w:eastAsia="Arial" w:hAnsi="Arial"/>
          <w:sz w:val="19"/>
          <w:szCs w:val="19"/>
          <w:color w:val="auto"/>
        </w:rPr>
      </w:pPr>
      <w:r>
        <w:rPr>
          <w:rFonts w:ascii="Arial" w:cs="Arial" w:eastAsia="Arial" w:hAnsi="Arial"/>
          <w:sz w:val="19"/>
          <w:szCs w:val="19"/>
          <w:color w:val="auto"/>
        </w:rPr>
        <w:t>on a pro forma basis, as if the Proposed Target had been a Subsidiary of the Borrower or owned by the Borrower at the time the most recent Compliance Certificate was delivered to the Administrative Agent, the Borrower would have been in compliance with the financial covenants set forth in Section 7.1 and Section 7.2; and</w:t>
      </w:r>
    </w:p>
    <w:p>
      <w:pPr>
        <w:spacing w:after="0" w:line="168" w:lineRule="exact"/>
        <w:rPr>
          <w:rFonts w:ascii="Arial" w:cs="Arial" w:eastAsia="Arial" w:hAnsi="Arial"/>
          <w:sz w:val="19"/>
          <w:szCs w:val="19"/>
          <w:color w:val="auto"/>
        </w:rPr>
      </w:pPr>
    </w:p>
    <w:p>
      <w:pPr>
        <w:ind w:left="1292" w:firstLine="652"/>
        <w:spacing w:after="0" w:line="285" w:lineRule="auto"/>
        <w:tabs>
          <w:tab w:leader="none" w:pos="238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Board of Directors or other governing body of the Proposed Target shall have approved the acquisition and such acquisition shall be completed as a result of an arm’s length negotiation (</w:t>
      </w:r>
      <w:r>
        <w:rPr>
          <w:rFonts w:ascii="Arial" w:cs="Arial" w:eastAsia="Arial" w:hAnsi="Arial"/>
          <w:sz w:val="18"/>
          <w:szCs w:val="18"/>
          <w:i w:val="1"/>
          <w:iCs w:val="1"/>
          <w:color w:val="auto"/>
        </w:rPr>
        <w:t>i.e.</w:t>
      </w:r>
      <w:r>
        <w:rPr>
          <w:rFonts w:ascii="Arial" w:cs="Arial" w:eastAsia="Arial" w:hAnsi="Arial"/>
          <w:sz w:val="18"/>
          <w:szCs w:val="18"/>
          <w:color w:val="auto"/>
        </w:rPr>
        <w:t>, on a non-hostile basis).</w:t>
      </w:r>
    </w:p>
    <w:p>
      <w:pPr>
        <w:spacing w:after="0" w:line="115" w:lineRule="exact"/>
        <w:rPr>
          <w:rFonts w:ascii="Arial" w:cs="Arial" w:eastAsia="Arial" w:hAnsi="Arial"/>
          <w:sz w:val="18"/>
          <w:szCs w:val="18"/>
          <w:color w:val="auto"/>
        </w:rPr>
      </w:pPr>
    </w:p>
    <w:p>
      <w:pPr>
        <w:ind w:left="-8" w:firstLine="1304"/>
        <w:spacing w:after="0" w:line="236" w:lineRule="auto"/>
        <w:tabs>
          <w:tab w:leader="none" w:pos="1752"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Borrower or its Subsidiaries may enter into any other merger, consolidation, acquisition of assets or sale of assets approved in writing by the Required Lenders.</w:t>
      </w:r>
    </w:p>
    <w:p>
      <w:pPr>
        <w:spacing w:after="0" w:line="169"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u w:val="single" w:color="auto"/>
          <w:color w:val="auto"/>
        </w:rPr>
        <w:t>Liens</w:t>
      </w:r>
    </w:p>
    <w:p>
      <w:pPr>
        <w:spacing w:after="0" w:line="175" w:lineRule="exact"/>
        <w:rPr>
          <w:sz w:val="20"/>
          <w:szCs w:val="20"/>
          <w:color w:val="auto"/>
        </w:rPr>
      </w:pPr>
    </w:p>
    <w:p>
      <w:pPr>
        <w:ind w:left="-8" w:firstLine="8"/>
        <w:spacing w:after="0" w:line="236" w:lineRule="auto"/>
        <w:tabs>
          <w:tab w:leader="none" w:pos="9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Borrower shall not and shall not permit its Subsidiaries to create, incur, assume or permit to exist any Lien on or with respect to any of its Property whether now owned or hereafter acquired, except for the following:</w:t>
      </w:r>
    </w:p>
    <w:p>
      <w:pPr>
        <w:spacing w:after="0" w:line="168" w:lineRule="exact"/>
        <w:rPr>
          <w:rFonts w:ascii="Arial" w:cs="Arial" w:eastAsia="Arial" w:hAnsi="Arial"/>
          <w:sz w:val="20"/>
          <w:szCs w:val="20"/>
          <w:color w:val="auto"/>
        </w:rPr>
      </w:pPr>
    </w:p>
    <w:p>
      <w:pPr>
        <w:ind w:left="1712" w:hanging="416"/>
        <w:spacing w:after="0"/>
        <w:tabs>
          <w:tab w:leader="none" w:pos="1712" w:val="left"/>
        </w:tabs>
        <w:numPr>
          <w:ilvl w:val="1"/>
          <w:numId w:val="149"/>
        </w:numPr>
        <w:rPr>
          <w:rFonts w:ascii="Arial" w:cs="Arial" w:eastAsia="Arial" w:hAnsi="Arial"/>
          <w:sz w:val="20"/>
          <w:szCs w:val="20"/>
          <w:color w:val="auto"/>
        </w:rPr>
      </w:pPr>
      <w:r>
        <w:rPr>
          <w:rFonts w:ascii="Arial" w:cs="Arial" w:eastAsia="Arial" w:hAnsi="Arial"/>
          <w:sz w:val="20"/>
          <w:szCs w:val="20"/>
          <w:color w:val="auto"/>
        </w:rPr>
        <w:t xml:space="preserve">Liens listed in </w:t>
      </w:r>
      <w:r>
        <w:rPr>
          <w:rFonts w:ascii="Arial" w:cs="Arial" w:eastAsia="Arial" w:hAnsi="Arial"/>
          <w:sz w:val="20"/>
          <w:szCs w:val="20"/>
          <w:u w:val="single" w:color="auto"/>
          <w:color w:val="auto"/>
        </w:rPr>
        <w:t>Schedule 7.5(a)</w:t>
      </w:r>
      <w:r>
        <w:rPr>
          <w:rFonts w:ascii="Arial" w:cs="Arial" w:eastAsia="Arial" w:hAnsi="Arial"/>
          <w:sz w:val="20"/>
          <w:szCs w:val="20"/>
          <w:color w:val="auto"/>
        </w:rPr>
        <w:t xml:space="preserve"> and existing on the date of this Agreement;</w:t>
      </w:r>
    </w:p>
    <w:p>
      <w:pPr>
        <w:spacing w:after="0" w:line="175" w:lineRule="exact"/>
        <w:rPr>
          <w:rFonts w:ascii="Arial" w:cs="Arial" w:eastAsia="Arial" w:hAnsi="Arial"/>
          <w:sz w:val="20"/>
          <w:szCs w:val="20"/>
          <w:color w:val="auto"/>
        </w:rPr>
      </w:pPr>
    </w:p>
    <w:p>
      <w:pPr>
        <w:jc w:val="both"/>
        <w:ind w:left="-8" w:firstLine="1304"/>
        <w:spacing w:after="0" w:line="220" w:lineRule="auto"/>
        <w:tabs>
          <w:tab w:leader="none" w:pos="1739" w:val="left"/>
        </w:tabs>
        <w:numPr>
          <w:ilvl w:val="1"/>
          <w:numId w:val="149"/>
        </w:numPr>
        <w:rPr>
          <w:rFonts w:ascii="Arial" w:cs="Arial" w:eastAsia="Arial" w:hAnsi="Arial"/>
          <w:sz w:val="20"/>
          <w:szCs w:val="20"/>
          <w:color w:val="auto"/>
        </w:rPr>
      </w:pPr>
      <w:r>
        <w:rPr>
          <w:rFonts w:ascii="Arial" w:cs="Arial" w:eastAsia="Arial" w:hAnsi="Arial"/>
          <w:sz w:val="20"/>
          <w:szCs w:val="20"/>
          <w:color w:val="auto"/>
        </w:rPr>
        <w:t>Liens for taxes or other governmental charges not at the time delinquent or thereafter payable without penalty or being contested in good faith, provided that adequate reserves for the payment thereof have been established in accordance with GAAP and no Property of the Borrower or any of its Subsidiaries is subject to impending risk of loss or forfeiture by reason of nonpayment of the obligations secured by such Liens;</w:t>
      </w:r>
    </w:p>
    <w:p>
      <w:pPr>
        <w:spacing w:after="0" w:line="169" w:lineRule="exact"/>
        <w:rPr>
          <w:rFonts w:ascii="Arial" w:cs="Arial" w:eastAsia="Arial" w:hAnsi="Arial"/>
          <w:sz w:val="20"/>
          <w:szCs w:val="20"/>
          <w:color w:val="auto"/>
        </w:rPr>
      </w:pPr>
    </w:p>
    <w:p>
      <w:pPr>
        <w:jc w:val="both"/>
        <w:ind w:left="-8" w:firstLine="1304"/>
        <w:spacing w:after="0" w:line="231" w:lineRule="auto"/>
        <w:tabs>
          <w:tab w:leader="none" w:pos="1753" w:val="left"/>
        </w:tabs>
        <w:numPr>
          <w:ilvl w:val="1"/>
          <w:numId w:val="149"/>
        </w:numPr>
        <w:rPr>
          <w:rFonts w:ascii="Arial" w:cs="Arial" w:eastAsia="Arial" w:hAnsi="Arial"/>
          <w:sz w:val="19"/>
          <w:szCs w:val="19"/>
          <w:color w:val="auto"/>
        </w:rPr>
      </w:pPr>
      <w:r>
        <w:rPr>
          <w:rFonts w:ascii="Arial" w:cs="Arial" w:eastAsia="Arial" w:hAnsi="Arial"/>
          <w:sz w:val="19"/>
          <w:szCs w:val="19"/>
          <w:color w:val="auto"/>
        </w:rPr>
        <w:t>Liens of carriers, warehousemen, mechanics, materialmen, vendors and landlords and other similar Liens imposed by applicable legal requirements incurred in the ordinary course of business or being contested in good faith, provided that adequate reserves for the payment thereof have been established in accordance with GAAP and no Property of the Borrower or any of its Subsidiaries is subject to impending risk of loss or forfeiture by reason of nonpayment of the obligations secured by such Liens;</w:t>
      </w:r>
    </w:p>
    <w:p>
      <w:pPr>
        <w:spacing w:after="0" w:line="157" w:lineRule="exact"/>
        <w:rPr>
          <w:rFonts w:ascii="Arial" w:cs="Arial" w:eastAsia="Arial" w:hAnsi="Arial"/>
          <w:sz w:val="19"/>
          <w:szCs w:val="19"/>
          <w:color w:val="auto"/>
        </w:rPr>
      </w:pPr>
    </w:p>
    <w:p>
      <w:pPr>
        <w:jc w:val="both"/>
        <w:ind w:left="-8" w:firstLine="1304"/>
        <w:spacing w:after="0" w:line="239" w:lineRule="auto"/>
        <w:tabs>
          <w:tab w:leader="none" w:pos="1732" w:val="left"/>
        </w:tabs>
        <w:numPr>
          <w:ilvl w:val="1"/>
          <w:numId w:val="149"/>
        </w:numPr>
        <w:rPr>
          <w:rFonts w:ascii="Arial" w:cs="Arial" w:eastAsia="Arial" w:hAnsi="Arial"/>
          <w:sz w:val="19"/>
          <w:szCs w:val="19"/>
          <w:color w:val="auto"/>
        </w:rPr>
      </w:pPr>
      <w:r>
        <w:rPr>
          <w:rFonts w:ascii="Arial" w:cs="Arial" w:eastAsia="Arial" w:hAnsi="Arial"/>
          <w:sz w:val="19"/>
          <w:szCs w:val="19"/>
          <w:color w:val="auto"/>
        </w:rPr>
        <w:t>Deposits under workers’ compensation, unemployment insurance and social security laws or to secure the performance of bids, tenders, contracts (other than for the repayment of borrowed money) or leases, or to secure statutory obligations of surety or appeal bonds or to secure indemnity, performance or other similar bonds in the ordinary course of business;</w:t>
      </w:r>
    </w:p>
    <w:p>
      <w:pPr>
        <w:sectPr>
          <w:pgSz w:w="11900" w:h="16838" w:orient="portrait"/>
          <w:cols w:equalWidth="0" w:num="1">
            <w:col w:w="11232"/>
          </w:cols>
          <w:pgMar w:left="328" w:top="1440" w:right="339" w:bottom="1440" w:gutter="0" w:footer="0" w:header="0"/>
        </w:sectPr>
      </w:pPr>
    </w:p>
    <w:bookmarkStart w:id="123" w:name="page124"/>
    <w:bookmarkEnd w:id="123"/>
    <w:p>
      <w:pPr>
        <w:spacing w:after="0" w:line="290" w:lineRule="exact"/>
        <w:rPr>
          <w:sz w:val="20"/>
          <w:szCs w:val="20"/>
          <w:color w:val="auto"/>
        </w:rPr>
      </w:pPr>
    </w:p>
    <w:p>
      <w:pPr>
        <w:jc w:val="both"/>
        <w:ind w:left="-8" w:firstLine="1304"/>
        <w:spacing w:after="0" w:line="223" w:lineRule="auto"/>
        <w:tabs>
          <w:tab w:leader="none" w:pos="1735" w:val="left"/>
        </w:tabs>
        <w:numPr>
          <w:ilvl w:val="0"/>
          <w:numId w:val="150"/>
        </w:numPr>
        <w:rPr>
          <w:rFonts w:ascii="Arial" w:cs="Arial" w:eastAsia="Arial" w:hAnsi="Arial"/>
          <w:sz w:val="20"/>
          <w:szCs w:val="20"/>
          <w:color w:val="auto"/>
        </w:rPr>
      </w:pPr>
      <w:r>
        <w:rPr>
          <w:rFonts w:ascii="Arial" w:cs="Arial" w:eastAsia="Arial" w:hAnsi="Arial"/>
          <w:sz w:val="20"/>
          <w:szCs w:val="20"/>
          <w:color w:val="auto"/>
        </w:rPr>
        <w:t>Zoning restrictions, easements, rights-of-way, title irregularities and other similar encumbrances, which alone or in the aggregate are not substantial in amount and do not materially detract from the value of the Property subject thereto or interfere with the ordinary conduct of the business of the Borrower or any of its Subsidiaries;</w:t>
      </w:r>
    </w:p>
    <w:p>
      <w:pPr>
        <w:spacing w:after="0" w:line="168" w:lineRule="exact"/>
        <w:rPr>
          <w:rFonts w:ascii="Arial" w:cs="Arial" w:eastAsia="Arial" w:hAnsi="Arial"/>
          <w:sz w:val="20"/>
          <w:szCs w:val="20"/>
          <w:color w:val="auto"/>
        </w:rPr>
      </w:pPr>
    </w:p>
    <w:p>
      <w:pPr>
        <w:jc w:val="both"/>
        <w:ind w:left="-8" w:firstLine="1304"/>
        <w:spacing w:after="0" w:line="231" w:lineRule="auto"/>
        <w:tabs>
          <w:tab w:leader="none" w:pos="180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Liens incurred in connection with the extension, renewal or refinancing of the Indebtedness secured by the Liens described in clauses (a) and (e)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extension, renewal or replacement Lien (i) is limited to the property covered by the existing Lien and (ii) in the case of Liens securing Indebtedness described in clause (a), secures Indebtedness which is no greater in amount and has material terms no less favorable to the Lenders than the Indebtedness secured by the existing Lien;</w:t>
      </w:r>
    </w:p>
    <w:p>
      <w:pPr>
        <w:spacing w:after="0" w:line="171" w:lineRule="exact"/>
        <w:rPr>
          <w:rFonts w:ascii="Arial" w:cs="Arial" w:eastAsia="Arial" w:hAnsi="Arial"/>
          <w:sz w:val="19"/>
          <w:szCs w:val="19"/>
          <w:color w:val="auto"/>
        </w:rPr>
      </w:pPr>
    </w:p>
    <w:p>
      <w:pPr>
        <w:ind w:left="1712" w:hanging="416"/>
        <w:spacing w:after="0"/>
        <w:tabs>
          <w:tab w:leader="none" w:pos="171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Any attachment or judgment Lien not constituting an Event of Default;</w:t>
      </w:r>
    </w:p>
    <w:p>
      <w:pPr>
        <w:spacing w:after="0" w:line="175" w:lineRule="exact"/>
        <w:rPr>
          <w:rFonts w:ascii="Arial" w:cs="Arial" w:eastAsia="Arial" w:hAnsi="Arial"/>
          <w:sz w:val="20"/>
          <w:szCs w:val="20"/>
          <w:color w:val="auto"/>
        </w:rPr>
      </w:pPr>
    </w:p>
    <w:p>
      <w:pPr>
        <w:ind w:left="-8" w:firstLine="1304"/>
        <w:spacing w:after="0" w:line="236" w:lineRule="auto"/>
        <w:tabs>
          <w:tab w:leader="none" w:pos="176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Banker’s Liens, rights of setoff and similar Liens with respect to cash and Marketable Securities on deposit in one or more bank or securities accounts in the ordinary course of business; and</w:t>
      </w:r>
    </w:p>
    <w:p>
      <w:pPr>
        <w:spacing w:after="0" w:line="168" w:lineRule="exact"/>
        <w:rPr>
          <w:rFonts w:ascii="Arial" w:cs="Arial" w:eastAsia="Arial" w:hAnsi="Arial"/>
          <w:sz w:val="20"/>
          <w:szCs w:val="20"/>
          <w:color w:val="auto"/>
        </w:rPr>
      </w:pPr>
    </w:p>
    <w:p>
      <w:pPr>
        <w:jc w:val="both"/>
        <w:ind w:left="-8" w:firstLine="1304"/>
        <w:spacing w:after="0" w:line="223" w:lineRule="auto"/>
        <w:tabs>
          <w:tab w:leader="none" w:pos="173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Liens securing other Indebtedness in aggregate principal amount not exceeding 5% of the stockholders’ equity of the Borrower and its Subsidiaries (determined on a consolidated basis without duplication in accordance with GAAP) as shown on the most recent balance sheet delivered to the Administrative Agent in accordance with Section 6.1.</w:t>
      </w:r>
    </w:p>
    <w:p>
      <w:pPr>
        <w:spacing w:after="0" w:line="169"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8"/>
          <w:szCs w:val="18"/>
          <w:u w:val="single" w:color="auto"/>
          <w:color w:val="auto"/>
        </w:rPr>
        <w:t>Subsidiary Debt</w:t>
      </w:r>
    </w:p>
    <w:p>
      <w:pPr>
        <w:spacing w:after="0" w:line="175" w:lineRule="exact"/>
        <w:rPr>
          <w:sz w:val="20"/>
          <w:szCs w:val="20"/>
          <w:color w:val="auto"/>
        </w:rPr>
      </w:pPr>
    </w:p>
    <w:p>
      <w:pPr>
        <w:jc w:val="both"/>
        <w:ind w:left="-8" w:firstLine="8"/>
        <w:spacing w:after="0" w:line="226" w:lineRule="auto"/>
        <w:tabs>
          <w:tab w:leader="none" w:pos="9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Except for Subsidiary guarantees contemplated and in compliance with Section 6.11 or Subsidiary guarantees of any Indebtedness in respect of any Other Borrower Debt Agreement (so long as the Borrower complies with Section 6.11), the Borrower shall not permit its Subsidiaries to create, incur, assume or permit to exist any Indebtedness other than (i) Indebtedness owing to the Borrower or another Subsidiary, and (ii) other Indebtedness in an aggregate principal amount not exceeding 5% of the stockholders’ equity of the Borrower and its Subsidiaries (determined on a consolidated basis without duplication in accordance with GAAP) as shown on the most recent balance sheet delivered to the Administrative Agent in accordance with Section 6.1.</w:t>
      </w:r>
    </w:p>
    <w:p>
      <w:pPr>
        <w:spacing w:after="0" w:line="170"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8"/>
          <w:szCs w:val="18"/>
          <w:u w:val="single" w:color="auto"/>
          <w:color w:val="auto"/>
        </w:rPr>
        <w:t>Distributions</w:t>
      </w:r>
    </w:p>
    <w:p>
      <w:pPr>
        <w:spacing w:after="0" w:line="189" w:lineRule="exact"/>
        <w:rPr>
          <w:sz w:val="20"/>
          <w:szCs w:val="20"/>
          <w:color w:val="auto"/>
        </w:rPr>
      </w:pPr>
    </w:p>
    <w:p>
      <w:pPr>
        <w:jc w:val="both"/>
        <w:ind w:left="-8" w:firstLine="8"/>
        <w:spacing w:after="0" w:line="238" w:lineRule="auto"/>
        <w:tabs>
          <w:tab w:leader="none" w:pos="9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Borrower shall not and shall not permit its Subsidiaries to reorganize, recapitalize or make any Distributions or set apart any funds for any such purpose, except that (a) any wholly-owned Subsidiary may make Distributions to the Borrower or another wholly-owned Subsidiary, and (b) the Borrower and its Subsidiaries may make a Distribution or set apart funds for such purpose if (i) no Default or Event of Default exists or will result after giving effect to any such Distribution and (ii) on a pro forma basis, as if the Distribution has been made, or the funds were set apart for such purpose, at the time the most recent Compliance Certificate was delivered to the Administrative Agent, the Borrower would have been in compliance with the financial covenants set forth in Section 7.1 and Section 7.2.</w:t>
      </w:r>
    </w:p>
    <w:p>
      <w:pPr>
        <w:spacing w:after="0" w:line="172"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8"/>
          <w:szCs w:val="18"/>
          <w:u w:val="single" w:color="auto"/>
          <w:color w:val="auto"/>
        </w:rPr>
        <w:t>Transactions With Affiliates</w:t>
      </w:r>
    </w:p>
    <w:p>
      <w:pPr>
        <w:spacing w:after="0" w:line="175" w:lineRule="exact"/>
        <w:rPr>
          <w:sz w:val="20"/>
          <w:szCs w:val="20"/>
          <w:color w:val="auto"/>
        </w:rPr>
      </w:pPr>
    </w:p>
    <w:p>
      <w:pPr>
        <w:jc w:val="both"/>
        <w:ind w:left="-8" w:right="20" w:firstLine="8"/>
        <w:spacing w:after="0" w:line="227" w:lineRule="auto"/>
        <w:tabs>
          <w:tab w:leader="none" w:pos="10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Borrower shall not and shall not permit its Subsidiaries to enter into any Contractual Obligation with any Affiliate or engage in any other transaction with any Affiliate except upon terms at least as favorable to the Borrower or such Subsidiary, as applicable, as an arm’s-length transaction with unaffiliated Persons.</w:t>
      </w:r>
    </w:p>
    <w:p>
      <w:pPr>
        <w:spacing w:after="0" w:line="157"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8"/>
          <w:szCs w:val="18"/>
          <w:u w:val="single" w:color="auto"/>
          <w:color w:val="auto"/>
        </w:rPr>
        <w:t>Subsidiary Restrictions</w:t>
      </w:r>
    </w:p>
    <w:p>
      <w:pPr>
        <w:sectPr>
          <w:pgSz w:w="11900" w:h="16838" w:orient="portrait"/>
          <w:cols w:equalWidth="0" w:num="1">
            <w:col w:w="11232"/>
          </w:cols>
          <w:pgMar w:left="328" w:top="1440" w:right="339" w:bottom="1440" w:gutter="0" w:footer="0" w:header="0"/>
        </w:sectPr>
      </w:pPr>
    </w:p>
    <w:bookmarkStart w:id="124" w:name="page125"/>
    <w:bookmarkEnd w:id="124"/>
    <w:p>
      <w:pPr>
        <w:spacing w:after="0" w:line="290" w:lineRule="exact"/>
        <w:rPr>
          <w:sz w:val="20"/>
          <w:szCs w:val="20"/>
          <w:color w:val="auto"/>
        </w:rPr>
      </w:pPr>
    </w:p>
    <w:p>
      <w:pPr>
        <w:jc w:val="both"/>
        <w:ind w:firstLine="8"/>
        <w:spacing w:after="0" w:line="235" w:lineRule="auto"/>
        <w:tabs>
          <w:tab w:leader="none" w:pos="9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Borrower shall not and shall not permit its Subsidiaries to enter into, or be otherwise subject to, any Contractual Obligation (including its charter documents) which limits the amount of or otherwise imposes restrictions on (a) the payment of Distributions by any Subsidiary to the Borrower or any other Subsidiary, (b) the payment by any Subsidiary of any Indebtedness owed to the Borrower or any other Subsidiary,</w:t>
      </w:r>
    </w:p>
    <w:p>
      <w:pPr>
        <w:spacing w:after="0" w:line="1" w:lineRule="exact"/>
        <w:rPr>
          <w:rFonts w:ascii="Arial" w:cs="Arial" w:eastAsia="Arial" w:hAnsi="Arial"/>
          <w:sz w:val="18"/>
          <w:szCs w:val="18"/>
          <w:color w:val="auto"/>
        </w:rPr>
      </w:pPr>
    </w:p>
    <w:p>
      <w:pPr>
        <w:jc w:val="both"/>
        <w:spacing w:after="0" w:line="232" w:lineRule="auto"/>
        <w:rPr>
          <w:rFonts w:ascii="Arial" w:cs="Arial" w:eastAsia="Arial" w:hAnsi="Arial"/>
          <w:sz w:val="18"/>
          <w:szCs w:val="18"/>
          <w:color w:val="auto"/>
        </w:rPr>
      </w:pPr>
      <w:r>
        <w:rPr>
          <w:rFonts w:ascii="Arial" w:cs="Arial" w:eastAsia="Arial" w:hAnsi="Arial"/>
          <w:sz w:val="18"/>
          <w:szCs w:val="18"/>
          <w:color w:val="auto"/>
        </w:rPr>
        <w:t>(c) the making of loans or advances by any Subsidiary to the Borrower or any other Subsidiary, (d) the transfer by any Subsidiary of its property to the Borrower or any other Subsidiary, or (e) the merger or consolidation of any Subsidiary with or into the Borrower or any other Subsidiary; provided that (i) the foregoing shall not apply to restrictions and conditions imposed by applicable laws or by this Agreement which (taken as a whole) could not reasonably be expected to have a Material Adverse Effect, (ii) the foregoing shall not apply to customary restrictions and conditions contained in agreements relating to the sale of a Subsidiary pending such sale, provided such restrictions and conditions apply only to the Subsidiary that is to be sold and such sale is not prohibited hereunder, (iii) clause (d) of the foregoing shall not apply to customary provisions in leases and other contracts restricting the assignment thereof, and (iv) the foregoing shall not apply to (A) any Contractual Obligation in effect on the date hereof or that governs any Indebtedness, Capital Stock or assets of a Person acquired by the Borrower or any Subsidiary as in effect on the date of such acquisition (except to the extent such Contractual Obligation was created or such Indebtedness was incurred in connection with or in contemplation of such acquisition, which limitation or restriction is not applicable to any Person, or the assets of any Person, other than the Person, or the assets of the Person, so acquired, provided, that in the case of Indebtedness, such Indebtedness was permitted by the terms of this Agreement to be incurred), (B) customary provisions in joint venture agreements and other similar instruments relating solely to the securities, assets and revenues of such joint venture, and (C) restrictions on deposits or minimum net worth requirements imposed under contracts entered into in the ordinary course of business.</w:t>
      </w:r>
    </w:p>
    <w:p>
      <w:pPr>
        <w:spacing w:after="0" w:line="16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6"/>
          <w:szCs w:val="16"/>
          <w:u w:val="single" w:color="auto"/>
          <w:color w:val="auto"/>
        </w:rPr>
        <w:t>Accounting Changes</w:t>
      </w:r>
    </w:p>
    <w:p>
      <w:pPr>
        <w:spacing w:after="0" w:line="189" w:lineRule="exact"/>
        <w:rPr>
          <w:sz w:val="20"/>
          <w:szCs w:val="20"/>
          <w:color w:val="auto"/>
        </w:rPr>
      </w:pPr>
    </w:p>
    <w:p>
      <w:pPr>
        <w:ind w:left="660" w:right="3380" w:hanging="652"/>
        <w:spacing w:after="0" w:line="429" w:lineRule="auto"/>
        <w:tabs>
          <w:tab w:leader="none" w:pos="11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The Borrower shall not change its accounting practices or principles except as required by GAAP. 7.11 </w:t>
      </w:r>
      <w:r>
        <w:rPr>
          <w:rFonts w:ascii="Arial" w:cs="Arial" w:eastAsia="Arial" w:hAnsi="Arial"/>
          <w:sz w:val="20"/>
          <w:szCs w:val="20"/>
          <w:u w:val="single" w:color="auto"/>
          <w:color w:val="auto"/>
        </w:rPr>
        <w:t>Amendment of Material Documents</w:t>
      </w:r>
    </w:p>
    <w:p>
      <w:pPr>
        <w:spacing w:after="0" w:line="1" w:lineRule="exact"/>
        <w:rPr>
          <w:sz w:val="20"/>
          <w:szCs w:val="20"/>
          <w:color w:val="auto"/>
        </w:rPr>
      </w:pPr>
    </w:p>
    <w:p>
      <w:pPr>
        <w:ind w:firstLine="8"/>
        <w:spacing w:after="0" w:line="236" w:lineRule="auto"/>
        <w:tabs>
          <w:tab w:leader="none" w:pos="99"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Borrower shall not agree to amend, modify, supplement or replace its certificate of incorporation or bylaws, in each case in a manner which could reasonably be expected to adversely affect the interests of the Administrative Agent and the Lenders.</w:t>
      </w:r>
    </w:p>
    <w:p>
      <w:pPr>
        <w:spacing w:after="0" w:line="15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6"/>
          <w:szCs w:val="16"/>
          <w:u w:val="single" w:color="auto"/>
          <w:color w:val="auto"/>
        </w:rPr>
        <w:t>Foreign Assets Control, Etc</w:t>
      </w:r>
      <w:r>
        <w:rPr>
          <w:rFonts w:ascii="Arial" w:cs="Arial" w:eastAsia="Arial" w:hAnsi="Arial"/>
          <w:sz w:val="16"/>
          <w:szCs w:val="16"/>
          <w:color w:val="auto"/>
        </w:rPr>
        <w:t>.</w:t>
      </w:r>
    </w:p>
    <w:p>
      <w:pPr>
        <w:spacing w:after="0" w:line="189" w:lineRule="exact"/>
        <w:rPr>
          <w:sz w:val="20"/>
          <w:szCs w:val="20"/>
          <w:color w:val="auto"/>
        </w:rPr>
      </w:pPr>
    </w:p>
    <w:p>
      <w:pPr>
        <w:ind w:left="1740" w:hanging="436"/>
        <w:spacing w:after="0"/>
        <w:tabs>
          <w:tab w:leader="none" w:pos="17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Each Covered Entity (i) will not become a Designated Person; (ii) will not become controlled by a Designated Person;</w:t>
      </w:r>
    </w:p>
    <w:p>
      <w:pPr>
        <w:spacing w:after="0" w:line="11" w:lineRule="exact"/>
        <w:rPr>
          <w:rFonts w:ascii="Arial" w:cs="Arial" w:eastAsia="Arial" w:hAnsi="Arial"/>
          <w:sz w:val="18"/>
          <w:szCs w:val="18"/>
          <w:color w:val="auto"/>
        </w:rPr>
      </w:pPr>
    </w:p>
    <w:p>
      <w:pPr>
        <w:jc w:val="both"/>
        <w:ind w:firstLine="8"/>
        <w:spacing w:after="0" w:line="235" w:lineRule="auto"/>
        <w:tabs>
          <w:tab w:leader="none" w:pos="3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will not receive funds or other property from a Designated Person; and (iv) will not become in breach of or is the subject of any action or investigation under any Anti-Terrorism Law. Each Covered Entity will not engage in any dealings or transactions, and is not and will not be otherwise associated, with any Designated Person. Each Covered Entity will comply, in all respects, with the Patriot Act. Each Covered Entity will take commercially reasonable measures to ensure compliance with Anti-Corruption Laws and Anti-Terrorism Laws including the requirement that funds invested directly or indirectly in such Covered Entity are derived from legal sources.</w:t>
      </w:r>
    </w:p>
    <w:p>
      <w:pPr>
        <w:spacing w:after="0" w:line="172" w:lineRule="exact"/>
        <w:rPr>
          <w:rFonts w:ascii="Arial" w:cs="Arial" w:eastAsia="Arial" w:hAnsi="Arial"/>
          <w:sz w:val="18"/>
          <w:szCs w:val="18"/>
          <w:color w:val="auto"/>
        </w:rPr>
      </w:pPr>
    </w:p>
    <w:p>
      <w:pPr>
        <w:jc w:val="both"/>
        <w:ind w:firstLine="1304"/>
        <w:spacing w:after="0" w:line="218" w:lineRule="auto"/>
        <w:tabs>
          <w:tab w:leader="none" w:pos="1728"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Borrower shall not permit any portion of the proceeds of any Extension of Credit or other credit made hereunder to be used, directly or indirectly for, and no fee, commission, rebate or other value to be paid (i) to, or for the benefit of, any governmental official, political party, official of a political party or any other Person acting in an official capacity in violation of any applicable Anti-Corruption Laws or any other applicable law, (ii) to fund any activities or business of or with any Person, or in any country or territory, that, at the</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9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time of such funding, is, or whose government is, the subject of Sanctions, or (iii) in any manner that would result in the violation of any Anti-Terrorism Laws or any other applicable law.</w:t>
      </w:r>
    </w:p>
    <w:p>
      <w:pPr>
        <w:spacing w:after="0" w:line="15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9"/>
          <w:szCs w:val="19"/>
          <w:u w:val="single" w:color="auto"/>
          <w:color w:val="auto"/>
        </w:rPr>
        <w:t>ERISA</w:t>
      </w:r>
    </w:p>
    <w:p>
      <w:pPr>
        <w:spacing w:after="0" w:line="189" w:lineRule="exact"/>
        <w:rPr>
          <w:sz w:val="20"/>
          <w:szCs w:val="20"/>
          <w:color w:val="auto"/>
        </w:rPr>
      </w:pPr>
    </w:p>
    <w:p>
      <w:pPr>
        <w:ind w:left="100" w:hanging="92"/>
        <w:spacing w:after="0"/>
        <w:tabs>
          <w:tab w:leader="none" w:pos="1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Neither the Borrower nor any Commonly Controlled Entity shall:</w:t>
      </w:r>
    </w:p>
    <w:p>
      <w:pPr>
        <w:spacing w:after="0" w:line="188" w:lineRule="exact"/>
        <w:rPr>
          <w:rFonts w:ascii="Arial" w:cs="Arial" w:eastAsia="Arial" w:hAnsi="Arial"/>
          <w:sz w:val="20"/>
          <w:szCs w:val="20"/>
          <w:color w:val="auto"/>
        </w:rPr>
      </w:pPr>
    </w:p>
    <w:p>
      <w:pPr>
        <w:ind w:left="1720" w:hanging="416"/>
        <w:spacing w:after="0"/>
        <w:tabs>
          <w:tab w:leader="none" w:pos="172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adopt or institute any Plan;</w:t>
      </w:r>
    </w:p>
    <w:p>
      <w:pPr>
        <w:spacing w:after="0" w:line="175" w:lineRule="exact"/>
        <w:rPr>
          <w:rFonts w:ascii="Arial" w:cs="Arial" w:eastAsia="Arial" w:hAnsi="Arial"/>
          <w:sz w:val="20"/>
          <w:szCs w:val="20"/>
          <w:color w:val="auto"/>
        </w:rPr>
      </w:pPr>
    </w:p>
    <w:p>
      <w:pPr>
        <w:ind w:firstLine="1304"/>
        <w:spacing w:after="0" w:line="236" w:lineRule="auto"/>
        <w:tabs>
          <w:tab w:leader="none" w:pos="1734"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take any action that will result in the partial or complete withdrawal, within the meanings of Sections 4203 and 4205 of ERISA, from a Multiemployer Plan;</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736" w:val="left"/>
        </w:tabs>
        <w:numPr>
          <w:ilvl w:val="1"/>
          <w:numId w:val="159"/>
        </w:numPr>
        <w:rPr>
          <w:rFonts w:ascii="Arial" w:cs="Arial" w:eastAsia="Arial" w:hAnsi="Arial"/>
          <w:sz w:val="20"/>
          <w:szCs w:val="20"/>
          <w:color w:val="auto"/>
        </w:rPr>
      </w:pPr>
      <w:r>
        <w:rPr>
          <w:rFonts w:ascii="Arial" w:cs="Arial" w:eastAsia="Arial" w:hAnsi="Arial"/>
          <w:sz w:val="20"/>
          <w:szCs w:val="20"/>
          <w:color w:val="auto"/>
        </w:rPr>
        <w:t>at any time, permit any Plan which is maintained by the Borrower or any Commonly Controlled Entity or to which the Borrower or Commonly Controlled Entity is obligated to contribute on behalf of its employees, in such case if to do so would singly or cumulatively reasonably be expected to have a Material Adverse Effect, to:</w:t>
      </w:r>
    </w:p>
    <w:p>
      <w:pPr>
        <w:spacing w:after="0" w:line="166" w:lineRule="exact"/>
        <w:rPr>
          <w:rFonts w:ascii="Arial" w:cs="Arial" w:eastAsia="Arial" w:hAnsi="Arial"/>
          <w:sz w:val="20"/>
          <w:szCs w:val="20"/>
          <w:color w:val="auto"/>
        </w:rPr>
      </w:pPr>
    </w:p>
    <w:p>
      <w:pPr>
        <w:ind w:left="2360" w:hanging="408"/>
        <w:spacing w:after="0"/>
        <w:tabs>
          <w:tab w:leader="none" w:pos="236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engage in any non-exempt “prohibited transaction” prohibited under Section 406 of ERISA or Section 4975 of</w:t>
      </w:r>
    </w:p>
    <w:p>
      <w:pPr>
        <w:ind w:left="1300"/>
        <w:spacing w:after="0"/>
        <w:rPr>
          <w:rFonts w:ascii="Arial" w:cs="Arial" w:eastAsia="Arial" w:hAnsi="Arial"/>
          <w:sz w:val="18"/>
          <w:szCs w:val="18"/>
          <w:color w:val="auto"/>
        </w:rPr>
      </w:pPr>
      <w:r>
        <w:rPr>
          <w:rFonts w:ascii="Arial" w:cs="Arial" w:eastAsia="Arial" w:hAnsi="Arial"/>
          <w:sz w:val="20"/>
          <w:szCs w:val="20"/>
          <w:color w:val="auto"/>
        </w:rPr>
        <w:t>the Code;</w:t>
      </w:r>
    </w:p>
    <w:p>
      <w:pPr>
        <w:spacing w:after="0" w:line="172" w:lineRule="exact"/>
        <w:rPr>
          <w:rFonts w:ascii="Arial" w:cs="Arial" w:eastAsia="Arial" w:hAnsi="Arial"/>
          <w:sz w:val="18"/>
          <w:szCs w:val="18"/>
          <w:color w:val="auto"/>
        </w:rPr>
      </w:pPr>
    </w:p>
    <w:p>
      <w:pPr>
        <w:ind w:left="1300" w:firstLine="652"/>
        <w:spacing w:after="0" w:line="236" w:lineRule="auto"/>
        <w:tabs>
          <w:tab w:leader="none" w:pos="2412" w:val="left"/>
        </w:tabs>
        <w:numPr>
          <w:ilvl w:val="2"/>
          <w:numId w:val="159"/>
        </w:numPr>
        <w:rPr>
          <w:rFonts w:ascii="Arial" w:cs="Arial" w:eastAsia="Arial" w:hAnsi="Arial"/>
          <w:sz w:val="20"/>
          <w:szCs w:val="20"/>
          <w:color w:val="auto"/>
        </w:rPr>
      </w:pPr>
      <w:r>
        <w:rPr>
          <w:rFonts w:ascii="Arial" w:cs="Arial" w:eastAsia="Arial" w:hAnsi="Arial"/>
          <w:sz w:val="20"/>
          <w:szCs w:val="20"/>
          <w:color w:val="auto"/>
        </w:rPr>
        <w:t>incur or allow to exist any “accumulated funding deficiency”, as that term is defined in Section 302 of ERISA or Section 412 of the Code;</w:t>
      </w:r>
    </w:p>
    <w:p>
      <w:pPr>
        <w:spacing w:after="0" w:line="155" w:lineRule="exact"/>
        <w:rPr>
          <w:rFonts w:ascii="Arial" w:cs="Arial" w:eastAsia="Arial" w:hAnsi="Arial"/>
          <w:sz w:val="20"/>
          <w:szCs w:val="20"/>
          <w:color w:val="auto"/>
        </w:rPr>
      </w:pPr>
    </w:p>
    <w:p>
      <w:pPr>
        <w:ind w:left="2440" w:hanging="488"/>
        <w:spacing w:after="0"/>
        <w:tabs>
          <w:tab w:leader="none" w:pos="244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fail to make full payment when due of all amounts due as contributions to any Plan or Multiemployer Plan; or</w:t>
      </w:r>
    </w:p>
    <w:p>
      <w:pPr>
        <w:spacing w:after="0" w:line="211" w:lineRule="exact"/>
        <w:rPr>
          <w:rFonts w:ascii="Arial" w:cs="Arial" w:eastAsia="Arial" w:hAnsi="Arial"/>
          <w:sz w:val="18"/>
          <w:szCs w:val="18"/>
          <w:color w:val="auto"/>
        </w:rPr>
      </w:pPr>
    </w:p>
    <w:p>
      <w:pPr>
        <w:jc w:val="both"/>
        <w:ind w:left="1300" w:firstLine="652"/>
        <w:spacing w:after="0" w:line="223" w:lineRule="auto"/>
        <w:tabs>
          <w:tab w:leader="none" w:pos="2434" w:val="left"/>
        </w:tabs>
        <w:numPr>
          <w:ilvl w:val="2"/>
          <w:numId w:val="159"/>
        </w:numPr>
        <w:rPr>
          <w:rFonts w:ascii="Arial" w:cs="Arial" w:eastAsia="Arial" w:hAnsi="Arial"/>
          <w:sz w:val="20"/>
          <w:szCs w:val="20"/>
          <w:color w:val="auto"/>
        </w:rPr>
      </w:pPr>
      <w:r>
        <w:rPr>
          <w:rFonts w:ascii="Arial" w:cs="Arial" w:eastAsia="Arial" w:hAnsi="Arial"/>
          <w:sz w:val="20"/>
          <w:szCs w:val="20"/>
          <w:color w:val="auto"/>
        </w:rPr>
        <w:t>suffer a termination event to occur that may reasonably be expected to result in liability of the Borrower or any Commonly Controlled Entity to the Plan or to the Pension Benefit Guaranty Corporation or the imposition of a lien on the collateral pursuant to Section 4068 of ERISA.</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727" w:val="left"/>
        </w:tabs>
        <w:numPr>
          <w:ilvl w:val="1"/>
          <w:numId w:val="159"/>
        </w:numPr>
        <w:rPr>
          <w:rFonts w:ascii="Arial" w:cs="Arial" w:eastAsia="Arial" w:hAnsi="Arial"/>
          <w:sz w:val="20"/>
          <w:szCs w:val="20"/>
          <w:color w:val="auto"/>
        </w:rPr>
      </w:pPr>
      <w:r>
        <w:rPr>
          <w:rFonts w:ascii="Arial" w:cs="Arial" w:eastAsia="Arial" w:hAnsi="Arial"/>
          <w:sz w:val="20"/>
          <w:szCs w:val="20"/>
          <w:color w:val="auto"/>
        </w:rPr>
        <w:t>At any time, permit any Plan which is maintained by the Borrower or any Commonly Controlled Entity or to which the Borrower or any Commonly Controlled Entity is obligated to contribute on behalf of its employees to fail to comply with ERISA or other applicable laws in any respect that would result in a Material Adverse Effect.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8</w:t>
      </w:r>
    </w:p>
    <w:p>
      <w:pPr>
        <w:jc w:val="center"/>
        <w:spacing w:after="0"/>
        <w:rPr>
          <w:sz w:val="20"/>
          <w:szCs w:val="20"/>
          <w:color w:val="auto"/>
        </w:rPr>
      </w:pPr>
      <w:r>
        <w:rPr>
          <w:rFonts w:ascii="Arial" w:cs="Arial" w:eastAsia="Arial" w:hAnsi="Arial"/>
          <w:sz w:val="20"/>
          <w:szCs w:val="20"/>
          <w:b w:val="1"/>
          <w:bCs w:val="1"/>
          <w:color w:val="auto"/>
        </w:rPr>
        <w:t>EVENTS OF DEFAULT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shall occur and be continuing:</w:t>
      </w:r>
    </w:p>
    <w:p>
      <w:pPr>
        <w:spacing w:after="0" w:line="189" w:lineRule="exact"/>
        <w:rPr>
          <w:sz w:val="20"/>
          <w:szCs w:val="20"/>
          <w:color w:val="auto"/>
        </w:rPr>
      </w:pPr>
    </w:p>
    <w:p>
      <w:pPr>
        <w:jc w:val="both"/>
        <w:ind w:firstLine="1304"/>
        <w:spacing w:after="0" w:line="220" w:lineRule="auto"/>
        <w:tabs>
          <w:tab w:leader="none" w:pos="172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or Reimbursement Obligation when due in accordance with the terms hereof; or the Borrower shall fail to pay any interest on any Loan or Reimbursement Obligation, or any other amount payable hereunder or under any other Loan Document, within five Business Days after any such interest or other amount becomes due in accordance with the terms thereof; or</w:t>
      </w:r>
    </w:p>
    <w:p>
      <w:pPr>
        <w:spacing w:after="0" w:line="155" w:lineRule="exact"/>
        <w:rPr>
          <w:rFonts w:ascii="Arial" w:cs="Arial" w:eastAsia="Arial" w:hAnsi="Arial"/>
          <w:sz w:val="20"/>
          <w:szCs w:val="20"/>
          <w:color w:val="auto"/>
        </w:rPr>
      </w:pPr>
    </w:p>
    <w:p>
      <w:pPr>
        <w:jc w:val="both"/>
        <w:ind w:firstLine="1304"/>
        <w:spacing w:after="0" w:line="259" w:lineRule="auto"/>
        <w:tabs>
          <w:tab w:leader="none" w:pos="17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Borrower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or</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90" w:lineRule="exact"/>
        <w:rPr>
          <w:sz w:val="20"/>
          <w:szCs w:val="20"/>
          <w:color w:val="auto"/>
        </w:rPr>
      </w:pPr>
    </w:p>
    <w:p>
      <w:pPr>
        <w:ind w:left="-1120" w:right="20" w:firstLine="1304"/>
        <w:spacing w:after="0" w:line="236" w:lineRule="auto"/>
        <w:tabs>
          <w:tab w:leader="none" w:pos="611"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Borrower shall default in the observance or performance of any agreement contained in Section 6.4, Section 6.7(a), Section 6.9 or Section 7 of this Agreement; or</w:t>
      </w:r>
    </w:p>
    <w:p>
      <w:pPr>
        <w:spacing w:after="0" w:line="155" w:lineRule="exact"/>
        <w:rPr>
          <w:rFonts w:ascii="Arial" w:cs="Arial" w:eastAsia="Arial" w:hAnsi="Arial"/>
          <w:sz w:val="20"/>
          <w:szCs w:val="20"/>
          <w:color w:val="auto"/>
        </w:rPr>
      </w:pPr>
    </w:p>
    <w:p>
      <w:pPr>
        <w:jc w:val="both"/>
        <w:ind w:left="-1120" w:firstLine="1304"/>
        <w:spacing w:after="0" w:line="227" w:lineRule="auto"/>
        <w:tabs>
          <w:tab w:leader="none" w:pos="60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Borrower shall default in the observance or performance of any other agreement contained in this Agreement or any other Loan Document (other than as provided in paragraphs (a) through (c) of this Section 8), and such default shall continue unremedied for a period of 20 days after the date of such default; or</w:t>
      </w:r>
    </w:p>
    <w:p>
      <w:pPr>
        <w:spacing w:after="0" w:line="157" w:lineRule="exact"/>
        <w:rPr>
          <w:rFonts w:ascii="Arial" w:cs="Arial" w:eastAsia="Arial" w:hAnsi="Arial"/>
          <w:sz w:val="20"/>
          <w:szCs w:val="20"/>
          <w:color w:val="auto"/>
        </w:rPr>
      </w:pPr>
    </w:p>
    <w:p>
      <w:pPr>
        <w:jc w:val="both"/>
        <w:ind w:left="-1120" w:firstLine="1304"/>
        <w:spacing w:after="0" w:line="223" w:lineRule="auto"/>
        <w:tabs>
          <w:tab w:leader="none" w:pos="64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the Borrower or any of its Subsidiaries shall (i) default in making any payment of any principal of or interest on any Indebtedness (including any Guarantee Obligation, but excluding the Loans) beyond the period of grace, if any, provided in the instrument or agreement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(or has caused), with the giving of notice if required, such Indebtedness to become due prior to its stated maturity or (in the case of any such Indebtedness constituting a Guarantee Obligation) to become payable; </w:t>
      </w:r>
      <w:r>
        <w:rPr>
          <w:rFonts w:ascii="Arial" w:cs="Arial" w:eastAsia="Arial" w:hAnsi="Arial"/>
          <w:sz w:val="19"/>
          <w:szCs w:val="19"/>
          <w:u w:val="single" w:color="auto"/>
          <w:color w:val="auto"/>
        </w:rPr>
        <w:t>provided</w:t>
      </w:r>
      <w:r>
        <w:rPr>
          <w:rFonts w:ascii="Arial" w:cs="Arial" w:eastAsia="Arial" w:hAnsi="Arial"/>
          <w:sz w:val="19"/>
          <w:szCs w:val="19"/>
          <w:color w:val="auto"/>
        </w:rPr>
        <w:t>, that a default, event or condition described in clause (i) or (ii) of this paragraph (e) shall not at any time constitute an Event of Default unless, at such time, one or more defaults, events or conditions of the type described in clauses (i) or (ii) of this paragraph (e) shall have occurred and be continuing with respect to Indebtedness the outstanding principal amount of which exceeds in the aggregate $50,000,000; or</w:t>
      </w:r>
    </w:p>
    <w:p>
      <w:pPr>
        <w:spacing w:after="0" w:line="169" w:lineRule="exact"/>
        <w:rPr>
          <w:rFonts w:ascii="Arial" w:cs="Arial" w:eastAsia="Arial" w:hAnsi="Arial"/>
          <w:sz w:val="19"/>
          <w:szCs w:val="19"/>
          <w:color w:val="auto"/>
        </w:rPr>
      </w:pPr>
    </w:p>
    <w:p>
      <w:pPr>
        <w:jc w:val="both"/>
        <w:ind w:left="-1120" w:firstLine="1304"/>
        <w:spacing w:after="0" w:line="233" w:lineRule="auto"/>
        <w:tabs>
          <w:tab w:leader="none" w:pos="6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the Borrower or any of its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Borrower or any of its Subsidiaries shall make a general assignment for the benefit of its creditors; or (ii) there shall be commenced against the Borrower or any of its Subsidiaries any case, proceeding or other action of a nature referred to in clause (i) above that (A) results in the entry of an order for relief or any such adjudication or appointment or (B) remains undismissed, undischarged or unbonded for a period of 60 days; or (iii) there shall be commenced against the Borrower or any of its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or any of its Subsidiaries shall generally not, or shall be unable to, or shall admit in writing its inability to, pay its debts as they become due; or (v) the Borrower or any of its Subsidiaries shall take any action in furtherance of, or indicating its consent to, approval of, or acquiescence in, any of the acts set forth in the foregoing clauses (i) through (iv); or</w:t>
      </w:r>
    </w:p>
    <w:p>
      <w:pPr>
        <w:spacing w:after="0" w:line="170" w:lineRule="exact"/>
        <w:rPr>
          <w:rFonts w:ascii="Arial" w:cs="Arial" w:eastAsia="Arial" w:hAnsi="Arial"/>
          <w:sz w:val="18"/>
          <w:szCs w:val="18"/>
          <w:color w:val="auto"/>
        </w:rPr>
      </w:pPr>
    </w:p>
    <w:p>
      <w:pPr>
        <w:ind w:left="-1120" w:firstLine="1304"/>
        <w:spacing w:after="0" w:line="269" w:lineRule="auto"/>
        <w:tabs>
          <w:tab w:leader="none" w:pos="63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material term of this Agreement, the Notes, the Fee Letter or any other material Loan Document shall cease to be, or be asserted by the Borrower or any of its Subsidiaries not to be, a legal, valid and binding obligation of such Borrower or Subsidiary; or</w:t>
      </w:r>
    </w:p>
    <w:p>
      <w:pPr>
        <w:spacing w:after="0" w:line="143" w:lineRule="exact"/>
        <w:rPr>
          <w:rFonts w:ascii="Arial" w:cs="Arial" w:eastAsia="Arial" w:hAnsi="Arial"/>
          <w:sz w:val="18"/>
          <w:szCs w:val="18"/>
          <w:color w:val="auto"/>
        </w:rPr>
      </w:pPr>
    </w:p>
    <w:p>
      <w:pPr>
        <w:jc w:val="both"/>
        <w:ind w:left="-1120" w:firstLine="1304"/>
        <w:spacing w:after="0" w:line="220" w:lineRule="auto"/>
        <w:tabs>
          <w:tab w:leader="none" w:pos="62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the Borrower or any of its Subsidiaries or any Commonly Controlled Entity, (iii) a Reportable Event</w:t>
      </w:r>
    </w:p>
    <w:p>
      <w:pPr>
        <w:sectPr>
          <w:pgSz w:w="11900" w:h="16838" w:orient="portrait"/>
          <w:cols w:equalWidth="0" w:num="1">
            <w:col w:w="10120"/>
          </w:cols>
          <w:pgMar w:left="1440" w:top="1440" w:right="339" w:bottom="1440" w:gutter="0" w:footer="0" w:header="0"/>
        </w:sectPr>
      </w:pPr>
    </w:p>
    <w:bookmarkStart w:id="127" w:name="page128"/>
    <w:bookmarkEnd w:id="127"/>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shall occur with respect to, or proceedings shall commence to have a trustee appointed, or a trustee shall be appointed, to administer or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terminate, any Single Employer Plan, which Reportable Event or commencement of proceedings or appointment of a trustee is, in the reasonable opinion of the Required Lenders, likely to result in the termination of such Plan for purposes of Title IV of ERISA, (iv) any Single</w:t>
      </w:r>
    </w:p>
    <w:p>
      <w:pPr>
        <w:spacing w:after="0" w:line="224" w:lineRule="auto"/>
        <w:rPr>
          <w:sz w:val="20"/>
          <w:szCs w:val="20"/>
          <w:color w:val="auto"/>
        </w:rPr>
      </w:pPr>
      <w:r>
        <w:rPr>
          <w:rFonts w:ascii="Arial" w:cs="Arial" w:eastAsia="Arial" w:hAnsi="Arial"/>
          <w:sz w:val="19"/>
          <w:szCs w:val="19"/>
          <w:color w:val="auto"/>
        </w:rPr>
        <w:t>Employer Plan shall terminate for purposes of Title IV of ERISA, (v) the Borrower or any of its Subsidiaries shall, or in the reasonable</w:t>
      </w:r>
    </w:p>
    <w:p>
      <w:pPr>
        <w:spacing w:after="0" w:line="226" w:lineRule="auto"/>
        <w:rPr>
          <w:sz w:val="20"/>
          <w:szCs w:val="20"/>
          <w:color w:val="auto"/>
        </w:rPr>
      </w:pPr>
      <w:r>
        <w:rPr>
          <w:rFonts w:ascii="Arial" w:cs="Arial" w:eastAsia="Arial" w:hAnsi="Arial"/>
          <w:sz w:val="18"/>
          <w:szCs w:val="18"/>
          <w:color w:val="auto"/>
        </w:rPr>
        <w:t>opinion of the Required Lenders is likely to, incur any liability in connection with a withdrawal from, or the Insolvency or Reorganization of, a Multiemployer Plan or (vi) any other event or condition shall occur or exist with respect to a Plan; and in each case in clauses (i) through</w:t>
      </w:r>
    </w:p>
    <w:p>
      <w:pPr>
        <w:spacing w:after="0" w:line="2" w:lineRule="exact"/>
        <w:rPr>
          <w:sz w:val="20"/>
          <w:szCs w:val="20"/>
          <w:color w:val="auto"/>
        </w:rPr>
      </w:pPr>
    </w:p>
    <w:p>
      <w:pPr>
        <w:ind w:right="20" w:firstLine="8"/>
        <w:spacing w:after="0" w:line="227" w:lineRule="auto"/>
        <w:tabs>
          <w:tab w:leader="none" w:pos="35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above, such event or condition, together with all other such events or conditions, if any, could, in the sole judgment of the Required Lenders, reasonably be expected to have a Material Adverse Effect; or</w:t>
      </w:r>
    </w:p>
    <w:p>
      <w:pPr>
        <w:spacing w:after="0" w:line="156" w:lineRule="exact"/>
        <w:rPr>
          <w:rFonts w:ascii="Arial" w:cs="Arial" w:eastAsia="Arial" w:hAnsi="Arial"/>
          <w:sz w:val="20"/>
          <w:szCs w:val="20"/>
          <w:color w:val="auto"/>
        </w:rPr>
      </w:pPr>
    </w:p>
    <w:p>
      <w:pPr>
        <w:jc w:val="both"/>
        <w:ind w:firstLine="1304"/>
        <w:spacing w:after="0" w:line="220" w:lineRule="auto"/>
        <w:tabs>
          <w:tab w:leader="none" w:pos="1775" w:val="left"/>
        </w:tabs>
        <w:numPr>
          <w:ilvl w:val="1"/>
          <w:numId w:val="162"/>
        </w:numPr>
        <w:rPr>
          <w:rFonts w:ascii="Arial" w:cs="Arial" w:eastAsia="Arial" w:hAnsi="Arial"/>
          <w:sz w:val="20"/>
          <w:szCs w:val="20"/>
          <w:color w:val="auto"/>
        </w:rPr>
      </w:pPr>
      <w:r>
        <w:rPr>
          <w:rFonts w:ascii="Arial" w:cs="Arial" w:eastAsia="Arial" w:hAnsi="Arial"/>
          <w:sz w:val="20"/>
          <w:szCs w:val="20"/>
          <w:color w:val="auto"/>
        </w:rPr>
        <w:t>one or more judgments or decrees shall be entered against the Borrower or any of its Subsidiaries involving in the aggregate a liability (not paid or, subject to customary deductibles, not fully covered by insurance as to which the relevant insurance company has acknowledged coverage) of $50,000,000 or more, and all such judgments or decrees shall not have been vacated, discharged, stayed or bonded pending appeal within 30 days from the entry thereof; or</w:t>
      </w:r>
    </w:p>
    <w:p>
      <w:pPr>
        <w:spacing w:after="0" w:line="169" w:lineRule="exact"/>
        <w:rPr>
          <w:rFonts w:ascii="Arial" w:cs="Arial" w:eastAsia="Arial" w:hAnsi="Arial"/>
          <w:sz w:val="20"/>
          <w:szCs w:val="20"/>
          <w:color w:val="auto"/>
        </w:rPr>
      </w:pPr>
    </w:p>
    <w:p>
      <w:pPr>
        <w:ind w:left="1680" w:hanging="376"/>
        <w:spacing w:after="0"/>
        <w:tabs>
          <w:tab w:leader="none" w:pos="168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Borrower shall become a Designated Person; or</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there shall have occurred a Change of Control.</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then, and in any such event, (i) if such event is an Event of Default specified in paragraph (f) above, automatically the Commitments shall immediately terminate and the Loans (with accrued interest thereon) and all other amounts owing under this Agreement and the other Loan</w:t>
      </w:r>
    </w:p>
    <w:p>
      <w:pPr>
        <w:jc w:val="both"/>
        <w:spacing w:after="0" w:line="255" w:lineRule="auto"/>
        <w:rPr>
          <w:sz w:val="20"/>
          <w:szCs w:val="20"/>
          <w:color w:val="auto"/>
        </w:rPr>
      </w:pPr>
      <w:r>
        <w:rPr>
          <w:rFonts w:ascii="Arial" w:cs="Arial" w:eastAsia="Arial" w:hAnsi="Arial"/>
          <w:sz w:val="16"/>
          <w:szCs w:val="16"/>
          <w:color w:val="auto"/>
        </w:rPr>
        <w:t>Documents (including all amounts of L/C Obligations, whether or not the beneficiaries of the then outstanding Letters of Credit shall have presented the documents required thereunder) shall immediately become due and payable, and (ii) if such event is any other Event of Default,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either or both of the following actions may be taken: (A) with the consent of the Required Lenders, the Administrative Agent may, or upon the request of the Required Lenders, the Administrative Agent shall, by notice to the Borrower declare the Commitments to be terminated</w:t>
      </w:r>
    </w:p>
    <w:p>
      <w:pPr>
        <w:spacing w:after="0" w:line="236" w:lineRule="auto"/>
        <w:rPr>
          <w:sz w:val="20"/>
          <w:szCs w:val="20"/>
          <w:color w:val="auto"/>
        </w:rPr>
      </w:pPr>
      <w:r>
        <w:rPr>
          <w:rFonts w:ascii="Arial" w:cs="Arial" w:eastAsia="Arial" w:hAnsi="Arial"/>
          <w:sz w:val="18"/>
          <w:szCs w:val="18"/>
          <w:color w:val="auto"/>
        </w:rPr>
        <w:t>forthwith, whereupon the Commitments shall immediately terminate; and (B) with the consent of the Required Lenders, the Administrative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Agent may, or upon the request of the Required Lenders, the Administrative Agent shall, by notice to the Borrower, declare the Loans (with accrued interest thereon) and all other amounts owing under this Agreement and the other Loan Documents (including all amounts of L/C</w:t>
      </w:r>
    </w:p>
    <w:p>
      <w:pPr>
        <w:spacing w:after="0" w:line="224" w:lineRule="auto"/>
        <w:rPr>
          <w:sz w:val="20"/>
          <w:szCs w:val="20"/>
          <w:color w:val="auto"/>
        </w:rPr>
      </w:pPr>
      <w:r>
        <w:rPr>
          <w:rFonts w:ascii="Arial" w:cs="Arial" w:eastAsia="Arial" w:hAnsi="Arial"/>
          <w:sz w:val="19"/>
          <w:szCs w:val="19"/>
          <w:color w:val="auto"/>
        </w:rPr>
        <w:t>Obligations, whether or not the beneficiaries of the then outstanding Letters of Credit shall have presented the documents required</w:t>
      </w:r>
    </w:p>
    <w:p>
      <w:pPr>
        <w:spacing w:after="0" w:line="226" w:lineRule="auto"/>
        <w:rPr>
          <w:sz w:val="20"/>
          <w:szCs w:val="20"/>
          <w:color w:val="auto"/>
        </w:rPr>
      </w:pPr>
      <w:r>
        <w:rPr>
          <w:rFonts w:ascii="Arial" w:cs="Arial" w:eastAsia="Arial" w:hAnsi="Arial"/>
          <w:sz w:val="18"/>
          <w:szCs w:val="18"/>
          <w:color w:val="auto"/>
        </w:rPr>
        <w:t>thereunder) to be due and payable forthwith, whereupon the same shall immediately become due and payable. With respect to all Letters of Credit with respect to which presentment for honor shall not have occurred at the time of an acceleration pursuant to this paragraph, the</w:t>
      </w:r>
    </w:p>
    <w:p>
      <w:pPr>
        <w:spacing w:after="0" w:line="236" w:lineRule="auto"/>
        <w:rPr>
          <w:sz w:val="20"/>
          <w:szCs w:val="20"/>
          <w:color w:val="auto"/>
        </w:rPr>
      </w:pPr>
      <w:r>
        <w:rPr>
          <w:rFonts w:ascii="Arial" w:cs="Arial" w:eastAsia="Arial" w:hAnsi="Arial"/>
          <w:sz w:val="18"/>
          <w:szCs w:val="18"/>
          <w:color w:val="auto"/>
        </w:rPr>
        <w:t>Borrower shall at such time deposit in a cash collateral account opened by the Administrative Agent an amount equal to the aggregate then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undrawn and unexpired amount of such Letters of Credit. Amounts held in such cash collateral account shall be applied by the Administrative Agent to the payment of drafts drawn under such Letters of Credit, and the unused portion thereof after all such Letters of</w:t>
      </w:r>
    </w:p>
    <w:p>
      <w:pPr>
        <w:spacing w:after="0" w:line="236" w:lineRule="auto"/>
        <w:rPr>
          <w:sz w:val="20"/>
          <w:szCs w:val="20"/>
          <w:color w:val="auto"/>
        </w:rPr>
      </w:pPr>
      <w:r>
        <w:rPr>
          <w:rFonts w:ascii="Arial" w:cs="Arial" w:eastAsia="Arial" w:hAnsi="Arial"/>
          <w:sz w:val="18"/>
          <w:szCs w:val="18"/>
          <w:color w:val="auto"/>
        </w:rPr>
        <w:t>Credit shall have expired or been fully drawn upon, if any, shall be applied to repay other obligations of the Borrower hereunder and under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other Loan Documents. After all such Letters of Credit shall have expired or been fully drawn upon, all Reimbursement Obligations shall have been satisfied and all other obligations of the Borrower hereunder and under the other Loan Documents shall have been paid in full, the</w:t>
      </w:r>
    </w:p>
    <w:p>
      <w:pPr>
        <w:spacing w:after="0" w:line="236" w:lineRule="auto"/>
        <w:rPr>
          <w:sz w:val="20"/>
          <w:szCs w:val="20"/>
          <w:color w:val="auto"/>
        </w:rPr>
      </w:pPr>
      <w:r>
        <w:rPr>
          <w:rFonts w:ascii="Arial" w:cs="Arial" w:eastAsia="Arial" w:hAnsi="Arial"/>
          <w:sz w:val="18"/>
          <w:szCs w:val="18"/>
          <w:color w:val="auto"/>
        </w:rPr>
        <w:t>balance, if any, in such cash collateral account shall be returned to the Borrower (or such other Person as may be lawfully entitled thereto).</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 xml:space="preserve">Except as expressly provided above in this </w:t>
      </w:r>
      <w:r>
        <w:rPr>
          <w:rFonts w:ascii="Arial" w:cs="Arial" w:eastAsia="Arial" w:hAnsi="Arial"/>
          <w:sz w:val="20"/>
          <w:szCs w:val="20"/>
          <w:u w:val="single" w:color="auto"/>
          <w:color w:val="auto"/>
        </w:rPr>
        <w:t>Section 8</w:t>
      </w:r>
      <w:r>
        <w:rPr>
          <w:rFonts w:ascii="Arial" w:cs="Arial" w:eastAsia="Arial" w:hAnsi="Arial"/>
          <w:sz w:val="20"/>
          <w:szCs w:val="20"/>
          <w:color w:val="auto"/>
        </w:rPr>
        <w:t>, presentment, demand, protest and all other notices of any kind are hereby expressly waived by the Borrower.</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w:t>
      </w:r>
    </w:p>
    <w:p>
      <w:pPr>
        <w:jc w:val="center"/>
        <w:spacing w:after="0"/>
        <w:rPr>
          <w:sz w:val="20"/>
          <w:szCs w:val="20"/>
          <w:color w:val="auto"/>
        </w:rPr>
      </w:pPr>
      <w:r>
        <w:rPr>
          <w:rFonts w:ascii="Arial" w:cs="Arial" w:eastAsia="Arial" w:hAnsi="Arial"/>
          <w:sz w:val="20"/>
          <w:szCs w:val="20"/>
          <w:b w:val="1"/>
          <w:bCs w:val="1"/>
          <w:color w:val="auto"/>
        </w:rPr>
        <w:t>THE AGENTS</w:t>
      </w:r>
    </w:p>
    <w:p>
      <w:pPr>
        <w:spacing w:after="0" w:line="1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u w:val="single" w:color="auto"/>
          <w:color w:val="auto"/>
        </w:rPr>
        <w:t>Appointment</w:t>
      </w:r>
    </w:p>
    <w:p>
      <w:pPr>
        <w:spacing w:after="0" w:line="189" w:lineRule="exact"/>
        <w:rPr>
          <w:sz w:val="20"/>
          <w:szCs w:val="20"/>
          <w:color w:val="auto"/>
        </w:rPr>
      </w:pPr>
    </w:p>
    <w:p>
      <w:pPr>
        <w:jc w:val="both"/>
        <w:ind w:firstLine="8"/>
        <w:spacing w:after="0" w:line="225" w:lineRule="auto"/>
        <w:tabs>
          <w:tab w:leader="none" w:pos="11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Delegation of Duties</w:t>
      </w:r>
    </w:p>
    <w:p>
      <w:pPr>
        <w:spacing w:after="0" w:line="189" w:lineRule="exact"/>
        <w:rPr>
          <w:sz w:val="20"/>
          <w:szCs w:val="20"/>
          <w:color w:val="auto"/>
        </w:rPr>
      </w:pPr>
    </w:p>
    <w:p>
      <w:pPr>
        <w:jc w:val="both"/>
        <w:ind w:firstLine="8"/>
        <w:spacing w:after="0" w:line="235" w:lineRule="auto"/>
        <w:tabs>
          <w:tab w:leader="none" w:pos="11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6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u w:val="single" w:color="auto"/>
          <w:color w:val="auto"/>
        </w:rPr>
        <w:t>Exculpatory Provisions</w:t>
      </w:r>
    </w:p>
    <w:p>
      <w:pPr>
        <w:spacing w:after="0" w:line="189" w:lineRule="exact"/>
        <w:rPr>
          <w:sz w:val="20"/>
          <w:szCs w:val="20"/>
          <w:color w:val="auto"/>
        </w:rPr>
      </w:pPr>
    </w:p>
    <w:p>
      <w:pPr>
        <w:jc w:val="both"/>
        <w:ind w:firstLine="8"/>
        <w:spacing w:after="0" w:line="221" w:lineRule="auto"/>
        <w:tabs>
          <w:tab w:leader="none" w:pos="99" w:val="left"/>
        </w:tabs>
        <w:numPr>
          <w:ilvl w:val="0"/>
          <w:numId w:val="165"/>
        </w:numPr>
        <w:rPr>
          <w:rFonts w:ascii="Arial" w:cs="Arial" w:eastAsia="Arial" w:hAnsi="Arial"/>
          <w:sz w:val="19"/>
          <w:szCs w:val="19"/>
          <w:color w:val="auto"/>
        </w:rPr>
      </w:pPr>
      <w:r>
        <w:rPr>
          <w:rFonts w:ascii="Arial" w:cs="Arial" w:eastAsia="Arial" w:hAnsi="Arial"/>
          <w:sz w:val="19"/>
          <w:szCs w:val="19"/>
          <w:color w:val="auto"/>
        </w:rPr>
        <w:t>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the Borrower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the Borrower.</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u w:val="single" w:color="auto"/>
          <w:color w:val="auto"/>
        </w:rPr>
        <w:t>Reliance by Administrative Agent</w:t>
      </w:r>
    </w:p>
    <w:p>
      <w:pPr>
        <w:spacing w:after="0" w:line="175" w:lineRule="exact"/>
        <w:rPr>
          <w:sz w:val="20"/>
          <w:szCs w:val="20"/>
          <w:color w:val="auto"/>
        </w:rPr>
      </w:pPr>
    </w:p>
    <w:p>
      <w:pPr>
        <w:jc w:val="both"/>
        <w:ind w:firstLine="8"/>
        <w:spacing w:after="0" w:line="238" w:lineRule="auto"/>
        <w:tabs>
          <w:tab w:leader="none" w:pos="9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concurrence of the Required Lenders (or, if so specified by this Agreement, all Lenders) as it deems appropriate or it shall first be</w:t>
      </w:r>
    </w:p>
    <w:p>
      <w:pPr>
        <w:spacing w:after="0" w:line="226" w:lineRule="auto"/>
        <w:rPr>
          <w:sz w:val="20"/>
          <w:szCs w:val="20"/>
          <w:color w:val="auto"/>
        </w:rPr>
      </w:pPr>
      <w:r>
        <w:rPr>
          <w:rFonts w:ascii="Arial" w:cs="Arial" w:eastAsia="Arial" w:hAnsi="Arial"/>
          <w:sz w:val="18"/>
          <w:szCs w:val="18"/>
          <w:color w:val="auto"/>
        </w:rPr>
        <w:t>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w:t>
      </w:r>
    </w:p>
    <w:p>
      <w:pPr>
        <w:spacing w:after="0" w:line="236" w:lineRule="auto"/>
        <w:rPr>
          <w:sz w:val="20"/>
          <w:szCs w:val="20"/>
          <w:color w:val="auto"/>
        </w:rPr>
      </w:pPr>
      <w:r>
        <w:rPr>
          <w:rFonts w:ascii="Arial" w:cs="Arial" w:eastAsia="Arial" w:hAnsi="Arial"/>
          <w:sz w:val="18"/>
          <w:szCs w:val="18"/>
          <w:color w:val="auto"/>
        </w:rPr>
        <w:t>this Agreement and the other Loan Documents in accordance with a request of the Required Lenders (or, if so specified by this Agreement,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all Lenders), and such request and any action taken or failure to act pursuant thereto shall be binding upon all the Lenders and all future holders of the Loans.</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u w:val="single" w:color="auto"/>
          <w:color w:val="auto"/>
        </w:rPr>
        <w:t>Notice of Default</w:t>
      </w:r>
    </w:p>
    <w:p>
      <w:pPr>
        <w:spacing w:after="0" w:line="189" w:lineRule="exact"/>
        <w:rPr>
          <w:sz w:val="20"/>
          <w:szCs w:val="20"/>
          <w:color w:val="auto"/>
        </w:rPr>
      </w:pPr>
    </w:p>
    <w:p>
      <w:pPr>
        <w:jc w:val="both"/>
        <w:ind w:firstLine="8"/>
        <w:spacing w:after="0" w:line="223" w:lineRule="auto"/>
        <w:tabs>
          <w:tab w:leader="none" w:pos="99"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6"/>
          <w:szCs w:val="16"/>
          <w:u w:val="single" w:color="auto"/>
          <w:color w:val="auto"/>
        </w:rPr>
        <w:t>Non-Reliance on Agents and Other Lenders</w:t>
      </w:r>
    </w:p>
    <w:p>
      <w:pPr>
        <w:spacing w:after="0" w:line="189" w:lineRule="exact"/>
        <w:rPr>
          <w:sz w:val="20"/>
          <w:szCs w:val="20"/>
          <w:color w:val="auto"/>
        </w:rPr>
      </w:pPr>
    </w:p>
    <w:p>
      <w:pPr>
        <w:jc w:val="both"/>
        <w:ind w:firstLine="8"/>
        <w:spacing w:after="0" w:line="233" w:lineRule="auto"/>
        <w:tabs>
          <w:tab w:leader="none" w:pos="9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the Borrower or any of its affiliates,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Borrower and its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and its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the Borrower or any of its affiliates that may come into the possession of the Administrative Agent or any of its officers, directors, employees, agents, attorneys-in-fact or affiliates.</w:t>
      </w:r>
    </w:p>
    <w:p>
      <w:pPr>
        <w:spacing w:after="0" w:line="15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8"/>
          <w:szCs w:val="18"/>
          <w:u w:val="single" w:color="auto"/>
          <w:color w:val="auto"/>
        </w:rPr>
        <w:t>Indemnification</w:t>
      </w:r>
    </w:p>
    <w:p>
      <w:pPr>
        <w:spacing w:after="0" w:line="189" w:lineRule="exact"/>
        <w:rPr>
          <w:sz w:val="20"/>
          <w:szCs w:val="20"/>
          <w:color w:val="auto"/>
        </w:rPr>
      </w:pPr>
    </w:p>
    <w:p>
      <w:pPr>
        <w:jc w:val="both"/>
        <w:ind w:firstLine="8"/>
        <w:spacing w:after="0" w:line="220" w:lineRule="auto"/>
        <w:tabs>
          <w:tab w:leader="none" w:pos="99"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The Lenders agree to indemnify each Agent in its capacity as such (to the extent not reimbursed by the Borrower and without limiting the obligation of the Borrower to do so), ratably according to such Lender’s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such Lender’s share of the Total Credit Exposure immediately prior to such reduction), from and against any and all liabilities, obligations,</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losses, damages, penalties, actions, judgments, suits, costs, expenses or disbursements of any kind whatsoever that may at any time (whether before or after the payment of the Loans) be imposed on, incurred by or asserted against such Agent in any way relating to or arising out of,</w:t>
      </w:r>
    </w:p>
    <w:p>
      <w:pPr>
        <w:spacing w:after="0" w:line="235" w:lineRule="auto"/>
        <w:rPr>
          <w:sz w:val="20"/>
          <w:szCs w:val="20"/>
          <w:color w:val="auto"/>
        </w:rPr>
      </w:pPr>
      <w:r>
        <w:rPr>
          <w:rFonts w:ascii="Arial" w:cs="Arial" w:eastAsia="Arial" w:hAnsi="Arial"/>
          <w:sz w:val="18"/>
          <w:szCs w:val="18"/>
          <w:color w:val="auto"/>
        </w:rPr>
        <w:t>the Commitments, this Agreement, any of the other Loan Documents or any documents contemplated by or referred to herein or therein or</w:t>
      </w:r>
    </w:p>
    <w:p>
      <w:pPr>
        <w:jc w:val="both"/>
        <w:spacing w:after="0" w:line="226" w:lineRule="auto"/>
        <w:rPr>
          <w:sz w:val="20"/>
          <w:szCs w:val="20"/>
          <w:color w:val="auto"/>
        </w:rPr>
      </w:pPr>
      <w:r>
        <w:rPr>
          <w:rFonts w:ascii="Arial" w:cs="Arial" w:eastAsia="Arial" w:hAnsi="Arial"/>
          <w:sz w:val="18"/>
          <w:szCs w:val="18"/>
          <w:color w:val="auto"/>
        </w:rPr>
        <w:t>the transactions contemplated hereby or thereby or any action taken or omitted by such Agent under or in connection with any of the foregoing; provided that no Lender shall be liable for the payment of any portion of such liabilities, obligations, losses, damages, penalties,</w:t>
      </w:r>
    </w:p>
    <w:p>
      <w:pPr>
        <w:spacing w:after="0" w:line="236" w:lineRule="auto"/>
        <w:rPr>
          <w:sz w:val="20"/>
          <w:szCs w:val="20"/>
          <w:color w:val="auto"/>
        </w:rPr>
      </w:pPr>
      <w:r>
        <w:rPr>
          <w:rFonts w:ascii="Arial" w:cs="Arial" w:eastAsia="Arial" w:hAnsi="Arial"/>
          <w:sz w:val="18"/>
          <w:szCs w:val="18"/>
          <w:color w:val="auto"/>
        </w:rPr>
        <w:t>actions, judgments, suits, costs, expenses or disbursements that are found by a final and nonappealable decision of a court of competent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jurisdiction to have resulted from such Agent’s gross negligence or willful misconduct. The agreements in this Section 9.7 shall survive the repayment of the Loans and all other amounts payable hereunder.</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8"/>
          <w:szCs w:val="18"/>
          <w:u w:val="single" w:color="auto"/>
          <w:color w:val="auto"/>
        </w:rPr>
        <w:t>Agent in Its Individual Capacity</w:t>
      </w:r>
    </w:p>
    <w:p>
      <w:pPr>
        <w:spacing w:after="0" w:line="189" w:lineRule="exact"/>
        <w:rPr>
          <w:sz w:val="20"/>
          <w:szCs w:val="20"/>
          <w:color w:val="auto"/>
        </w:rPr>
      </w:pPr>
    </w:p>
    <w:p>
      <w:pPr>
        <w:jc w:val="both"/>
        <w:ind w:firstLine="8"/>
        <w:spacing w:after="0" w:line="215" w:lineRule="auto"/>
        <w:tabs>
          <w:tab w:leader="none" w:pos="99" w:val="left"/>
        </w:tabs>
        <w:numPr>
          <w:ilvl w:val="0"/>
          <w:numId w:val="170"/>
        </w:numPr>
        <w:rPr>
          <w:rFonts w:ascii="Arial" w:cs="Arial" w:eastAsia="Arial" w:hAnsi="Arial"/>
          <w:sz w:val="20"/>
          <w:szCs w:val="20"/>
          <w:color w:val="auto"/>
        </w:rPr>
      </w:pPr>
      <w:r>
        <w:rPr>
          <w:rFonts w:ascii="Arial" w:cs="Arial" w:eastAsia="Arial" w:hAnsi="Arial"/>
          <w:sz w:val="20"/>
          <w:szCs w:val="20"/>
          <w:color w:val="auto"/>
        </w:rPr>
        <w:t>Each Agent and its affiliates may make loans to, accept deposits from and generally engage in any kind of business with the Borrower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u w:val="single" w:color="auto"/>
          <w:color w:val="auto"/>
        </w:rPr>
        <w:t>Successor Administrative Agent</w:t>
      </w:r>
    </w:p>
    <w:p>
      <w:pPr>
        <w:spacing w:after="0" w:line="189" w:lineRule="exact"/>
        <w:rPr>
          <w:sz w:val="20"/>
          <w:szCs w:val="20"/>
          <w:color w:val="auto"/>
        </w:rPr>
      </w:pPr>
    </w:p>
    <w:p>
      <w:pPr>
        <w:jc w:val="both"/>
        <w:ind w:firstLine="8"/>
        <w:spacing w:after="0" w:line="232" w:lineRule="auto"/>
        <w:tabs>
          <w:tab w:leader="none" w:pos="9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Administrative Agent may resign at any time by giving written notice thereof to the Lenders and the Borrower, such resignation to be effective upon the appointment of a successor Administrative Agent or, if no successor Administrative Agent has been appointed, 45 days after the retiring Administrative Agent gives notice of its intention to resign. The Administrative Agent may be removed at any time that it constitutes a Defaulting Lender by written notice received by the Administrative Agent from the Required Lenders, such removal to be effective on the date specified by the Required Lenders. Upon any such resignation or removal, the Required Lenders shall have the right to appoint, on behalf of the Borrower and the Lenders, a successor Administrative Agent, which successor agent shall (unless an Event of Default shall have occurred and be continuing) be subject to approval by the Borrower (which approval shall not be unreasonably withheld or delayed). If no successor Administrative Agent shall have been so appointed by the Required Lenders within 30 days after the resigning Administrative Agent’s giving notice of its intention to resign, then the resigning Administrative Agent may appoint, on behalf of the Borrower and the Lenders, a successor Administrative Agent. Notwithstanding the previous sentence, the Administrative Agent may at any time without the consent of the Borrower or any Lender, appoint any of its Affiliates which is a commercial bank as a successor Administrative Agent hereunder. If the Administrative Agent has resigned or been removed and no successor Administrative Agent has been appointed, the Lenders may perform all the duties of the Administrative Agent hereunder and the Borrower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Any such successor Administrative Agent shall be a commercial bank having capital and retained earnings of at least $100,000,000. Upon the acceptance of any appointment as Administrative Agent hereunder by a successor Administrative Agent, such successor Administrative Agent shall thereupon succeed to and become vested with all the rights, powers, privileges and duties of the resigning or removed Administrative Agent. Upon the effectiveness of the resignation or removal of the Administrative Agent, the resigning or removed Administrative Agent shall be discharged from its duties and obligations hereunder and under the Loan Documents. After the effectiveness of the resignation or removal of an Administrative Agent, the provisions of this Section 9 shall continue in effect</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for the benefit of such Administrative Agent in respect of any actions taken or omitted to be taken by it while it was acting as the</w:t>
      </w:r>
    </w:p>
    <w:p>
      <w:pPr>
        <w:jc w:val="both"/>
        <w:spacing w:after="0" w:line="226" w:lineRule="auto"/>
        <w:rPr>
          <w:sz w:val="20"/>
          <w:szCs w:val="20"/>
          <w:color w:val="auto"/>
        </w:rPr>
      </w:pPr>
      <w:r>
        <w:rPr>
          <w:rFonts w:ascii="Arial" w:cs="Arial" w:eastAsia="Arial" w:hAnsi="Arial"/>
          <w:sz w:val="18"/>
          <w:szCs w:val="18"/>
          <w:color w:val="auto"/>
        </w:rPr>
        <w:t>Administrative Agent hereunder and under the other Loan Documents. In the event that there is a successor to the Administrative Agent by merger, or the Administrative Agent assigns its duties and obligations to an Affiliate pursuant to this Section 9.9, then the term “Base Rate”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Agreement shall mean the prime rate, base rate or other analogous rate of the new Administrative Agent.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u w:val="single" w:color="auto"/>
          <w:color w:val="auto"/>
        </w:rPr>
        <w:t>Lead Arranger and Bookrunner</w:t>
      </w:r>
      <w:r>
        <w:rPr>
          <w:rFonts w:ascii="Arial" w:cs="Arial" w:eastAsia="Arial" w:hAnsi="Arial"/>
          <w:sz w:val="20"/>
          <w:szCs w:val="20"/>
          <w:color w:val="auto"/>
        </w:rPr>
        <w:t>. None of the Lead Arranger or Bookrunner shall have any duties or responsibilities hereunder in its capacity as such.</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20" w:lineRule="auto"/>
        <w:tabs>
          <w:tab w:leader="none" w:pos="1749" w:val="left"/>
        </w:tabs>
        <w:numPr>
          <w:ilvl w:val="0"/>
          <w:numId w:val="172"/>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that at least one of the following is and will be true:</w:t>
      </w:r>
    </w:p>
    <w:p>
      <w:pPr>
        <w:spacing w:after="0" w:line="155" w:lineRule="exact"/>
        <w:rPr>
          <w:rFonts w:ascii="Arial" w:cs="Arial" w:eastAsia="Arial" w:hAnsi="Arial"/>
          <w:sz w:val="20"/>
          <w:szCs w:val="20"/>
          <w:color w:val="auto"/>
        </w:rPr>
      </w:pPr>
    </w:p>
    <w:p>
      <w:pPr>
        <w:jc w:val="both"/>
        <w:ind w:left="1300" w:firstLine="652"/>
        <w:spacing w:after="0" w:line="220" w:lineRule="auto"/>
        <w:tabs>
          <w:tab w:leader="none" w:pos="2333" w:val="left"/>
        </w:tabs>
        <w:numPr>
          <w:ilvl w:val="1"/>
          <w:numId w:val="172"/>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Letters of Credit or the Commitments or this Agreement;</w:t>
      </w:r>
    </w:p>
    <w:p>
      <w:pPr>
        <w:spacing w:after="0" w:line="169" w:lineRule="exact"/>
        <w:rPr>
          <w:rFonts w:ascii="Arial" w:cs="Arial" w:eastAsia="Arial" w:hAnsi="Arial"/>
          <w:sz w:val="20"/>
          <w:szCs w:val="20"/>
          <w:color w:val="auto"/>
        </w:rPr>
      </w:pPr>
    </w:p>
    <w:p>
      <w:pPr>
        <w:jc w:val="both"/>
        <w:ind w:left="1300" w:firstLine="652"/>
        <w:spacing w:after="0" w:line="223" w:lineRule="auto"/>
        <w:tabs>
          <w:tab w:leader="none" w:pos="2415"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171" w:lineRule="exact"/>
        <w:rPr>
          <w:rFonts w:ascii="Arial" w:cs="Arial" w:eastAsia="Arial" w:hAnsi="Arial"/>
          <w:sz w:val="19"/>
          <w:szCs w:val="19"/>
          <w:color w:val="auto"/>
        </w:rPr>
      </w:pPr>
    </w:p>
    <w:p>
      <w:pPr>
        <w:jc w:val="both"/>
        <w:ind w:left="1300" w:firstLine="652"/>
        <w:spacing w:after="0" w:line="232" w:lineRule="auto"/>
        <w:tabs>
          <w:tab w:leader="none" w:pos="253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1" w:lineRule="exact"/>
        <w:rPr>
          <w:rFonts w:ascii="Arial" w:cs="Arial" w:eastAsia="Arial" w:hAnsi="Arial"/>
          <w:sz w:val="18"/>
          <w:szCs w:val="18"/>
          <w:color w:val="auto"/>
        </w:rPr>
      </w:pPr>
    </w:p>
    <w:p>
      <w:pPr>
        <w:jc w:val="both"/>
        <w:ind w:left="1300"/>
        <w:spacing w:after="0" w:line="222" w:lineRule="auto"/>
        <w:rPr>
          <w:rFonts w:ascii="Arial" w:cs="Arial" w:eastAsia="Arial" w:hAnsi="Arial"/>
          <w:sz w:val="18"/>
          <w:szCs w:val="18"/>
          <w:color w:val="auto"/>
        </w:rPr>
      </w:pPr>
      <w:r>
        <w:rPr>
          <w:rFonts w:ascii="Arial" w:cs="Arial" w:eastAsia="Arial" w:hAnsi="Arial"/>
          <w:sz w:val="20"/>
          <w:szCs w:val="20"/>
          <w:color w:val="auto"/>
        </w:rPr>
        <w:t>(D)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5" w:lineRule="exact"/>
        <w:rPr>
          <w:rFonts w:ascii="Arial" w:cs="Arial" w:eastAsia="Arial" w:hAnsi="Arial"/>
          <w:sz w:val="18"/>
          <w:szCs w:val="18"/>
          <w:color w:val="auto"/>
        </w:rPr>
      </w:pPr>
    </w:p>
    <w:p>
      <w:pPr>
        <w:ind w:left="1300" w:firstLine="652"/>
        <w:spacing w:after="0" w:line="236" w:lineRule="auto"/>
        <w:tabs>
          <w:tab w:leader="none" w:pos="2528" w:val="left"/>
        </w:tabs>
        <w:numPr>
          <w:ilvl w:val="1"/>
          <w:numId w:val="172"/>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90" w:lineRule="exact"/>
        <w:rPr>
          <w:sz w:val="20"/>
          <w:szCs w:val="20"/>
          <w:color w:val="auto"/>
        </w:rPr>
      </w:pPr>
    </w:p>
    <w:p>
      <w:pPr>
        <w:ind w:left="1772" w:hanging="476"/>
        <w:spacing w:after="0"/>
        <w:tabs>
          <w:tab w:leader="none" w:pos="177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w:t>
      </w:r>
    </w:p>
    <w:p>
      <w:pPr>
        <w:spacing w:after="0" w:line="11" w:lineRule="exact"/>
        <w:rPr>
          <w:rFonts w:ascii="Arial" w:cs="Arial" w:eastAsia="Arial" w:hAnsi="Arial"/>
          <w:sz w:val="18"/>
          <w:szCs w:val="18"/>
          <w:color w:val="auto"/>
        </w:rPr>
      </w:pPr>
    </w:p>
    <w:p>
      <w:pPr>
        <w:jc w:val="both"/>
        <w:ind w:left="-8" w:firstLine="8"/>
        <w:spacing w:after="0" w:line="233" w:lineRule="auto"/>
        <w:tabs>
          <w:tab w:leader="none" w:pos="29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that none of the Administrative Agent, the Lead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2" w:lineRule="exact"/>
        <w:rPr>
          <w:sz w:val="20"/>
          <w:szCs w:val="20"/>
          <w:color w:val="auto"/>
        </w:rPr>
      </w:pPr>
    </w:p>
    <w:p>
      <w:pPr>
        <w:ind w:left="652"/>
        <w:spacing w:after="0"/>
        <w:tabs>
          <w:tab w:leader="none" w:pos="1172"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6"/>
          <w:szCs w:val="16"/>
          <w:u w:val="single" w:color="auto"/>
          <w:color w:val="auto"/>
        </w:rPr>
        <w:t>Erroneous Payments</w:t>
      </w:r>
      <w:r>
        <w:rPr>
          <w:rFonts w:ascii="Arial" w:cs="Arial" w:eastAsia="Arial" w:hAnsi="Arial"/>
          <w:sz w:val="16"/>
          <w:szCs w:val="16"/>
          <w:color w:val="auto"/>
        </w:rPr>
        <w:t>.</w:t>
      </w:r>
    </w:p>
    <w:p>
      <w:pPr>
        <w:spacing w:after="0" w:line="189" w:lineRule="exact"/>
        <w:rPr>
          <w:sz w:val="20"/>
          <w:szCs w:val="20"/>
          <w:color w:val="auto"/>
        </w:rPr>
      </w:pPr>
    </w:p>
    <w:p>
      <w:pPr>
        <w:jc w:val="both"/>
        <w:ind w:left="-8" w:firstLine="1304"/>
        <w:spacing w:after="0" w:line="232" w:lineRule="auto"/>
        <w:tabs>
          <w:tab w:leader="none" w:pos="172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Lender, the Issuing Lender and any other party hereto hereby severally agrees that if (i) the Administrative Agent notifies (which such notice shall be conclusive absent manifest error) such Lender or Issuing Lender or any other Person that has received funds from the Administrative Agent or any of its Affiliates, either for its own account or on behalf of a Lender or the Issuing Lender (each such recipient, a “</w:t>
      </w:r>
      <w:r>
        <w:rPr>
          <w:rFonts w:ascii="Arial" w:cs="Arial" w:eastAsia="Arial" w:hAnsi="Arial"/>
          <w:sz w:val="18"/>
          <w:szCs w:val="18"/>
          <w:u w:val="single" w:color="auto"/>
          <w:color w:val="auto"/>
        </w:rPr>
        <w:t>Payment Recipient</w:t>
      </w:r>
      <w:r>
        <w:rPr>
          <w:rFonts w:ascii="Arial" w:cs="Arial" w:eastAsia="Arial" w:hAnsi="Arial"/>
          <w:sz w:val="18"/>
          <w:szCs w:val="18"/>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whether received as a payment, prepayment or repayment of principal, interest, fees, distribution or otherwise; individually and collectively, an “</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then, in each case, such Payment Recipient is deemed to have knowledge of such error at the time of its receipt of such Erroneous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64" w:lineRule="exact"/>
        <w:rPr>
          <w:rFonts w:ascii="Arial" w:cs="Arial" w:eastAsia="Arial" w:hAnsi="Arial"/>
          <w:sz w:val="18"/>
          <w:szCs w:val="18"/>
          <w:color w:val="auto"/>
        </w:rPr>
      </w:pPr>
    </w:p>
    <w:p>
      <w:pPr>
        <w:ind w:left="-8" w:right="20" w:firstLine="1304"/>
        <w:spacing w:after="0" w:line="236" w:lineRule="auto"/>
        <w:tabs>
          <w:tab w:leader="none" w:pos="173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Without limiting the immediately preceding clause (a), each Payment Recipient agrees that, in the case of clause (a)(ii) above, it shall promptly notify the Administrative Agent in writing of such occurrence.</w:t>
      </w:r>
    </w:p>
    <w:p>
      <w:pPr>
        <w:spacing w:after="0" w:line="168" w:lineRule="exact"/>
        <w:rPr>
          <w:rFonts w:ascii="Arial" w:cs="Arial" w:eastAsia="Arial" w:hAnsi="Arial"/>
          <w:sz w:val="20"/>
          <w:szCs w:val="20"/>
          <w:color w:val="auto"/>
        </w:rPr>
      </w:pPr>
    </w:p>
    <w:p>
      <w:pPr>
        <w:jc w:val="both"/>
        <w:ind w:left="-8" w:firstLine="1304"/>
        <w:spacing w:after="0" w:line="227" w:lineRule="auto"/>
        <w:tabs>
          <w:tab w:leader="none" w:pos="173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w:t>
      </w:r>
    </w:p>
    <w:p>
      <w:pPr>
        <w:sectPr>
          <w:pgSz w:w="11900" w:h="16838" w:orient="portrait"/>
          <w:cols w:equalWidth="0" w:num="1">
            <w:col w:w="11232"/>
          </w:cols>
          <w:pgMar w:left="328" w:top="1440" w:right="339" w:bottom="1440" w:gutter="0" w:footer="0" w:header="0"/>
        </w:sectPr>
      </w:pPr>
    </w:p>
    <w:bookmarkStart w:id="133" w:name="page134"/>
    <w:bookmarkEnd w:id="133"/>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 same day funds and in the currency so received, together with interest thereon in respect of each day from and including the date such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Erroneous Payment (or portion thereof) was received by such Payment Recipient to the date such amount is repaid to the Administrative Agent at the greater of the Federal Funds Effective Rate and a rate determined by the Administrative Agent in accordance with banking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industry rules on interbank compensation from time to time in effect.</w:t>
      </w:r>
    </w:p>
    <w:p>
      <w:pPr>
        <w:spacing w:after="0" w:line="173" w:lineRule="exact"/>
        <w:rPr>
          <w:sz w:val="20"/>
          <w:szCs w:val="20"/>
          <w:color w:val="auto"/>
        </w:rPr>
      </w:pPr>
    </w:p>
    <w:p>
      <w:pPr>
        <w:jc w:val="both"/>
        <w:ind w:firstLine="1304"/>
        <w:spacing w:after="0" w:line="220" w:lineRule="auto"/>
        <w:tabs>
          <w:tab w:leader="none" w:pos="1828"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Arial" w:cs="Arial" w:eastAsia="Arial" w:hAnsi="Arial"/>
          <w:sz w:val="19"/>
          <w:szCs w:val="19"/>
          <w:u w:val="single" w:color="auto"/>
          <w:color w:val="auto"/>
        </w:rPr>
        <w:t>Erroneous Payment Return</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Deficiency</w:t>
      </w:r>
      <w:r>
        <w:rPr>
          <w:rFonts w:ascii="Arial" w:cs="Arial" w:eastAsia="Arial" w:hAnsi="Arial"/>
          <w:sz w:val="19"/>
          <w:szCs w:val="19"/>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with respect to which such Erroneous Payment was made (the “</w:t>
      </w:r>
      <w:r>
        <w:rPr>
          <w:rFonts w:ascii="Arial" w:cs="Arial" w:eastAsia="Arial" w:hAnsi="Arial"/>
          <w:sz w:val="19"/>
          <w:szCs w:val="19"/>
          <w:u w:val="single" w:color="auto"/>
          <w:color w:val="auto"/>
        </w:rPr>
        <w:t>Erroneous Payment Impacted Loans</w:t>
      </w:r>
      <w:r>
        <w:rPr>
          <w:rFonts w:ascii="Arial" w:cs="Arial" w:eastAsia="Arial" w:hAnsi="Arial"/>
          <w:sz w:val="19"/>
          <w:szCs w:val="19"/>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Loans, the “</w:t>
      </w:r>
      <w:r>
        <w:rPr>
          <w:rFonts w:ascii="Arial" w:cs="Arial" w:eastAsia="Arial" w:hAnsi="Arial"/>
          <w:sz w:val="19"/>
          <w:szCs w:val="19"/>
          <w:u w:val="single" w:color="auto"/>
          <w:color w:val="auto"/>
        </w:rPr>
        <w:t>Erroneous Payment Deficiency Assignment</w:t>
      </w:r>
      <w:r>
        <w:rPr>
          <w:rFonts w:ascii="Arial" w:cs="Arial" w:eastAsia="Arial" w:hAnsi="Arial"/>
          <w:sz w:val="19"/>
          <w:szCs w:val="19"/>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(3) the Administrative Agent may reflect such assignments in the Register without further consent or action by any other Person.</w:t>
      </w:r>
    </w:p>
    <w:p>
      <w:pPr>
        <w:spacing w:after="0" w:line="168" w:lineRule="exact"/>
        <w:rPr>
          <w:rFonts w:ascii="Arial" w:cs="Arial" w:eastAsia="Arial" w:hAnsi="Arial"/>
          <w:sz w:val="19"/>
          <w:szCs w:val="19"/>
          <w:color w:val="auto"/>
        </w:rPr>
      </w:pPr>
    </w:p>
    <w:p>
      <w:pPr>
        <w:jc w:val="both"/>
        <w:ind w:firstLine="1304"/>
        <w:spacing w:after="0" w:line="235" w:lineRule="auto"/>
        <w:tabs>
          <w:tab w:leader="none" w:pos="175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except, in each case, to the extent such Erroneous Payment is, and solely with respect to the amount of such Erroneous Payment that is, comprised of funds received by the Administrative Agent from the Borrower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59" w:lineRule="exact"/>
        <w:rPr>
          <w:rFonts w:ascii="Arial" w:cs="Arial" w:eastAsia="Arial" w:hAnsi="Arial"/>
          <w:sz w:val="18"/>
          <w:szCs w:val="18"/>
          <w:color w:val="auto"/>
        </w:rPr>
      </w:pPr>
    </w:p>
    <w:p>
      <w:pPr>
        <w:jc w:val="both"/>
        <w:ind w:firstLine="1304"/>
        <w:spacing w:after="0" w:line="227" w:lineRule="auto"/>
        <w:tabs>
          <w:tab w:leader="none" w:pos="179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9.12</w:t>
      </w:r>
      <w:r>
        <w:rPr>
          <w:rFonts w:ascii="Arial" w:cs="Arial" w:eastAsia="Arial" w:hAnsi="Arial"/>
          <w:sz w:val="20"/>
          <w:szCs w:val="20"/>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57" w:lineRule="exact"/>
        <w:rPr>
          <w:rFonts w:ascii="Arial" w:cs="Arial" w:eastAsia="Arial" w:hAnsi="Arial"/>
          <w:sz w:val="20"/>
          <w:szCs w:val="20"/>
          <w:color w:val="auto"/>
        </w:rPr>
      </w:pPr>
    </w:p>
    <w:p>
      <w:pPr>
        <w:ind w:firstLine="1304"/>
        <w:spacing w:after="0" w:line="236" w:lineRule="auto"/>
        <w:tabs>
          <w:tab w:leader="none" w:pos="1779"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Nothing in this </w:t>
      </w:r>
      <w:r>
        <w:rPr>
          <w:rFonts w:ascii="Arial" w:cs="Arial" w:eastAsia="Arial" w:hAnsi="Arial"/>
          <w:sz w:val="20"/>
          <w:szCs w:val="20"/>
          <w:u w:val="single" w:color="auto"/>
          <w:color w:val="auto"/>
        </w:rPr>
        <w:t>Section 9.12</w:t>
      </w:r>
      <w:r>
        <w:rPr>
          <w:rFonts w:ascii="Arial" w:cs="Arial" w:eastAsia="Arial" w:hAnsi="Arial"/>
          <w:sz w:val="20"/>
          <w:szCs w:val="20"/>
          <w:color w:val="auto"/>
        </w:rPr>
        <w:t xml:space="preserve"> will constitute a waiver or release of any claim of any party hereunder arising from any Payment Recipient’s receipt of an Erroneous Payment.</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10</w:t>
      </w: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5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u w:val="single" w:color="auto"/>
          <w:color w:val="auto"/>
        </w:rPr>
        <w:t>Amendments and Waivers</w:t>
      </w:r>
    </w:p>
    <w:p>
      <w:pPr>
        <w:spacing w:after="0" w:line="189" w:lineRule="exact"/>
        <w:rPr>
          <w:sz w:val="20"/>
          <w:szCs w:val="20"/>
          <w:color w:val="auto"/>
        </w:rPr>
      </w:pPr>
    </w:p>
    <w:p>
      <w:pPr>
        <w:jc w:val="both"/>
        <w:ind w:firstLine="8"/>
        <w:spacing w:after="0" w:line="232" w:lineRule="auto"/>
        <w:tabs>
          <w:tab w:leader="none" w:pos="9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None of this Agreement, any other Loan Document, or any terms hereof or thereof may be amended, supplemented or modified except in accordance with the provisions of this Section 10.1. Except for any amendments to this Agreement pursuant to Section 6.9, which amendments shall only require the consent of the Borrower and the Administrative Agent, and except for any amendments to this Agreement pursuant to </w:t>
      </w:r>
      <w:r>
        <w:rPr>
          <w:rFonts w:ascii="Arial" w:cs="Arial" w:eastAsia="Arial" w:hAnsi="Arial"/>
          <w:sz w:val="18"/>
          <w:szCs w:val="18"/>
          <w:u w:val="single" w:color="auto"/>
          <w:color w:val="auto"/>
        </w:rPr>
        <w:t>Section 2.12(c)</w:t>
      </w:r>
      <w:r>
        <w:rPr>
          <w:rFonts w:ascii="Arial" w:cs="Arial" w:eastAsia="Arial" w:hAnsi="Arial"/>
          <w:sz w:val="18"/>
          <w:szCs w:val="18"/>
          <w:color w:val="auto"/>
        </w:rPr>
        <w:t>, which shall only require the consent as provided for therein, the Required Lenders and the Borrower may, or, with the written consent of the Required Lenders, the Administrative Agent and the Borrower may, from time to time, (a)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w:t>
      </w:r>
    </w:p>
    <w:p>
      <w:pPr>
        <w:spacing w:after="0" w:line="5" w:lineRule="exact"/>
        <w:rPr>
          <w:rFonts w:ascii="Arial" w:cs="Arial" w:eastAsia="Arial" w:hAnsi="Arial"/>
          <w:sz w:val="18"/>
          <w:szCs w:val="18"/>
          <w:color w:val="auto"/>
        </w:rPr>
      </w:pPr>
    </w:p>
    <w:p>
      <w:pPr>
        <w:jc w:val="both"/>
        <w:spacing w:after="0" w:line="217" w:lineRule="auto"/>
        <w:rPr>
          <w:rFonts w:ascii="Arial" w:cs="Arial" w:eastAsia="Arial" w:hAnsi="Arial"/>
          <w:sz w:val="18"/>
          <w:szCs w:val="18"/>
          <w:color w:val="auto"/>
        </w:rPr>
      </w:pPr>
      <w:r>
        <w:rPr>
          <w:rFonts w:ascii="Arial" w:cs="Arial" w:eastAsia="Arial" w:hAnsi="Arial"/>
          <w:sz w:val="20"/>
          <w:szCs w:val="20"/>
          <w:color w:val="auto"/>
        </w:rPr>
        <w:t>(b) waive, on such terms and conditions as the Required Lenders or the Administrative Agent, as the case may be, may specify in such instrument, any of the requirements of this Agreement or the other Loan Documents or any Default or Event of Default and its consequences; provided, however, that no such waiver and no such amendment, supplement or modification shall:</w:t>
      </w:r>
    </w:p>
    <w:p>
      <w:pPr>
        <w:spacing w:after="0" w:line="170" w:lineRule="exact"/>
        <w:rPr>
          <w:rFonts w:ascii="Arial" w:cs="Arial" w:eastAsia="Arial" w:hAnsi="Arial"/>
          <w:sz w:val="18"/>
          <w:szCs w:val="18"/>
          <w:color w:val="auto"/>
        </w:rPr>
      </w:pPr>
    </w:p>
    <w:p>
      <w:pPr>
        <w:jc w:val="both"/>
        <w:ind w:left="1300" w:firstLine="652"/>
        <w:spacing w:after="0" w:line="226" w:lineRule="auto"/>
        <w:tabs>
          <w:tab w:leader="none" w:pos="2438" w:val="left"/>
        </w:tabs>
        <w:numPr>
          <w:ilvl w:val="1"/>
          <w:numId w:val="177"/>
        </w:numPr>
        <w:rPr>
          <w:rFonts w:ascii="Arial" w:cs="Arial" w:eastAsia="Arial" w:hAnsi="Arial"/>
          <w:sz w:val="19"/>
          <w:szCs w:val="19"/>
          <w:color w:val="auto"/>
        </w:rPr>
      </w:pPr>
      <w:r>
        <w:rPr>
          <w:rFonts w:ascii="Arial" w:cs="Arial" w:eastAsia="Arial" w:hAnsi="Arial"/>
          <w:sz w:val="19"/>
          <w:szCs w:val="19"/>
          <w:color w:val="auto"/>
        </w:rPr>
        <w:t>forgive the principal amount or extend the final scheduled date of maturity of any Loan, extend the stated expiration date of any Letter of Credit beyond one year after the Termination Date, reduce the stated rate of any interest or fee payable hereunder (except in connection with the waiver of applicability of any post-default increase in interest rates (which waiver shall be effective with the consent of the Required Lenders)) or extend the scheduled date of any payment thereof, or increase the amount or extend the expiration date of any Lender’s Commitment (except as contemplated by Section 2.19), in each case without the written consent of each Lender directly affected thereby;</w:t>
      </w:r>
    </w:p>
    <w:p>
      <w:pPr>
        <w:spacing w:after="0" w:line="156" w:lineRule="exact"/>
        <w:rPr>
          <w:rFonts w:ascii="Arial" w:cs="Arial" w:eastAsia="Arial" w:hAnsi="Arial"/>
          <w:sz w:val="19"/>
          <w:szCs w:val="19"/>
          <w:color w:val="auto"/>
        </w:rPr>
      </w:pPr>
    </w:p>
    <w:p>
      <w:pPr>
        <w:ind w:left="1300" w:right="20" w:firstLine="652"/>
        <w:spacing w:after="0" w:line="236" w:lineRule="auto"/>
        <w:tabs>
          <w:tab w:leader="none" w:pos="2449" w:val="left"/>
        </w:tabs>
        <w:numPr>
          <w:ilvl w:val="1"/>
          <w:numId w:val="177"/>
        </w:numPr>
        <w:rPr>
          <w:rFonts w:ascii="Arial" w:cs="Arial" w:eastAsia="Arial" w:hAnsi="Arial"/>
          <w:sz w:val="20"/>
          <w:szCs w:val="20"/>
          <w:color w:val="auto"/>
        </w:rPr>
      </w:pPr>
      <w:r>
        <w:rPr>
          <w:rFonts w:ascii="Arial" w:cs="Arial" w:eastAsia="Arial" w:hAnsi="Arial"/>
          <w:sz w:val="20"/>
          <w:szCs w:val="20"/>
          <w:color w:val="auto"/>
        </w:rPr>
        <w:t>eliminate or reduce the voting rights of any Lender under this Section 10.1 or Section 10.6(a)(i) without the written consent of such Lender;</w:t>
      </w:r>
    </w:p>
    <w:p>
      <w:pPr>
        <w:spacing w:after="0" w:line="168" w:lineRule="exact"/>
        <w:rPr>
          <w:rFonts w:ascii="Arial" w:cs="Arial" w:eastAsia="Arial" w:hAnsi="Arial"/>
          <w:sz w:val="20"/>
          <w:szCs w:val="20"/>
          <w:color w:val="auto"/>
        </w:rPr>
      </w:pPr>
    </w:p>
    <w:p>
      <w:pPr>
        <w:jc w:val="both"/>
        <w:ind w:left="1300" w:firstLine="652"/>
        <w:spacing w:after="0" w:line="223" w:lineRule="auto"/>
        <w:tabs>
          <w:tab w:leader="none" w:pos="2445" w:val="left"/>
        </w:tabs>
        <w:numPr>
          <w:ilvl w:val="1"/>
          <w:numId w:val="177"/>
        </w:numPr>
        <w:rPr>
          <w:rFonts w:ascii="Arial" w:cs="Arial" w:eastAsia="Arial" w:hAnsi="Arial"/>
          <w:sz w:val="20"/>
          <w:szCs w:val="20"/>
          <w:color w:val="auto"/>
        </w:rPr>
      </w:pPr>
      <w:r>
        <w:rPr>
          <w:rFonts w:ascii="Arial" w:cs="Arial" w:eastAsia="Arial" w:hAnsi="Arial"/>
          <w:sz w:val="20"/>
          <w:szCs w:val="20"/>
          <w:color w:val="auto"/>
        </w:rPr>
        <w:t>reduce any percentage specified in the definition of Required Lenders, consent to the assignment or transfer by the Borrower of any of its rights and obligations under this Agreement and the other Loan Documents, in each case without the written consent of all Lenders;</w:t>
      </w:r>
    </w:p>
    <w:p>
      <w:pPr>
        <w:spacing w:after="0" w:line="168" w:lineRule="exact"/>
        <w:rPr>
          <w:rFonts w:ascii="Arial" w:cs="Arial" w:eastAsia="Arial" w:hAnsi="Arial"/>
          <w:sz w:val="20"/>
          <w:szCs w:val="20"/>
          <w:color w:val="auto"/>
        </w:rPr>
      </w:pPr>
    </w:p>
    <w:p>
      <w:pPr>
        <w:jc w:val="both"/>
        <w:ind w:left="1300" w:firstLine="652"/>
        <w:spacing w:after="0" w:line="235" w:lineRule="auto"/>
        <w:tabs>
          <w:tab w:leader="none" w:pos="2554" w:val="left"/>
        </w:tabs>
        <w:numPr>
          <w:ilvl w:val="1"/>
          <w:numId w:val="177"/>
        </w:numPr>
        <w:rPr>
          <w:rFonts w:ascii="Arial" w:cs="Arial" w:eastAsia="Arial" w:hAnsi="Arial"/>
          <w:sz w:val="19"/>
          <w:szCs w:val="19"/>
          <w:color w:val="auto"/>
        </w:rPr>
      </w:pPr>
      <w:r>
        <w:rPr>
          <w:rFonts w:ascii="Arial" w:cs="Arial" w:eastAsia="Arial" w:hAnsi="Arial"/>
          <w:sz w:val="19"/>
          <w:szCs w:val="19"/>
          <w:color w:val="auto"/>
        </w:rPr>
        <w:t>(A) release all or substantially all of the Subsidiary Guarantors from the Subsidiary Guaranty (except as specifically permitted in the Loan Documents) or (B) subordinate, or have the effect of subordinating, the Obligations hereunder to any other Indebtedness or obligation, in each case without the written consent of all Lenders;</w:t>
      </w:r>
    </w:p>
    <w:p>
      <w:pPr>
        <w:spacing w:after="0" w:line="168" w:lineRule="exact"/>
        <w:rPr>
          <w:rFonts w:ascii="Arial" w:cs="Arial" w:eastAsia="Arial" w:hAnsi="Arial"/>
          <w:sz w:val="19"/>
          <w:szCs w:val="19"/>
          <w:color w:val="auto"/>
        </w:rPr>
      </w:pPr>
    </w:p>
    <w:p>
      <w:pPr>
        <w:jc w:val="both"/>
        <w:ind w:left="1300" w:right="20" w:firstLine="652"/>
        <w:spacing w:after="0" w:line="223" w:lineRule="auto"/>
        <w:tabs>
          <w:tab w:leader="none" w:pos="2431" w:val="left"/>
        </w:tabs>
        <w:numPr>
          <w:ilvl w:val="1"/>
          <w:numId w:val="177"/>
        </w:numPr>
        <w:rPr>
          <w:rFonts w:ascii="Arial" w:cs="Arial" w:eastAsia="Arial" w:hAnsi="Arial"/>
          <w:sz w:val="20"/>
          <w:szCs w:val="20"/>
          <w:color w:val="auto"/>
        </w:rPr>
      </w:pPr>
      <w:r>
        <w:rPr>
          <w:rFonts w:ascii="Arial" w:cs="Arial" w:eastAsia="Arial" w:hAnsi="Arial"/>
          <w:sz w:val="20"/>
          <w:szCs w:val="20"/>
          <w:color w:val="auto"/>
        </w:rPr>
        <w:t xml:space="preserve">amend, modify or waive any provision of Section 2.13 or any other provision hereof in a manner that would have the effect of altering the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treatment with respect to reduction of Commitments or the sharing of payments required hereunder, without the consent of each Lender directly affected thereby;</w:t>
      </w:r>
    </w:p>
    <w:p>
      <w:pPr>
        <w:spacing w:after="0" w:line="168" w:lineRule="exact"/>
        <w:rPr>
          <w:rFonts w:ascii="Arial" w:cs="Arial" w:eastAsia="Arial" w:hAnsi="Arial"/>
          <w:sz w:val="20"/>
          <w:szCs w:val="20"/>
          <w:color w:val="auto"/>
        </w:rPr>
      </w:pPr>
    </w:p>
    <w:p>
      <w:pPr>
        <w:ind w:left="2440" w:hanging="488"/>
        <w:spacing w:after="0"/>
        <w:tabs>
          <w:tab w:leader="none" w:pos="24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without the written consent of the Administrative Agent;</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90" w:lineRule="exact"/>
        <w:rPr>
          <w:sz w:val="20"/>
          <w:szCs w:val="20"/>
          <w:color w:val="auto"/>
        </w:rPr>
      </w:pPr>
    </w:p>
    <w:p>
      <w:pPr>
        <w:ind w:left="2580" w:hanging="628"/>
        <w:spacing w:after="0"/>
        <w:tabs>
          <w:tab w:leader="none" w:pos="25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amend, modify or waive any provision of Section 2.3 or 2.4 without the written consent of the Swingline</w:t>
      </w:r>
    </w:p>
    <w:p>
      <w:pPr>
        <w:ind w:left="1300"/>
        <w:spacing w:after="0"/>
        <w:rPr>
          <w:rFonts w:ascii="Arial" w:cs="Arial" w:eastAsia="Arial" w:hAnsi="Arial"/>
          <w:sz w:val="19"/>
          <w:szCs w:val="19"/>
          <w:color w:val="auto"/>
        </w:rPr>
      </w:pPr>
      <w:r>
        <w:rPr>
          <w:rFonts w:ascii="Arial" w:cs="Arial" w:eastAsia="Arial" w:hAnsi="Arial"/>
          <w:sz w:val="20"/>
          <w:szCs w:val="20"/>
          <w:color w:val="auto"/>
        </w:rPr>
        <w:t>Lender; or</w:t>
      </w:r>
    </w:p>
    <w:p>
      <w:pPr>
        <w:spacing w:after="0" w:line="159" w:lineRule="exact"/>
        <w:rPr>
          <w:rFonts w:ascii="Arial" w:cs="Arial" w:eastAsia="Arial" w:hAnsi="Arial"/>
          <w:sz w:val="19"/>
          <w:szCs w:val="19"/>
          <w:color w:val="auto"/>
        </w:rPr>
      </w:pPr>
    </w:p>
    <w:p>
      <w:pPr>
        <w:ind w:left="1300" w:firstLine="652"/>
        <w:spacing w:after="0" w:line="236" w:lineRule="auto"/>
        <w:tabs>
          <w:tab w:leader="none" w:pos="2649"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amend, modify or waive any provision of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or any other provision affecting the Issuing Lender without its written consent;</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Administrative Agent (and, if applicable, the Borrower) may, without the consent of any Lender, enter into amendments or modifications to this Agreement or any of the other Loan Documents or enter into additional Loan Documents in order to implement any</w:t>
      </w:r>
    </w:p>
    <w:p>
      <w:pPr>
        <w:spacing w:after="0" w:line="235" w:lineRule="auto"/>
        <w:rPr>
          <w:sz w:val="20"/>
          <w:szCs w:val="20"/>
          <w:color w:val="auto"/>
        </w:rPr>
      </w:pPr>
      <w:r>
        <w:rPr>
          <w:rFonts w:ascii="Arial" w:cs="Arial" w:eastAsia="Arial" w:hAnsi="Arial"/>
          <w:sz w:val="18"/>
          <w:szCs w:val="18"/>
          <w:color w:val="auto"/>
        </w:rPr>
        <w:t xml:space="preserve">Benchmark Replacement or any Benchmark Replacement Conforming Changes or otherwise effectuate the terms of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in</w:t>
      </w:r>
    </w:p>
    <w:p>
      <w:pPr>
        <w:spacing w:after="0" w:line="226" w:lineRule="auto"/>
        <w:rPr>
          <w:sz w:val="20"/>
          <w:szCs w:val="20"/>
          <w:color w:val="auto"/>
        </w:rPr>
      </w:pPr>
      <w:r>
        <w:rPr>
          <w:rFonts w:ascii="Arial" w:cs="Arial" w:eastAsia="Arial" w:hAnsi="Arial"/>
          <w:sz w:val="18"/>
          <w:szCs w:val="18"/>
          <w:color w:val="auto"/>
        </w:rPr>
        <w:t xml:space="preserve">accordance with the terms of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and (ii) the Administrative Agent and the Borrower shall be permitted to amend any provision of the Loan Documents (and such amendment shall become effective without any further action or consent of any other party to any Loan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Document) if the Administrative Agent and the Borrower shall have jointly identified an obvious error or any error, ambiguity, defect or inconsistency or omission of a technical or immaterial nature in any such provision.</w:t>
      </w:r>
    </w:p>
    <w:p>
      <w:pPr>
        <w:spacing w:after="0" w:line="15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Notwithstanding anything in this Agreement to the contrary, each Lender hereby irrevocably authorizes the Administrative Agent on its behalf, and without further consent of any Lender (but with the consent of the Borrower and the Administrative Agent), to (x) amend and</w:t>
      </w:r>
    </w:p>
    <w:p>
      <w:pPr>
        <w:spacing w:after="0" w:line="255" w:lineRule="auto"/>
        <w:rPr>
          <w:sz w:val="20"/>
          <w:szCs w:val="20"/>
          <w:color w:val="auto"/>
        </w:rPr>
      </w:pPr>
      <w:r>
        <w:rPr>
          <w:rFonts w:ascii="Arial" w:cs="Arial" w:eastAsia="Arial" w:hAnsi="Arial"/>
          <w:sz w:val="16"/>
          <w:szCs w:val="16"/>
          <w:color w:val="auto"/>
        </w:rPr>
        <w:t>restate this Agreement and the other Loan Documents if, upon giving effect to such amendment and restatement, such Lender shall no longer be a party to this Agreement (as so amended and restated), the Commitments of such Lender shall have terminated, such Lender shall have</w:t>
      </w:r>
    </w:p>
    <w:p>
      <w:pPr>
        <w:spacing w:after="0" w:line="235" w:lineRule="auto"/>
        <w:rPr>
          <w:sz w:val="20"/>
          <w:szCs w:val="20"/>
          <w:color w:val="auto"/>
        </w:rPr>
      </w:pPr>
      <w:r>
        <w:rPr>
          <w:rFonts w:ascii="Arial" w:cs="Arial" w:eastAsia="Arial" w:hAnsi="Arial"/>
          <w:sz w:val="18"/>
          <w:szCs w:val="18"/>
          <w:color w:val="auto"/>
        </w:rPr>
        <w:t>no other commitment or other obligation hereunder and shall have been paid in full all principal, interest and other amounts owing to it or</w:t>
      </w:r>
    </w:p>
    <w:p>
      <w:pPr>
        <w:spacing w:after="0" w:line="226" w:lineRule="auto"/>
        <w:rPr>
          <w:sz w:val="20"/>
          <w:szCs w:val="20"/>
          <w:color w:val="auto"/>
        </w:rPr>
      </w:pPr>
      <w:r>
        <w:rPr>
          <w:rFonts w:ascii="Arial" w:cs="Arial" w:eastAsia="Arial" w:hAnsi="Arial"/>
          <w:sz w:val="18"/>
          <w:szCs w:val="18"/>
          <w:color w:val="auto"/>
        </w:rPr>
        <w:t xml:space="preserve">accrued for its account under this Agreement and the other Loan Documents and (y) enter into amendments or modifications to this Agreement (including amendments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or any of the other Loan Documents or to enter into additional Loan Documents as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Administrative Agent reasonably deems appropriate in order to effectuate the terms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(including as applicable, (1) to permit the Incremental Increases to share ratably in the benefits of this Agreement and the other Loan Documents, (2) to include an Incremental</w:t>
      </w:r>
    </w:p>
    <w:p>
      <w:pPr>
        <w:spacing w:after="0" w:line="236" w:lineRule="auto"/>
        <w:rPr>
          <w:sz w:val="20"/>
          <w:szCs w:val="20"/>
          <w:color w:val="auto"/>
        </w:rPr>
      </w:pPr>
      <w:r>
        <w:rPr>
          <w:rFonts w:ascii="Arial" w:cs="Arial" w:eastAsia="Arial" w:hAnsi="Arial"/>
          <w:sz w:val="18"/>
          <w:szCs w:val="18"/>
          <w:color w:val="auto"/>
        </w:rPr>
        <w:t xml:space="preserve">Increase, as applicable, in any determination of (i) Required Lenders or (ii) similar required lender terms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amendment or modification shall result in any increase in the amount of any Lender’s Commitment or any increase in any Lender’s Percentage, in each case, without the written consent of such affected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Borrower, the Lenders, the Administrative Agent and all future holders of the Loans. In the case of any waiver, the Borrower, the Lenders and the Administrative Agent shall be restored to their former position and rights hereunder and under the other Loan Documents, and any</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Default or Event of Default waived shall be deemed to be cured and not continuing; but no such waiver shall extend to any subsequent or other Default or Event of Default, or impair any right consequent thereon.</w:t>
      </w:r>
    </w:p>
    <w:p>
      <w:pPr>
        <w:spacing w:after="0" w:line="15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26" w:lineRule="auto"/>
        <w:tabs>
          <w:tab w:leader="none" w:pos="173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Except as otherwise provided herein, including without limitation Section 10.2(b),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20"/>
                <w:szCs w:val="20"/>
                <w:color w:val="auto"/>
              </w:rPr>
              <w:t>Borrower:</w:t>
            </w:r>
          </w:p>
        </w:tc>
        <w:tc>
          <w:tcPr>
            <w:tcW w:w="3980" w:type="dxa"/>
            <w:vAlign w:val="bottom"/>
          </w:tcPr>
          <w:p>
            <w:pPr>
              <w:ind w:left="40"/>
              <w:spacing w:after="0"/>
              <w:rPr>
                <w:sz w:val="20"/>
                <w:szCs w:val="20"/>
                <w:color w:val="auto"/>
              </w:rPr>
            </w:pPr>
            <w:r>
              <w:rPr>
                <w:rFonts w:ascii="Arial" w:cs="Arial" w:eastAsia="Arial" w:hAnsi="Arial"/>
                <w:sz w:val="20"/>
                <w:szCs w:val="20"/>
                <w:color w:val="auto"/>
              </w:rPr>
              <w:t>Fair Isaac Corporation</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3980" w:type="dxa"/>
            <w:vAlign w:val="bottom"/>
          </w:tcPr>
          <w:p>
            <w:pPr>
              <w:ind w:left="40"/>
              <w:spacing w:after="0" w:line="192" w:lineRule="exact"/>
              <w:rPr>
                <w:sz w:val="20"/>
                <w:szCs w:val="20"/>
                <w:color w:val="auto"/>
              </w:rPr>
            </w:pPr>
            <w:r>
              <w:rPr>
                <w:rFonts w:ascii="Arial" w:cs="Arial" w:eastAsia="Arial" w:hAnsi="Arial"/>
                <w:sz w:val="20"/>
                <w:szCs w:val="20"/>
                <w:color w:val="auto"/>
              </w:rPr>
              <w:t>2665 Long Lake Road</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3980" w:type="dxa"/>
            <w:vAlign w:val="bottom"/>
          </w:tcPr>
          <w:p>
            <w:pPr>
              <w:ind w:left="40"/>
              <w:spacing w:after="0" w:line="199" w:lineRule="exact"/>
              <w:rPr>
                <w:sz w:val="20"/>
                <w:szCs w:val="20"/>
                <w:color w:val="auto"/>
              </w:rPr>
            </w:pPr>
            <w:r>
              <w:rPr>
                <w:rFonts w:ascii="Arial" w:cs="Arial" w:eastAsia="Arial" w:hAnsi="Arial"/>
                <w:sz w:val="20"/>
                <w:szCs w:val="20"/>
                <w:color w:val="auto"/>
              </w:rPr>
              <w:t>Roseville, MN 55113</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3980" w:type="dxa"/>
            <w:vAlign w:val="bottom"/>
          </w:tcPr>
          <w:p>
            <w:pPr>
              <w:ind w:left="40"/>
              <w:spacing w:after="0" w:line="203" w:lineRule="exact"/>
              <w:rPr>
                <w:sz w:val="20"/>
                <w:szCs w:val="20"/>
                <w:color w:val="auto"/>
              </w:rPr>
            </w:pPr>
            <w:r>
              <w:rPr>
                <w:rFonts w:ascii="Arial" w:cs="Arial" w:eastAsia="Arial" w:hAnsi="Arial"/>
                <w:sz w:val="20"/>
                <w:szCs w:val="20"/>
                <w:color w:val="auto"/>
              </w:rPr>
              <w:t>Attention: Treasurer</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3980" w:type="dxa"/>
            <w:vAlign w:val="bottom"/>
          </w:tcPr>
          <w:p>
            <w:pPr>
              <w:ind w:left="40"/>
              <w:spacing w:after="0" w:line="192" w:lineRule="exact"/>
              <w:rPr>
                <w:sz w:val="20"/>
                <w:szCs w:val="20"/>
                <w:color w:val="auto"/>
              </w:rPr>
            </w:pPr>
            <w:r>
              <w:rPr>
                <w:rFonts w:ascii="Arial" w:cs="Arial" w:eastAsia="Arial" w:hAnsi="Arial"/>
                <w:sz w:val="20"/>
                <w:szCs w:val="20"/>
                <w:color w:val="auto"/>
              </w:rPr>
              <w:t>Telecopy: (408) 535-1529</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1"/>
                <w:szCs w:val="21"/>
                <w:color w:val="auto"/>
              </w:rPr>
            </w:pPr>
          </w:p>
        </w:tc>
        <w:tc>
          <w:tcPr>
            <w:tcW w:w="3980" w:type="dxa"/>
            <w:vAlign w:val="bottom"/>
          </w:tcPr>
          <w:p>
            <w:pPr>
              <w:ind w:left="40"/>
              <w:spacing w:after="0"/>
              <w:rPr>
                <w:sz w:val="20"/>
                <w:szCs w:val="20"/>
                <w:color w:val="auto"/>
              </w:rPr>
            </w:pPr>
            <w:r>
              <w:rPr>
                <w:rFonts w:ascii="Arial" w:cs="Arial" w:eastAsia="Arial" w:hAnsi="Arial"/>
                <w:sz w:val="20"/>
                <w:szCs w:val="20"/>
                <w:color w:val="auto"/>
              </w:rPr>
              <w:t>Telephone: (612) 758-5200</w:t>
            </w:r>
          </w:p>
        </w:tc>
        <w:tc>
          <w:tcPr>
            <w:tcW w:w="0" w:type="dxa"/>
            <w:vAlign w:val="bottom"/>
          </w:tcPr>
          <w:p>
            <w:pPr>
              <w:spacing w:after="0"/>
              <w:rPr>
                <w:sz w:val="1"/>
                <w:szCs w:val="1"/>
                <w:color w:val="auto"/>
              </w:rPr>
            </w:pPr>
          </w:p>
        </w:tc>
      </w:tr>
      <w:tr>
        <w:trPr>
          <w:trHeight w:val="421"/>
        </w:trPr>
        <w:tc>
          <w:tcPr>
            <w:tcW w:w="3800" w:type="dxa"/>
            <w:vAlign w:val="bottom"/>
          </w:tcPr>
          <w:p>
            <w:pPr>
              <w:spacing w:after="0"/>
              <w:rPr>
                <w:sz w:val="20"/>
                <w:szCs w:val="20"/>
                <w:color w:val="auto"/>
              </w:rPr>
            </w:pPr>
            <w:r>
              <w:rPr>
                <w:rFonts w:ascii="Arial" w:cs="Arial" w:eastAsia="Arial" w:hAnsi="Arial"/>
                <w:sz w:val="20"/>
                <w:szCs w:val="20"/>
                <w:color w:val="auto"/>
              </w:rPr>
              <w:t>With a copy to:</w:t>
            </w:r>
          </w:p>
        </w:tc>
        <w:tc>
          <w:tcPr>
            <w:tcW w:w="3980" w:type="dxa"/>
            <w:vAlign w:val="bottom"/>
          </w:tcPr>
          <w:p>
            <w:pPr>
              <w:ind w:left="40"/>
              <w:spacing w:after="0"/>
              <w:rPr>
                <w:sz w:val="20"/>
                <w:szCs w:val="20"/>
                <w:color w:val="auto"/>
              </w:rPr>
            </w:pPr>
            <w:r>
              <w:rPr>
                <w:rFonts w:ascii="Arial" w:cs="Arial" w:eastAsia="Arial" w:hAnsi="Arial"/>
                <w:sz w:val="20"/>
                <w:szCs w:val="20"/>
                <w:color w:val="auto"/>
              </w:rPr>
              <w:t>Fair Isaac Corporation</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3980" w:type="dxa"/>
            <w:vAlign w:val="bottom"/>
          </w:tcPr>
          <w:p>
            <w:pPr>
              <w:ind w:left="40"/>
              <w:spacing w:after="0" w:line="192" w:lineRule="exact"/>
              <w:rPr>
                <w:sz w:val="20"/>
                <w:szCs w:val="20"/>
                <w:color w:val="auto"/>
              </w:rPr>
            </w:pPr>
            <w:r>
              <w:rPr>
                <w:rFonts w:ascii="Arial" w:cs="Arial" w:eastAsia="Arial" w:hAnsi="Arial"/>
                <w:sz w:val="20"/>
                <w:szCs w:val="20"/>
                <w:color w:val="auto"/>
              </w:rPr>
              <w:t>181 Metro Drive</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3980" w:type="dxa"/>
            <w:vAlign w:val="bottom"/>
          </w:tcPr>
          <w:p>
            <w:pPr>
              <w:ind w:left="40"/>
              <w:spacing w:after="0" w:line="199" w:lineRule="exact"/>
              <w:rPr>
                <w:sz w:val="20"/>
                <w:szCs w:val="20"/>
                <w:color w:val="auto"/>
              </w:rPr>
            </w:pPr>
            <w:r>
              <w:rPr>
                <w:rFonts w:ascii="Arial" w:cs="Arial" w:eastAsia="Arial" w:hAnsi="Arial"/>
                <w:sz w:val="20"/>
                <w:szCs w:val="20"/>
                <w:color w:val="auto"/>
              </w:rPr>
              <w:t>San Jose, California 95110</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3980" w:type="dxa"/>
            <w:vAlign w:val="bottom"/>
          </w:tcPr>
          <w:p>
            <w:pPr>
              <w:ind w:left="40"/>
              <w:spacing w:after="0" w:line="203" w:lineRule="exact"/>
              <w:rPr>
                <w:sz w:val="20"/>
                <w:szCs w:val="20"/>
                <w:color w:val="auto"/>
              </w:rPr>
            </w:pPr>
            <w:r>
              <w:rPr>
                <w:rFonts w:ascii="Arial" w:cs="Arial" w:eastAsia="Arial" w:hAnsi="Arial"/>
                <w:sz w:val="20"/>
                <w:szCs w:val="20"/>
                <w:color w:val="auto"/>
              </w:rPr>
              <w:t>Attention: General Counsel</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3980" w:type="dxa"/>
            <w:vAlign w:val="bottom"/>
          </w:tcPr>
          <w:p>
            <w:pPr>
              <w:ind w:left="40"/>
              <w:spacing w:after="0" w:line="192" w:lineRule="exact"/>
              <w:rPr>
                <w:sz w:val="20"/>
                <w:szCs w:val="20"/>
                <w:color w:val="auto"/>
              </w:rPr>
            </w:pPr>
            <w:r>
              <w:rPr>
                <w:rFonts w:ascii="Arial" w:cs="Arial" w:eastAsia="Arial" w:hAnsi="Arial"/>
                <w:sz w:val="20"/>
                <w:szCs w:val="20"/>
                <w:color w:val="auto"/>
              </w:rPr>
              <w:t>Telecopy: (408) 535-1529</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1"/>
                <w:szCs w:val="21"/>
                <w:color w:val="auto"/>
              </w:rPr>
            </w:pPr>
          </w:p>
        </w:tc>
        <w:tc>
          <w:tcPr>
            <w:tcW w:w="3980" w:type="dxa"/>
            <w:vAlign w:val="bottom"/>
          </w:tcPr>
          <w:p>
            <w:pPr>
              <w:ind w:left="40"/>
              <w:spacing w:after="0"/>
              <w:rPr>
                <w:sz w:val="20"/>
                <w:szCs w:val="20"/>
                <w:color w:val="auto"/>
              </w:rPr>
            </w:pPr>
            <w:r>
              <w:rPr>
                <w:rFonts w:ascii="Arial" w:cs="Arial" w:eastAsia="Arial" w:hAnsi="Arial"/>
                <w:sz w:val="20"/>
                <w:szCs w:val="20"/>
                <w:color w:val="auto"/>
              </w:rPr>
              <w:t>Telephone: (408) 535-1500</w:t>
            </w:r>
          </w:p>
        </w:tc>
        <w:tc>
          <w:tcPr>
            <w:tcW w:w="0" w:type="dxa"/>
            <w:vAlign w:val="bottom"/>
          </w:tcPr>
          <w:p>
            <w:pPr>
              <w:spacing w:after="0"/>
              <w:rPr>
                <w:sz w:val="1"/>
                <w:szCs w:val="1"/>
                <w:color w:val="auto"/>
              </w:rPr>
            </w:pPr>
          </w:p>
        </w:tc>
      </w:tr>
      <w:tr>
        <w:trPr>
          <w:trHeight w:val="421"/>
        </w:trPr>
        <w:tc>
          <w:tcPr>
            <w:tcW w:w="3800" w:type="dxa"/>
            <w:vAlign w:val="bottom"/>
          </w:tcPr>
          <w:p>
            <w:pPr>
              <w:spacing w:after="0"/>
              <w:rPr>
                <w:sz w:val="20"/>
                <w:szCs w:val="20"/>
                <w:color w:val="auto"/>
              </w:rPr>
            </w:pPr>
            <w:r>
              <w:rPr>
                <w:rFonts w:ascii="Arial" w:cs="Arial" w:eastAsia="Arial" w:hAnsi="Arial"/>
                <w:sz w:val="20"/>
                <w:szCs w:val="20"/>
                <w:color w:val="auto"/>
                <w:w w:val="97"/>
              </w:rPr>
              <w:t>Administrative  Agent,  Issuing  Lender  and</w:t>
            </w:r>
          </w:p>
        </w:tc>
        <w:tc>
          <w:tcPr>
            <w:tcW w:w="3980" w:type="dxa"/>
            <w:vAlign w:val="bottom"/>
            <w:vMerge w:val="restart"/>
          </w:tcPr>
          <w:p>
            <w:pPr>
              <w:ind w:left="40"/>
              <w:spacing w:after="0"/>
              <w:rPr>
                <w:sz w:val="20"/>
                <w:szCs w:val="20"/>
                <w:color w:val="auto"/>
              </w:rPr>
            </w:pPr>
            <w:r>
              <w:rPr>
                <w:rFonts w:ascii="Arial" w:cs="Arial" w:eastAsia="Arial" w:hAnsi="Arial"/>
                <w:sz w:val="20"/>
                <w:szCs w:val="20"/>
                <w:color w:val="auto"/>
              </w:rPr>
              <w:t>Wells Fargo Bank, National Association</w:t>
            </w:r>
          </w:p>
        </w:tc>
        <w:tc>
          <w:tcPr>
            <w:tcW w:w="0" w:type="dxa"/>
            <w:vAlign w:val="bottom"/>
          </w:tcPr>
          <w:p>
            <w:pPr>
              <w:spacing w:after="0"/>
              <w:rPr>
                <w:sz w:val="1"/>
                <w:szCs w:val="1"/>
                <w:color w:val="auto"/>
              </w:rPr>
            </w:pPr>
          </w:p>
        </w:tc>
      </w:tr>
      <w:tr>
        <w:trPr>
          <w:trHeight w:val="192"/>
        </w:trPr>
        <w:tc>
          <w:tcPr>
            <w:tcW w:w="3800" w:type="dxa"/>
            <w:vAlign w:val="bottom"/>
          </w:tcPr>
          <w:p>
            <w:pPr>
              <w:spacing w:after="0" w:line="192" w:lineRule="exact"/>
              <w:rPr>
                <w:sz w:val="20"/>
                <w:szCs w:val="20"/>
                <w:color w:val="auto"/>
              </w:rPr>
            </w:pPr>
            <w:r>
              <w:rPr>
                <w:rFonts w:ascii="Arial" w:cs="Arial" w:eastAsia="Arial" w:hAnsi="Arial"/>
                <w:sz w:val="20"/>
                <w:szCs w:val="20"/>
                <w:color w:val="auto"/>
              </w:rPr>
              <w:t>Swingline Lender:</w:t>
            </w:r>
          </w:p>
        </w:tc>
        <w:tc>
          <w:tcPr>
            <w:tcW w:w="3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3980" w:type="dxa"/>
            <w:vAlign w:val="bottom"/>
          </w:tcPr>
          <w:p>
            <w:pPr>
              <w:ind w:left="40"/>
              <w:spacing w:after="0" w:line="189" w:lineRule="exact"/>
              <w:rPr>
                <w:sz w:val="20"/>
                <w:szCs w:val="20"/>
                <w:color w:val="auto"/>
              </w:rPr>
            </w:pPr>
            <w:r>
              <w:rPr>
                <w:rFonts w:ascii="Arial" w:cs="Arial" w:eastAsia="Arial" w:hAnsi="Arial"/>
                <w:sz w:val="20"/>
                <w:szCs w:val="20"/>
                <w:color w:val="auto"/>
              </w:rPr>
              <w:t>MAC D1109-019</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3980" w:type="dxa"/>
            <w:vAlign w:val="bottom"/>
          </w:tcPr>
          <w:p>
            <w:pPr>
              <w:ind w:left="40"/>
              <w:spacing w:after="0" w:line="199" w:lineRule="exact"/>
              <w:rPr>
                <w:sz w:val="20"/>
                <w:szCs w:val="20"/>
                <w:color w:val="auto"/>
              </w:rPr>
            </w:pPr>
            <w:r>
              <w:rPr>
                <w:rFonts w:ascii="Arial" w:cs="Arial" w:eastAsia="Arial" w:hAnsi="Arial"/>
                <w:sz w:val="20"/>
                <w:szCs w:val="20"/>
                <w:color w:val="auto"/>
              </w:rPr>
              <w:t>1525 West W.T. Harris Blvd.</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3980" w:type="dxa"/>
            <w:vAlign w:val="bottom"/>
          </w:tcPr>
          <w:p>
            <w:pPr>
              <w:ind w:left="40"/>
              <w:spacing w:after="0" w:line="203" w:lineRule="exact"/>
              <w:rPr>
                <w:sz w:val="20"/>
                <w:szCs w:val="20"/>
                <w:color w:val="auto"/>
              </w:rPr>
            </w:pPr>
            <w:r>
              <w:rPr>
                <w:rFonts w:ascii="Arial" w:cs="Arial" w:eastAsia="Arial" w:hAnsi="Arial"/>
                <w:sz w:val="20"/>
                <w:szCs w:val="20"/>
                <w:color w:val="auto"/>
              </w:rPr>
              <w:t>Charlotte, NC 28262</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3980" w:type="dxa"/>
            <w:vAlign w:val="bottom"/>
          </w:tcPr>
          <w:p>
            <w:pPr>
              <w:ind w:left="40"/>
              <w:spacing w:after="0" w:line="192" w:lineRule="exact"/>
              <w:rPr>
                <w:sz w:val="20"/>
                <w:szCs w:val="20"/>
                <w:color w:val="auto"/>
              </w:rPr>
            </w:pPr>
            <w:r>
              <w:rPr>
                <w:rFonts w:ascii="Arial" w:cs="Arial" w:eastAsia="Arial" w:hAnsi="Arial"/>
                <w:sz w:val="20"/>
                <w:szCs w:val="20"/>
                <w:color w:val="auto"/>
              </w:rPr>
              <w:t>Attention of: Syndication Agency Services</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3980" w:type="dxa"/>
            <w:vAlign w:val="bottom"/>
          </w:tcPr>
          <w:p>
            <w:pPr>
              <w:ind w:left="40"/>
              <w:spacing w:after="0" w:line="199" w:lineRule="exact"/>
              <w:rPr>
                <w:sz w:val="20"/>
                <w:szCs w:val="20"/>
                <w:color w:val="auto"/>
              </w:rPr>
            </w:pPr>
            <w:r>
              <w:rPr>
                <w:rFonts w:ascii="Arial" w:cs="Arial" w:eastAsia="Arial" w:hAnsi="Arial"/>
                <w:sz w:val="20"/>
                <w:szCs w:val="20"/>
                <w:color w:val="auto"/>
              </w:rPr>
              <w:t>Facsimile No.: (844) 879-5899</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1"/>
                <w:szCs w:val="21"/>
                <w:color w:val="auto"/>
              </w:rPr>
            </w:pPr>
          </w:p>
        </w:tc>
        <w:tc>
          <w:tcPr>
            <w:tcW w:w="3980" w:type="dxa"/>
            <w:vAlign w:val="bottom"/>
          </w:tcPr>
          <w:p>
            <w:pPr>
              <w:ind w:left="40"/>
              <w:spacing w:after="0"/>
              <w:rPr>
                <w:sz w:val="20"/>
                <w:szCs w:val="20"/>
                <w:color w:val="auto"/>
              </w:rPr>
            </w:pPr>
            <w:r>
              <w:rPr>
                <w:rFonts w:ascii="Arial" w:cs="Arial" w:eastAsia="Arial" w:hAnsi="Arial"/>
                <w:sz w:val="20"/>
                <w:szCs w:val="20"/>
                <w:color w:val="auto"/>
                <w:w w:val="89"/>
              </w:rPr>
              <w:t>Email: Agencyservices.requests@wellsfargo.com</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line="229"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notice, request or demand to or upon the Administrative Agent, the Issuing Lender or any Lender shall not be effective until received.</w:t>
      </w:r>
    </w:p>
    <w:p>
      <w:pPr>
        <w:spacing w:after="0" w:line="169" w:lineRule="exact"/>
        <w:rPr>
          <w:sz w:val="20"/>
          <w:szCs w:val="20"/>
          <w:color w:val="auto"/>
        </w:rPr>
      </w:pPr>
    </w:p>
    <w:p>
      <w:pPr>
        <w:jc w:val="both"/>
        <w:ind w:firstLine="1304"/>
        <w:spacing w:after="0" w:line="234" w:lineRule="auto"/>
        <w:tabs>
          <w:tab w:leader="none" w:pos="177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Administrative Agent, the Issuing Lender or the Lenders hereunder may be delivered or furnished by electronic communications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Section 2 unless otherwise agreed by the Administrative Agent, the Issuing Lender and each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Additionally, if the Administrative Agent agrees to accept a notice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including any notice of borrowing, notice of interest period selection or notice of conversion, made by e-mail transmission, such e-mail transmission shall be binding on the Borrower whether or not written confirmation is sent by the Borrower or requested by the Administrative Agent, and the Administrative Agent may act prior to the receipt of any requested written confirmation, without any liability whatsoever, based upon e-mail notice believed by the Administrative Agent in good faith to be from the Borrower or its agents. The Administrative Agent’s records of the terms of any e-mail notice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conclusive on the Borrower in the absence of gross negligence or willful misconduct on the part of the Administrative Agent in connection therewith.</w:t>
      </w:r>
    </w:p>
    <w:p>
      <w:pPr>
        <w:spacing w:after="0" w:line="170" w:lineRule="exact"/>
        <w:rPr>
          <w:rFonts w:ascii="Arial" w:cs="Arial" w:eastAsia="Arial" w:hAnsi="Arial"/>
          <w:sz w:val="18"/>
          <w:szCs w:val="18"/>
          <w:color w:val="auto"/>
        </w:rPr>
      </w:pPr>
    </w:p>
    <w:p>
      <w:pPr>
        <w:jc w:val="both"/>
        <w:ind w:firstLine="1304"/>
        <w:spacing w:after="0" w:line="235" w:lineRule="auto"/>
        <w:tabs>
          <w:tab w:leader="none" w:pos="172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Borrower agrees that the Administrative Agent and the Lead Arranger may, but shall not be obligated to, make the Communications (as defined below) available to the Lenders by posting the Communications on Debt Domain, Intralinks, Syndtrak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The Platform is provided “as is” and “as available.” The Administrative Agent does not warrant the adequacy of the Platform and expressly disclaims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Administrative Agent in connection with the Communications or the Platform. In no event shall the Administrative Agent have any liability to the Borrower or any of its Subsidiaries, any Lender or any other Person or entity for damages of any kind, including, without limitation, direct or indirect, special, incidental or consequential damages, losses or expenses (whether in tort, contract or otherwise) arising out of the Borrower’s,</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any  Subsidiary’s,  the  Lead  Arranger’s  or  the  Administrative  Agent’s  transmission  of  communications  through  the  Platform.</w:t>
      </w: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collectively, any notice, demand, communication, information, document or other material provided by or on behalf of the Borrower and any Subsidiary pursuant to any Loan Document or the transactions contemplated therein which is distributed to</w:t>
      </w:r>
    </w:p>
    <w:p>
      <w:pPr>
        <w:spacing w:after="0" w:line="224" w:lineRule="auto"/>
        <w:rPr>
          <w:sz w:val="20"/>
          <w:szCs w:val="20"/>
          <w:color w:val="auto"/>
        </w:rPr>
      </w:pPr>
      <w:r>
        <w:rPr>
          <w:rFonts w:ascii="Arial" w:cs="Arial" w:eastAsia="Arial" w:hAnsi="Arial"/>
          <w:sz w:val="19"/>
          <w:szCs w:val="19"/>
          <w:color w:val="auto"/>
        </w:rPr>
        <w:t>the Administrative Agent, the Lead Arranger or any Lender by means of electronic communications pursuant to this Section, including</w:t>
      </w:r>
    </w:p>
    <w:p>
      <w:pPr>
        <w:spacing w:after="0" w:line="226" w:lineRule="auto"/>
        <w:rPr>
          <w:sz w:val="20"/>
          <w:szCs w:val="20"/>
          <w:color w:val="auto"/>
        </w:rPr>
      </w:pPr>
      <w:r>
        <w:rPr>
          <w:rFonts w:ascii="Arial" w:cs="Arial" w:eastAsia="Arial" w:hAnsi="Arial"/>
          <w:sz w:val="18"/>
          <w:szCs w:val="18"/>
          <w:color w:val="auto"/>
        </w:rPr>
        <w:t>through the Platform. The Borrower acknowledges that (i) the distribution of material through an electronic medium is not necessarily secure and that there are confidentiality and other risks associated with such distribution and (ii) neither the Administrative Agent nor any of its</w:t>
      </w:r>
    </w:p>
    <w:p>
      <w:pPr>
        <w:spacing w:after="0" w:line="236" w:lineRule="auto"/>
        <w:rPr>
          <w:sz w:val="20"/>
          <w:szCs w:val="20"/>
          <w:color w:val="auto"/>
        </w:rPr>
      </w:pPr>
      <w:r>
        <w:rPr>
          <w:rFonts w:ascii="Arial" w:cs="Arial" w:eastAsia="Arial" w:hAnsi="Arial"/>
          <w:sz w:val="18"/>
          <w:szCs w:val="18"/>
          <w:color w:val="auto"/>
        </w:rPr>
        <w:t>Affiliates represents or warrants the accuracy, completeness, timeliness, sufficiency or sequencing of the Communications posted on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Platform. The Administrative Agent and its Affiliates expressly disclaim with respect to the Platform any liability for errors in transmission, incorrect or incomplete downloading, delays in posting or delivery, or problems accessing the Communications posted on the Platform and</w:t>
      </w:r>
    </w:p>
    <w:p>
      <w:pPr>
        <w:spacing w:after="0" w:line="236" w:lineRule="auto"/>
        <w:rPr>
          <w:sz w:val="20"/>
          <w:szCs w:val="20"/>
          <w:color w:val="auto"/>
        </w:rPr>
      </w:pPr>
      <w:r>
        <w:rPr>
          <w:rFonts w:ascii="Arial" w:cs="Arial" w:eastAsia="Arial" w:hAnsi="Arial"/>
          <w:sz w:val="18"/>
          <w:szCs w:val="18"/>
          <w:color w:val="auto"/>
        </w:rPr>
        <w:t>any liability for any losses, costs, expenses or liabilities that may be suffered or incurred in connection with the Platform, except for liability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determined by a final, non-appealable judgment of a court of competent jurisdiction to be due to the Administrative Agent’s gross negligence or willful misconduct.</w:t>
      </w:r>
    </w:p>
    <w:p>
      <w:pPr>
        <w:spacing w:after="0" w:line="170" w:lineRule="exact"/>
        <w:rPr>
          <w:sz w:val="20"/>
          <w:szCs w:val="20"/>
          <w:color w:val="auto"/>
        </w:rPr>
      </w:pPr>
    </w:p>
    <w:p>
      <w:pPr>
        <w:jc w:val="both"/>
        <w:ind w:firstLine="1304"/>
        <w:spacing w:after="0" w:line="214" w:lineRule="auto"/>
        <w:tabs>
          <w:tab w:leader="none" w:pos="1911" w:val="left"/>
        </w:tabs>
        <w:numPr>
          <w:ilvl w:val="0"/>
          <w:numId w:val="181"/>
        </w:numPr>
        <w:rPr>
          <w:rFonts w:ascii="Arial" w:cs="Arial" w:eastAsia="Arial" w:hAnsi="Arial"/>
          <w:sz w:val="20"/>
          <w:szCs w:val="20"/>
          <w:color w:val="auto"/>
        </w:rPr>
      </w:pPr>
      <w:r>
        <w:rPr>
          <w:rFonts w:ascii="Arial" w:cs="Arial" w:eastAsia="Arial" w:hAnsi="Arial"/>
          <w:sz w:val="20"/>
          <w:szCs w:val="20"/>
          <w:color w:val="auto"/>
        </w:rPr>
        <w:t>Each Lender agrees that notice to it (as provided in the next sentence) (a “</w:t>
      </w:r>
      <w:r>
        <w:rPr>
          <w:rFonts w:ascii="Arial" w:cs="Arial" w:eastAsia="Arial" w:hAnsi="Arial"/>
          <w:sz w:val="20"/>
          <w:szCs w:val="20"/>
          <w:u w:val="single" w:color="auto"/>
          <w:color w:val="auto"/>
        </w:rPr>
        <w:t>Notification</w:t>
      </w:r>
      <w:r>
        <w:rPr>
          <w:rFonts w:ascii="Arial" w:cs="Arial" w:eastAsia="Arial" w:hAnsi="Arial"/>
          <w:sz w:val="20"/>
          <w:szCs w:val="20"/>
          <w:color w:val="auto"/>
        </w:rPr>
        <w:t>”) specifying that any Communication has been posted to the Platform shall for purposes of this Agreement constitute effective delivery to such Lender of such information, documents or other materials comprising such Communication. Each Lender agrees (i) to notify, on or before the date such Lender becomes a party to this Agreement, the Administrative Agent in writing of such Lender’s e-mail address to which a Notification may be sent (and from time to time thereafter to ensure that the Administrative Agent has on record an effective e-mail address for such Lender) and (ii) that any Notification may be sent to such e-mail address.</w:t>
      </w:r>
    </w:p>
    <w:p>
      <w:pPr>
        <w:spacing w:after="0" w:line="17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u w:val="single" w:color="auto"/>
          <w:color w:val="auto"/>
        </w:rPr>
        <w:t>No Waiver; Cumulative Remedies</w:t>
      </w:r>
    </w:p>
    <w:p>
      <w:pPr>
        <w:spacing w:after="0" w:line="175" w:lineRule="exact"/>
        <w:rPr>
          <w:sz w:val="20"/>
          <w:szCs w:val="20"/>
          <w:color w:val="auto"/>
        </w:rPr>
      </w:pPr>
    </w:p>
    <w:p>
      <w:pPr>
        <w:jc w:val="both"/>
        <w:ind w:firstLine="8"/>
        <w:spacing w:after="0" w:line="218" w:lineRule="auto"/>
        <w:tabs>
          <w:tab w:leader="none" w:pos="11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u w:val="single" w:color="auto"/>
          <w:color w:val="auto"/>
        </w:rPr>
        <w:t>Survival of Representations and Warranties</w:t>
      </w:r>
    </w:p>
    <w:p>
      <w:pPr>
        <w:spacing w:after="0" w:line="175" w:lineRule="exact"/>
        <w:rPr>
          <w:sz w:val="20"/>
          <w:szCs w:val="20"/>
          <w:color w:val="auto"/>
        </w:rPr>
      </w:pPr>
    </w:p>
    <w:p>
      <w:pPr>
        <w:jc w:val="both"/>
        <w:ind w:firstLine="8"/>
        <w:spacing w:after="0" w:line="227" w:lineRule="auto"/>
        <w:tabs>
          <w:tab w:leader="none" w:pos="11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w:t>
      </w:r>
    </w:p>
    <w:p>
      <w:pPr>
        <w:spacing w:after="0" w:line="15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Payment of Expenses and Taxes</w:t>
      </w:r>
    </w:p>
    <w:p>
      <w:pPr>
        <w:spacing w:after="0" w:line="189" w:lineRule="exact"/>
        <w:rPr>
          <w:sz w:val="20"/>
          <w:szCs w:val="20"/>
          <w:color w:val="auto"/>
        </w:rPr>
      </w:pPr>
    </w:p>
    <w:p>
      <w:pPr>
        <w:jc w:val="both"/>
        <w:ind w:firstLine="8"/>
        <w:spacing w:after="0" w:line="238" w:lineRule="auto"/>
        <w:tabs>
          <w:tab w:leader="none" w:pos="13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Borrower agrees (a) to pay or reimburse the Administrative Agent, the Issuing Lender and the Lenders for all their respective reasonable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of the transactions contemplated hereby and thereby, including the reasonable fees and disbursements of counsel to the Administrative Agent and filing and recording fees and expenses, with statements with respect to the foregoing to be submitted to the Borrower prior to the Effective Date (in the case of amounts to be paid on the Effective Date) and from time to time thereafter on a quarterly basis or such other periodic basis as the Administrative Agent shall deem appropriate, (b) to pay or</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reimburse each Lender, the Issuing Lender and the Administrative Agent for all its costs and expenses incurred in connection with the</w:t>
      </w:r>
    </w:p>
    <w:p>
      <w:pPr>
        <w:jc w:val="both"/>
        <w:spacing w:after="0" w:line="255" w:lineRule="auto"/>
        <w:rPr>
          <w:sz w:val="20"/>
          <w:szCs w:val="20"/>
          <w:color w:val="auto"/>
        </w:rPr>
      </w:pPr>
      <w:r>
        <w:rPr>
          <w:rFonts w:ascii="Arial" w:cs="Arial" w:eastAsia="Arial" w:hAnsi="Arial"/>
          <w:sz w:val="16"/>
          <w:szCs w:val="16"/>
          <w:color w:val="auto"/>
        </w:rPr>
        <w:t>enforcement or preservation of any rights under this Agreement, the other Loan Documents and any such other documents, including the fees and disbursements of counsel to the Administrative Agent, the Lenders and the Issuing Lender, (c) to pay, indemnify, and hold each Lender,</w:t>
      </w:r>
    </w:p>
    <w:p>
      <w:pPr>
        <w:spacing w:after="0" w:line="235" w:lineRule="auto"/>
        <w:rPr>
          <w:sz w:val="20"/>
          <w:szCs w:val="20"/>
          <w:color w:val="auto"/>
        </w:rPr>
      </w:pPr>
      <w:r>
        <w:rPr>
          <w:rFonts w:ascii="Arial" w:cs="Arial" w:eastAsia="Arial" w:hAnsi="Arial"/>
          <w:sz w:val="18"/>
          <w:szCs w:val="18"/>
          <w:color w:val="auto"/>
        </w:rPr>
        <w:t>the Issuing Lender and the Administrative Agent harmless from, any and all recording and filing fees and any and all liabilities with respect</w:t>
      </w:r>
    </w:p>
    <w:p>
      <w:pPr>
        <w:ind w:right="20"/>
        <w:spacing w:after="0" w:line="226" w:lineRule="auto"/>
        <w:rPr>
          <w:sz w:val="20"/>
          <w:szCs w:val="20"/>
          <w:color w:val="auto"/>
        </w:rPr>
      </w:pPr>
      <w:r>
        <w:rPr>
          <w:rFonts w:ascii="Arial" w:cs="Arial" w:eastAsia="Arial" w:hAnsi="Arial"/>
          <w:sz w:val="18"/>
          <w:szCs w:val="18"/>
          <w:color w:val="auto"/>
        </w:rPr>
        <w:t>to, or resulting from any delay in paying, stamp, excise and Other Taxes, if any, that may be payable or determined to be payable in connection with the execution and delivery of, or consummation of any of the transactions contemplated by, or any amendment, supplement</w:t>
      </w:r>
    </w:p>
    <w:p>
      <w:pPr>
        <w:spacing w:after="0" w:line="224" w:lineRule="auto"/>
        <w:rPr>
          <w:sz w:val="20"/>
          <w:szCs w:val="20"/>
          <w:color w:val="auto"/>
        </w:rPr>
      </w:pPr>
      <w:r>
        <w:rPr>
          <w:rFonts w:ascii="Arial" w:cs="Arial" w:eastAsia="Arial" w:hAnsi="Arial"/>
          <w:sz w:val="19"/>
          <w:szCs w:val="19"/>
          <w:color w:val="auto"/>
        </w:rPr>
        <w:t>or modification of, or any waiver or consent under or in respect of, this Agreement, the other Loan Documents and any such other</w:t>
      </w:r>
    </w:p>
    <w:p>
      <w:pPr>
        <w:jc w:val="both"/>
        <w:spacing w:after="0" w:line="226" w:lineRule="auto"/>
        <w:rPr>
          <w:sz w:val="20"/>
          <w:szCs w:val="20"/>
          <w:color w:val="auto"/>
        </w:rPr>
      </w:pPr>
      <w:r>
        <w:rPr>
          <w:rFonts w:ascii="Arial" w:cs="Arial" w:eastAsia="Arial" w:hAnsi="Arial"/>
          <w:sz w:val="18"/>
          <w:szCs w:val="18"/>
          <w:color w:val="auto"/>
        </w:rPr>
        <w:t>documents, and (d) to pay, indemnify, and hold each Lender, the Issuing Lender and the Administrative Agent and their respective officers, directors, employees, affiliates, agents and controlling persons (each, an “</w:t>
      </w:r>
      <w:r>
        <w:rPr>
          <w:rFonts w:ascii="Arial" w:cs="Arial" w:eastAsia="Arial" w:hAnsi="Arial"/>
          <w:sz w:val="18"/>
          <w:szCs w:val="18"/>
          <w:u w:val="single" w:color="auto"/>
          <w:color w:val="auto"/>
        </w:rPr>
        <w:t>Indemnitee</w:t>
      </w:r>
      <w:r>
        <w:rPr>
          <w:rFonts w:ascii="Arial" w:cs="Arial" w:eastAsia="Arial" w:hAnsi="Arial"/>
          <w:sz w:val="18"/>
          <w:szCs w:val="18"/>
          <w:color w:val="auto"/>
        </w:rPr>
        <w:t>”) harmless from and against any and all other liabilities,</w:t>
      </w:r>
    </w:p>
    <w:p>
      <w:pPr>
        <w:spacing w:after="0" w:line="236" w:lineRule="auto"/>
        <w:rPr>
          <w:sz w:val="20"/>
          <w:szCs w:val="20"/>
          <w:color w:val="auto"/>
        </w:rPr>
      </w:pPr>
      <w:r>
        <w:rPr>
          <w:rFonts w:ascii="Arial" w:cs="Arial" w:eastAsia="Arial" w:hAnsi="Arial"/>
          <w:sz w:val="18"/>
          <w:szCs w:val="18"/>
          <w:color w:val="auto"/>
        </w:rPr>
        <w:t>obligations, losses, damages, penalties, actions, judgments, suits, costs, expenses or disbursements of any kind or nature whatsoever with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respect to the execution, delivery, enforcement and performance of this Agreement, the other Loan Documents and any such other documents, including any of the foregoing relating to the use of proceeds of the Loans or the violation of, noncompliance with or liability</w:t>
      </w:r>
    </w:p>
    <w:p>
      <w:pPr>
        <w:spacing w:after="0" w:line="236" w:lineRule="auto"/>
        <w:rPr>
          <w:sz w:val="20"/>
          <w:szCs w:val="20"/>
          <w:color w:val="auto"/>
        </w:rPr>
      </w:pPr>
      <w:r>
        <w:rPr>
          <w:rFonts w:ascii="Arial" w:cs="Arial" w:eastAsia="Arial" w:hAnsi="Arial"/>
          <w:sz w:val="18"/>
          <w:szCs w:val="18"/>
          <w:color w:val="auto"/>
        </w:rPr>
        <w:t>under, any Environmental Law applicable to the operations of the Borrower and its Subsidiaries or any of the Properties and the reasonable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fees and expenses of counsel in connection with claims, actions or proceedings by any Indemnitee against the Borrower under any Loan Document (all the foregoing in this clause (d), collectively, the “</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provided, that the Borrower shall have no</w:t>
      </w:r>
    </w:p>
    <w:p>
      <w:pPr>
        <w:spacing w:after="0" w:line="236" w:lineRule="auto"/>
        <w:rPr>
          <w:sz w:val="20"/>
          <w:szCs w:val="20"/>
          <w:color w:val="auto"/>
        </w:rPr>
      </w:pPr>
      <w:r>
        <w:rPr>
          <w:rFonts w:ascii="Arial" w:cs="Arial" w:eastAsia="Arial" w:hAnsi="Arial"/>
          <w:sz w:val="18"/>
          <w:szCs w:val="18"/>
          <w:color w:val="auto"/>
        </w:rPr>
        <w:t>obligation hereunder to any Indemnitee with respect to Indemnified Liabilities to the extent such Indemnified Liabilities resulted from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gross negligence or willful misconduct of such Indemnitee or any of its officers, directors, employees, affiliates, agents and controlling persons as determined by a court of competent jurisdiction by final and non-appealable judgment. Without limiting the foregoing, and to the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w:t>
      </w:r>
    </w:p>
    <w:p>
      <w:pPr>
        <w:spacing w:after="0" w:line="235" w:lineRule="auto"/>
        <w:rPr>
          <w:sz w:val="20"/>
          <w:szCs w:val="20"/>
          <w:color w:val="auto"/>
        </w:rPr>
      </w:pPr>
      <w:r>
        <w:rPr>
          <w:rFonts w:ascii="Arial" w:cs="Arial" w:eastAsia="Arial" w:hAnsi="Arial"/>
          <w:sz w:val="18"/>
          <w:szCs w:val="18"/>
          <w:color w:val="auto"/>
        </w:rPr>
        <w:t>fines, liabilities, settlements, damages, costs and expenses of whatever kind or nature, under or related to Environmental Laws, that any of</w:t>
      </w:r>
    </w:p>
    <w:p>
      <w:pPr>
        <w:spacing w:after="0" w:line="226" w:lineRule="auto"/>
        <w:rPr>
          <w:sz w:val="20"/>
          <w:szCs w:val="20"/>
          <w:color w:val="auto"/>
        </w:rPr>
      </w:pPr>
      <w:r>
        <w:rPr>
          <w:rFonts w:ascii="Arial" w:cs="Arial" w:eastAsia="Arial" w:hAnsi="Arial"/>
          <w:sz w:val="18"/>
          <w:szCs w:val="18"/>
          <w:color w:val="auto"/>
        </w:rPr>
        <w:t>them might have by statute or otherwise against any Indemnitee. All amounts due under this Section 10.5 shall be payable not later than 10 days after written demand therefor. The agreements in this Section 10.5 shall survive the repayment of the Loans and all other amounts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payable hereunder.</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44" w:lineRule="auto"/>
        <w:tabs>
          <w:tab w:leader="none" w:pos="185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affiliate of the Issuing Lender that issues any Letter of Credit), except that</w:t>
      </w:r>
    </w:p>
    <w:p>
      <w:pPr>
        <w:jc w:val="both"/>
        <w:ind w:right="20" w:firstLine="8"/>
        <w:spacing w:after="0" w:line="217" w:lineRule="auto"/>
        <w:tabs>
          <w:tab w:leader="none" w:pos="258"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10.6.</w:t>
      </w:r>
    </w:p>
    <w:p>
      <w:pPr>
        <w:spacing w:after="0" w:line="170" w:lineRule="exact"/>
        <w:rPr>
          <w:rFonts w:ascii="Arial" w:cs="Arial" w:eastAsia="Arial" w:hAnsi="Arial"/>
          <w:sz w:val="20"/>
          <w:szCs w:val="20"/>
          <w:color w:val="auto"/>
        </w:rPr>
      </w:pPr>
    </w:p>
    <w:p>
      <w:pPr>
        <w:jc w:val="both"/>
        <w:ind w:firstLine="1304"/>
        <w:spacing w:after="0" w:line="235" w:lineRule="auto"/>
        <w:tabs>
          <w:tab w:leader="none" w:pos="1738" w:val="left"/>
        </w:tabs>
        <w:numPr>
          <w:ilvl w:val="1"/>
          <w:numId w:val="186"/>
        </w:numPr>
        <w:rPr>
          <w:rFonts w:ascii="Arial" w:cs="Arial" w:eastAsia="Arial" w:hAnsi="Arial"/>
          <w:sz w:val="19"/>
          <w:szCs w:val="19"/>
          <w:color w:val="auto"/>
        </w:rPr>
      </w:pPr>
      <w:r>
        <w:rPr>
          <w:rFonts w:ascii="Arial" w:cs="Arial" w:eastAsia="Arial" w:hAnsi="Arial"/>
          <w:sz w:val="19"/>
          <w:szCs w:val="19"/>
          <w:color w:val="auto"/>
        </w:rPr>
        <w:t xml:space="preserve">(i) Subject to the conditions set forth in paragraph </w:t>
      </w:r>
      <w:r>
        <w:rPr>
          <w:rFonts w:ascii="Arial" w:cs="Arial" w:eastAsia="Arial" w:hAnsi="Arial"/>
          <w:sz w:val="19"/>
          <w:szCs w:val="19"/>
          <w:u w:val="single" w:color="auto"/>
          <w:color w:val="auto"/>
        </w:rPr>
        <w:t>10.6(b)(ii)</w:t>
      </w:r>
      <w:r>
        <w:rPr>
          <w:rFonts w:ascii="Arial" w:cs="Arial" w:eastAsia="Arial" w:hAnsi="Arial"/>
          <w:sz w:val="19"/>
          <w:szCs w:val="19"/>
          <w:color w:val="auto"/>
        </w:rPr>
        <w:t xml:space="preserve"> below, any Lender may assign to one or more assignees (each, an “</w:t>
      </w:r>
      <w:r>
        <w:rPr>
          <w:rFonts w:ascii="Arial" w:cs="Arial" w:eastAsia="Arial" w:hAnsi="Arial"/>
          <w:sz w:val="19"/>
          <w:szCs w:val="19"/>
          <w:u w:val="single" w:color="auto"/>
          <w:color w:val="auto"/>
        </w:rPr>
        <w:t>Assignee</w:t>
      </w:r>
      <w:r>
        <w:rPr>
          <w:rFonts w:ascii="Arial" w:cs="Arial" w:eastAsia="Arial" w:hAnsi="Arial"/>
          <w:sz w:val="19"/>
          <w:szCs w:val="19"/>
          <w:color w:val="auto"/>
        </w:rPr>
        <w:t>”) all or a portion of its rights and obligations under this Agreement (including all or a portion of its Commitments and the Loans at the time owing to it) with the prior written consent (such consent not to be unreasonably withheld) of:</w:t>
      </w:r>
    </w:p>
    <w:p>
      <w:pPr>
        <w:spacing w:after="0" w:line="168" w:lineRule="exact"/>
        <w:rPr>
          <w:rFonts w:ascii="Arial" w:cs="Arial" w:eastAsia="Arial" w:hAnsi="Arial"/>
          <w:sz w:val="19"/>
          <w:szCs w:val="19"/>
          <w:color w:val="auto"/>
        </w:rPr>
      </w:pPr>
    </w:p>
    <w:p>
      <w:pPr>
        <w:jc w:val="both"/>
        <w:ind w:left="1960" w:firstLine="640"/>
        <w:spacing w:after="0" w:line="223" w:lineRule="auto"/>
        <w:tabs>
          <w:tab w:leader="none" w:pos="3198" w:val="left"/>
        </w:tabs>
        <w:numPr>
          <w:ilvl w:val="2"/>
          <w:numId w:val="186"/>
        </w:numPr>
        <w:rPr>
          <w:rFonts w:ascii="Arial" w:cs="Arial" w:eastAsia="Arial" w:hAnsi="Arial"/>
          <w:sz w:val="20"/>
          <w:szCs w:val="20"/>
          <w:color w:val="auto"/>
        </w:rPr>
      </w:pPr>
      <w:r>
        <w:rPr>
          <w:rFonts w:ascii="Arial" w:cs="Arial" w:eastAsia="Arial" w:hAnsi="Arial"/>
          <w:sz w:val="20"/>
          <w:szCs w:val="20"/>
          <w:color w:val="auto"/>
        </w:rPr>
        <w:t xml:space="preserve">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Borrower shall be required for an assignment to a Lender or an affiliate of any Lender or, if an Event of Default has occurred and is continuing, any other Person; </w:t>
      </w:r>
      <w:r>
        <w:rPr>
          <w:rFonts w:ascii="Arial" w:cs="Arial" w:eastAsia="Arial" w:hAnsi="Arial"/>
          <w:sz w:val="20"/>
          <w:szCs w:val="20"/>
          <w:u w:val="single" w:color="auto"/>
          <w:color w:val="auto"/>
        </w:rPr>
        <w:t>provided</w:t>
      </w:r>
      <w:r>
        <w:rPr>
          <w:rFonts w:ascii="Arial" w:cs="Arial" w:eastAsia="Arial" w:hAnsi="Arial"/>
          <w:sz w:val="20"/>
          <w:szCs w:val="20"/>
          <w:color w:val="auto"/>
        </w:rPr>
        <w:t>, further that the Borrower shall be deemed to</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90" w:lineRule="exact"/>
        <w:rPr>
          <w:sz w:val="20"/>
          <w:szCs w:val="20"/>
          <w:color w:val="auto"/>
        </w:rPr>
      </w:pPr>
    </w:p>
    <w:p>
      <w:pPr>
        <w:ind w:left="840"/>
        <w:spacing w:after="0" w:line="236" w:lineRule="auto"/>
        <w:rPr>
          <w:sz w:val="20"/>
          <w:szCs w:val="20"/>
          <w:color w:val="auto"/>
        </w:rPr>
      </w:pPr>
      <w:r>
        <w:rPr>
          <w:rFonts w:ascii="Arial" w:cs="Arial" w:eastAsia="Arial" w:hAnsi="Arial"/>
          <w:sz w:val="20"/>
          <w:szCs w:val="20"/>
          <w:color w:val="auto"/>
        </w:rPr>
        <w:t>have consented to any such assignment unless it shall object thereto by written notice to the Administrative Agent within five (5) Business Days after having received notice thereof;</w:t>
      </w:r>
    </w:p>
    <w:p>
      <w:pPr>
        <w:spacing w:after="0" w:line="155" w:lineRule="exact"/>
        <w:rPr>
          <w:sz w:val="20"/>
          <w:szCs w:val="20"/>
          <w:color w:val="auto"/>
        </w:rPr>
      </w:pPr>
    </w:p>
    <w:p>
      <w:pPr>
        <w:ind w:left="840" w:firstLine="640"/>
        <w:spacing w:after="0" w:line="257" w:lineRule="auto"/>
        <w:tabs>
          <w:tab w:leader="none" w:pos="1988" w:val="left"/>
        </w:tabs>
        <w:numPr>
          <w:ilvl w:val="1"/>
          <w:numId w:val="187"/>
        </w:numPr>
        <w:rPr>
          <w:rFonts w:ascii="Arial" w:cs="Arial" w:eastAsia="Arial" w:hAnsi="Arial"/>
          <w:sz w:val="19"/>
          <w:szCs w:val="19"/>
          <w:color w:val="auto"/>
        </w:rPr>
      </w:pPr>
      <w:r>
        <w:rPr>
          <w:rFonts w:ascii="Arial" w:cs="Arial" w:eastAsia="Arial" w:hAnsi="Arial"/>
          <w:sz w:val="19"/>
          <w:szCs w:val="19"/>
          <w:color w:val="auto"/>
        </w:rPr>
        <w:t xml:space="preserve">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Administrative Agent shall be required for an assignment of any Commitment or Loan to an assignee that is a Lender or an affiliate of a Lender; and</w:t>
      </w:r>
    </w:p>
    <w:p>
      <w:pPr>
        <w:spacing w:after="0" w:line="153" w:lineRule="exact"/>
        <w:rPr>
          <w:rFonts w:ascii="Arial" w:cs="Arial" w:eastAsia="Arial" w:hAnsi="Arial"/>
          <w:sz w:val="19"/>
          <w:szCs w:val="19"/>
          <w:color w:val="auto"/>
        </w:rPr>
      </w:pPr>
    </w:p>
    <w:p>
      <w:pPr>
        <w:ind w:left="840" w:right="20" w:firstLine="640"/>
        <w:spacing w:after="0" w:line="229" w:lineRule="auto"/>
        <w:tabs>
          <w:tab w:leader="none" w:pos="2035" w:val="left"/>
        </w:tabs>
        <w:numPr>
          <w:ilvl w:val="1"/>
          <w:numId w:val="187"/>
        </w:numPr>
        <w:rPr>
          <w:rFonts w:ascii="Arial" w:cs="Arial" w:eastAsia="Arial" w:hAnsi="Arial"/>
          <w:sz w:val="20"/>
          <w:szCs w:val="20"/>
          <w:color w:val="auto"/>
        </w:rPr>
      </w:pPr>
      <w:r>
        <w:rPr>
          <w:rFonts w:ascii="Arial" w:cs="Arial" w:eastAsia="Arial" w:hAnsi="Arial"/>
          <w:sz w:val="20"/>
          <w:szCs w:val="20"/>
          <w:color w:val="auto"/>
        </w:rPr>
        <w:t>if such assignment would result in such Assignee becoming a Revolving Loan Lender, each of the Issuing Lender and Swingline Lender.</w:t>
      </w:r>
    </w:p>
    <w:p>
      <w:pPr>
        <w:spacing w:after="0" w:line="168" w:lineRule="exact"/>
        <w:rPr>
          <w:rFonts w:ascii="Arial" w:cs="Arial" w:eastAsia="Arial" w:hAnsi="Arial"/>
          <w:sz w:val="20"/>
          <w:szCs w:val="20"/>
          <w:color w:val="auto"/>
        </w:rPr>
      </w:pPr>
    </w:p>
    <w:p>
      <w:pPr>
        <w:ind w:left="1260" w:hanging="428"/>
        <w:spacing w:after="0"/>
        <w:tabs>
          <w:tab w:leader="none" w:pos="126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188" w:lineRule="exact"/>
        <w:rPr>
          <w:rFonts w:ascii="Arial" w:cs="Arial" w:eastAsia="Arial" w:hAnsi="Arial"/>
          <w:sz w:val="20"/>
          <w:szCs w:val="20"/>
          <w:color w:val="auto"/>
        </w:rPr>
      </w:pPr>
    </w:p>
    <w:p>
      <w:pPr>
        <w:jc w:val="both"/>
        <w:ind w:left="840" w:firstLine="640"/>
        <w:spacing w:after="0" w:line="226" w:lineRule="auto"/>
        <w:tabs>
          <w:tab w:leader="none" w:pos="2134" w:val="left"/>
        </w:tabs>
        <w:numPr>
          <w:ilvl w:val="1"/>
          <w:numId w:val="188"/>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of the entire remaining amount of the assigning Lender’s Commitments or Loans (in each case, with respect to any credit facility), the amount of the Commitments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has occurred and is continuing;</w:t>
      </w:r>
    </w:p>
    <w:p>
      <w:pPr>
        <w:spacing w:after="0" w:line="169" w:lineRule="exact"/>
        <w:rPr>
          <w:rFonts w:ascii="Arial" w:cs="Arial" w:eastAsia="Arial" w:hAnsi="Arial"/>
          <w:sz w:val="19"/>
          <w:szCs w:val="19"/>
          <w:color w:val="auto"/>
        </w:rPr>
      </w:pPr>
    </w:p>
    <w:p>
      <w:pPr>
        <w:ind w:left="840" w:firstLine="640"/>
        <w:spacing w:after="0" w:line="229" w:lineRule="auto"/>
        <w:tabs>
          <w:tab w:leader="none" w:pos="201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an Assignment and Assumption, together with a processing and recordation fee of $3,500;</w:t>
      </w:r>
    </w:p>
    <w:p>
      <w:pPr>
        <w:spacing w:after="0" w:line="168" w:lineRule="exact"/>
        <w:rPr>
          <w:rFonts w:ascii="Arial" w:cs="Arial" w:eastAsia="Arial" w:hAnsi="Arial"/>
          <w:sz w:val="20"/>
          <w:szCs w:val="20"/>
          <w:color w:val="auto"/>
        </w:rPr>
      </w:pPr>
    </w:p>
    <w:p>
      <w:pPr>
        <w:ind w:left="840" w:firstLine="640"/>
        <w:spacing w:after="0" w:line="236" w:lineRule="auto"/>
        <w:tabs>
          <w:tab w:leader="none" w:pos="2014"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 and</w:t>
      </w:r>
    </w:p>
    <w:p>
      <w:pPr>
        <w:spacing w:after="0" w:line="155" w:lineRule="exact"/>
        <w:rPr>
          <w:rFonts w:ascii="Arial" w:cs="Arial" w:eastAsia="Arial" w:hAnsi="Arial"/>
          <w:sz w:val="20"/>
          <w:szCs w:val="20"/>
          <w:color w:val="auto"/>
        </w:rPr>
      </w:pPr>
    </w:p>
    <w:p>
      <w:pPr>
        <w:jc w:val="both"/>
        <w:ind w:left="840" w:firstLine="640"/>
        <w:spacing w:after="0" w:line="231" w:lineRule="auto"/>
        <w:tabs>
          <w:tab w:leader="none" w:pos="2034" w:val="left"/>
        </w:tabs>
        <w:numPr>
          <w:ilvl w:val="1"/>
          <w:numId w:val="188"/>
        </w:numPr>
        <w:rPr>
          <w:rFonts w:ascii="Arial" w:cs="Arial" w:eastAsia="Arial" w:hAnsi="Arial"/>
          <w:sz w:val="19"/>
          <w:szCs w:val="19"/>
          <w:color w:val="auto"/>
        </w:rPr>
      </w:pPr>
      <w:r>
        <w:rPr>
          <w:rFonts w:ascii="Arial" w:cs="Arial" w:eastAsia="Arial" w:hAnsi="Arial"/>
          <w:sz w:val="19"/>
          <w:szCs w:val="19"/>
          <w:color w:val="auto"/>
        </w:rPr>
        <w:t>no such assignment shall be made to (1) the Borrower or any of its Subsidiaries or Affiliates, (2) a natural Person (or a holding company, investment vehicle or trust for, or owned and operated for the primary benefit of, a natural Person) or (3) any Defaulting Lender or any of its Subsidiaries, or any Person who, upon becoming a Lender hereunder, would constitute any of the foregoing Persons described in this clause (D).</w:t>
      </w:r>
    </w:p>
    <w:p>
      <w:pPr>
        <w:spacing w:after="0" w:line="171" w:lineRule="exact"/>
        <w:rPr>
          <w:rFonts w:ascii="Arial" w:cs="Arial" w:eastAsia="Arial" w:hAnsi="Arial"/>
          <w:sz w:val="19"/>
          <w:szCs w:val="19"/>
          <w:color w:val="auto"/>
        </w:rPr>
      </w:pPr>
    </w:p>
    <w:p>
      <w:pPr>
        <w:jc w:val="both"/>
        <w:ind w:left="180" w:firstLine="652"/>
        <w:spacing w:after="0" w:line="223" w:lineRule="auto"/>
        <w:tabs>
          <w:tab w:leader="none" w:pos="136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10.5 but shall be subject to the limitations set forth therein). Any assignment or transfer by a Lender of rights or obligations under this Agreement that does not comply with this Section 10.6 shall be treated for purposes of this</w:t>
      </w:r>
    </w:p>
    <w:p>
      <w:pPr>
        <w:sectPr>
          <w:pgSz w:w="11900" w:h="16838" w:orient="portrait"/>
          <w:cols w:equalWidth="0" w:num="1">
            <w:col w:w="10120"/>
          </w:cols>
          <w:pgMar w:left="1440" w:top="1440" w:right="339" w:bottom="1440" w:gutter="0" w:footer="0" w:header="0"/>
        </w:sectPr>
      </w:pPr>
    </w:p>
    <w:bookmarkStart w:id="140" w:name="page141"/>
    <w:bookmarkEnd w:id="140"/>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Agreement as a sale by such Lender of a participation in such rights and obligations in accordance with paragraph (c) of this</w:t>
      </w:r>
    </w:p>
    <w:p>
      <w:pPr>
        <w:spacing w:after="0" w:line="12" w:lineRule="exact"/>
        <w:rPr>
          <w:sz w:val="20"/>
          <w:szCs w:val="20"/>
          <w:color w:val="auto"/>
        </w:rPr>
      </w:pPr>
    </w:p>
    <w:p>
      <w:pPr>
        <w:ind w:left="180"/>
        <w:spacing w:after="0" w:line="220" w:lineRule="auto"/>
        <w:rPr>
          <w:sz w:val="20"/>
          <w:szCs w:val="20"/>
          <w:color w:val="auto"/>
        </w:rPr>
      </w:pPr>
      <w:r>
        <w:rPr>
          <w:rFonts w:ascii="Arial" w:cs="Arial" w:eastAsia="Arial" w:hAnsi="Arial"/>
          <w:sz w:val="20"/>
          <w:szCs w:val="20"/>
          <w:color w:val="auto"/>
        </w:rPr>
        <w:t>Section (other than a purported assignment to a natural Person or the Borrower or any of the Borrower’s Subsidiaries or Affiliates, which shall be null and void).</w:t>
      </w:r>
    </w:p>
    <w:p>
      <w:pPr>
        <w:spacing w:after="0" w:line="170" w:lineRule="exact"/>
        <w:rPr>
          <w:sz w:val="20"/>
          <w:szCs w:val="20"/>
          <w:color w:val="auto"/>
        </w:rPr>
      </w:pPr>
    </w:p>
    <w:p>
      <w:pPr>
        <w:jc w:val="both"/>
        <w:ind w:left="180" w:firstLine="652"/>
        <w:spacing w:after="0" w:line="235" w:lineRule="auto"/>
        <w:tabs>
          <w:tab w:leader="none" w:pos="138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Borrower, shall maintain at one of its offices a copy of each Assignment and Assumption delivered to it and a register for the recordation of the names and addresses of the Lenders (including Lenders becoming party to this Agreement pursuant to a joinder as contemplated by Section 2.19), and the Commitments of, and principal amount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in the absence of manifest error, and the Borrower, the Administrative Agent, the Issuing Lender and the Lenders may treat each Person whose name is recorded in the Register pursuant to the terms hereof as a Lender hereunder for all purposes of this Agreement, notwithstanding notice to the contrary. The Register shall be available for inspection by the Borrower, the Issuing Lender and any Lender, at any reasonable time and from time to time upon reasonable prior notice.</w:t>
      </w:r>
    </w:p>
    <w:p>
      <w:pPr>
        <w:spacing w:after="0" w:line="173" w:lineRule="exact"/>
        <w:rPr>
          <w:rFonts w:ascii="Arial" w:cs="Arial" w:eastAsia="Arial" w:hAnsi="Arial"/>
          <w:sz w:val="18"/>
          <w:szCs w:val="18"/>
          <w:color w:val="auto"/>
        </w:rPr>
      </w:pPr>
    </w:p>
    <w:p>
      <w:pPr>
        <w:jc w:val="both"/>
        <w:ind w:left="180" w:firstLine="652"/>
        <w:spacing w:after="0" w:line="226" w:lineRule="auto"/>
        <w:tabs>
          <w:tab w:leader="none" w:pos="134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9" w:lineRule="exact"/>
        <w:rPr>
          <w:rFonts w:ascii="Arial" w:cs="Arial" w:eastAsia="Arial" w:hAnsi="Arial"/>
          <w:sz w:val="19"/>
          <w:szCs w:val="19"/>
          <w:color w:val="auto"/>
        </w:rPr>
      </w:pPr>
    </w:p>
    <w:p>
      <w:pPr>
        <w:jc w:val="both"/>
        <w:ind w:left="-1120" w:firstLine="1304"/>
        <w:spacing w:after="0" w:line="221" w:lineRule="auto"/>
        <w:tabs>
          <w:tab w:leader="none" w:pos="645"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 Any Lender may, without the consent of the Borrower or the Administrative Agent, sell participations to one or more banks or other entities (other than a natural Person, (or a holding company, investment vehicle or trust for, or owned and operated for the primary benefit of, a natural Person, or the Borrower or any of the Borrower’s Subsidiaries or Affiliates)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Commitments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provided that such agreement may provide that such Lender will not, without the consent of the Participant, agree to any amendment, modification or waiver that (1) requires the consent of each Lender directly affected thereby pursuant to the proviso to the second sentence of Section 10.1 and (2) directly affects such Participant. Subject to paragraph 10.6(c)(ii) of this Section, the Borrower agrees that each Participant shall be entitled to the benefits of Sections 2.14, 2.15 and 2.16 to the same extent as if it were a Lender and had acquired its interest by assignment pursuant to paragraph (b) of this Section 10.6. To the extent permitted by law, each Participant also shall be entitled to the benefits of Section 10.7(b)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shall be subject to Section 10.7 as though it were a Lender.</w:t>
      </w:r>
    </w:p>
    <w:p>
      <w:pPr>
        <w:spacing w:after="0" w:line="155" w:lineRule="exact"/>
        <w:rPr>
          <w:rFonts w:ascii="Arial" w:cs="Arial" w:eastAsia="Arial" w:hAnsi="Arial"/>
          <w:sz w:val="19"/>
          <w:szCs w:val="19"/>
          <w:color w:val="auto"/>
        </w:rPr>
      </w:pPr>
    </w:p>
    <w:p>
      <w:pPr>
        <w:ind w:left="180" w:firstLine="652"/>
        <w:spacing w:after="0" w:line="236" w:lineRule="auto"/>
        <w:tabs>
          <w:tab w:leader="none" w:pos="139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Notwithstanding anything to the contrary herein, a Participant shall not be entitled to receive any greater payment under Section 2.14 or 2.15</w:t>
      </w:r>
    </w:p>
    <w:p>
      <w:pPr>
        <w:sectPr>
          <w:pgSz w:w="11900" w:h="16838" w:orient="portrait"/>
          <w:cols w:equalWidth="0" w:num="1">
            <w:col w:w="10120"/>
          </w:cols>
          <w:pgMar w:left="1440" w:top="1440" w:right="339" w:bottom="1440" w:gutter="0" w:footer="0" w:header="0"/>
        </w:sectPr>
      </w:pPr>
    </w:p>
    <w:bookmarkStart w:id="141" w:name="page142"/>
    <w:bookmarkEnd w:id="141"/>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than the applicable Lender would have been entitled to receive with respect to the participation sold to such Participant,</w:t>
      </w:r>
    </w:p>
    <w:p>
      <w:pPr>
        <w:spacing w:after="0" w:line="12"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unless the sale of the participation to such Participant is made with the Borrower’s prior written consent to such greater payments or such entitlement to receive a greater payment results form a Change of Law that occurs after the Participant</w:t>
      </w:r>
    </w:p>
    <w:p>
      <w:pPr>
        <w:spacing w:after="0" w:line="2" w:lineRule="exact"/>
        <w:rPr>
          <w:sz w:val="20"/>
          <w:szCs w:val="20"/>
          <w:color w:val="auto"/>
        </w:rPr>
      </w:pPr>
    </w:p>
    <w:p>
      <w:pPr>
        <w:ind w:left="640" w:right="20"/>
        <w:spacing w:after="0" w:line="227" w:lineRule="auto"/>
        <w:rPr>
          <w:sz w:val="20"/>
          <w:szCs w:val="20"/>
          <w:color w:val="auto"/>
        </w:rPr>
      </w:pPr>
      <w:r>
        <w:rPr>
          <w:rFonts w:ascii="Arial" w:cs="Arial" w:eastAsia="Arial" w:hAnsi="Arial"/>
          <w:sz w:val="20"/>
          <w:szCs w:val="20"/>
          <w:color w:val="auto"/>
        </w:rPr>
        <w:t>acquired the applicable participation. Any Participant that is a Non-U.S. Lender shall not be entitled to the benefits of Section 2.15 unless such Participant complies with Section 2.15(d).</w:t>
      </w:r>
    </w:p>
    <w:p>
      <w:pPr>
        <w:spacing w:after="0" w:line="156" w:lineRule="exact"/>
        <w:rPr>
          <w:sz w:val="20"/>
          <w:szCs w:val="20"/>
          <w:color w:val="auto"/>
        </w:rPr>
      </w:pPr>
    </w:p>
    <w:p>
      <w:pPr>
        <w:jc w:val="both"/>
        <w:ind w:left="-660" w:firstLine="1304"/>
        <w:spacing w:after="0" w:line="246" w:lineRule="auto"/>
        <w:tabs>
          <w:tab w:leader="none" w:pos="10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63" w:lineRule="exact"/>
        <w:rPr>
          <w:rFonts w:ascii="Arial" w:cs="Arial" w:eastAsia="Arial" w:hAnsi="Arial"/>
          <w:sz w:val="18"/>
          <w:szCs w:val="18"/>
          <w:color w:val="auto"/>
        </w:rPr>
      </w:pPr>
    </w:p>
    <w:p>
      <w:pPr>
        <w:ind w:left="-660" w:firstLine="1304"/>
        <w:spacing w:after="0" w:line="236" w:lineRule="auto"/>
        <w:tabs>
          <w:tab w:leader="none" w:pos="1099"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Borrower, upon receipt of written notice from the relevant Lender, agrees to issue Notes to any Lender requiring Notes to facilitate transactions of the type described in paragraph (d) above.</w:t>
      </w:r>
    </w:p>
    <w:p>
      <w:pPr>
        <w:spacing w:after="0" w:line="155" w:lineRule="exact"/>
        <w:rPr>
          <w:rFonts w:ascii="Arial" w:cs="Arial" w:eastAsia="Arial" w:hAnsi="Arial"/>
          <w:sz w:val="20"/>
          <w:szCs w:val="20"/>
          <w:color w:val="auto"/>
        </w:rPr>
      </w:pPr>
    </w:p>
    <w:p>
      <w:pPr>
        <w:jc w:val="both"/>
        <w:ind w:left="-660" w:firstLine="1304"/>
        <w:spacing w:after="0" w:line="212" w:lineRule="auto"/>
        <w:tabs>
          <w:tab w:leader="none" w:pos="1039"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Notwithstanding the foregoing, any Conduit Lender may assign any or all of the Loans it may have funded hereunder to its designating Lender without the consent of the Borrower or the Administrative Agent and without regard to the limitations set forth in Section 10.6(b). Each of the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each Lender designating any Conduit Lender hereby agrees to indemnify, save and hold harmless each other party hereto for any loss, cost, damage, expense, obligations, penalties, actions, judgments, suits or any kind whatsoever arising out of its inability to institute such a proceeding against such Conduit Lender during such period of forbearance.</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Adjustments; Set-off</w:t>
      </w:r>
      <w:r>
        <w:rPr>
          <w:rFonts w:ascii="Arial" w:cs="Arial" w:eastAsia="Arial" w:hAnsi="Arial"/>
          <w:sz w:val="18"/>
          <w:szCs w:val="18"/>
          <w:color w:val="auto"/>
        </w:rPr>
        <w:t>.</w:t>
      </w:r>
    </w:p>
    <w:p>
      <w:pPr>
        <w:spacing w:after="0" w:line="189" w:lineRule="exact"/>
        <w:rPr>
          <w:sz w:val="20"/>
          <w:szCs w:val="20"/>
          <w:color w:val="auto"/>
        </w:rPr>
      </w:pPr>
    </w:p>
    <w:p>
      <w:pPr>
        <w:jc w:val="both"/>
        <w:ind w:left="-660" w:firstLine="1304"/>
        <w:spacing w:after="0" w:line="235" w:lineRule="auto"/>
        <w:tabs>
          <w:tab w:leader="none" w:pos="108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Except to the extent that this Agreement expressly provides for payments to be allocated to a particular Lender, if any Lender (a “</w:t>
      </w:r>
      <w:r>
        <w:rPr>
          <w:rFonts w:ascii="Arial" w:cs="Arial" w:eastAsia="Arial" w:hAnsi="Arial"/>
          <w:sz w:val="18"/>
          <w:szCs w:val="18"/>
          <w:u w:val="single" w:color="auto"/>
          <w:color w:val="auto"/>
        </w:rPr>
        <w:t>Benefitted Lender</w:t>
      </w:r>
      <w:r>
        <w:rPr>
          <w:rFonts w:ascii="Arial" w:cs="Arial" w:eastAsia="Arial" w:hAnsi="Arial"/>
          <w:sz w:val="18"/>
          <w:szCs w:val="18"/>
          <w:color w:val="auto"/>
        </w:rPr>
        <w:t xml:space="preserve">”) shall receive any payment of all or part of the Obligations owing to it hereunder, or receive any collateral in respect thereof (whether voluntarily or involuntarily, by set-off, pursuant to events or proceedings of the nature referred to in </w:t>
      </w:r>
      <w:r>
        <w:rPr>
          <w:rFonts w:ascii="Arial" w:cs="Arial" w:eastAsia="Arial" w:hAnsi="Arial"/>
          <w:sz w:val="18"/>
          <w:szCs w:val="18"/>
          <w:u w:val="single" w:color="auto"/>
          <w:color w:val="auto"/>
        </w:rPr>
        <w:t>Section 8(f)</w:t>
      </w:r>
      <w:r>
        <w:rPr>
          <w:rFonts w:ascii="Arial" w:cs="Arial" w:eastAsia="Arial" w:hAnsi="Arial"/>
          <w:sz w:val="18"/>
          <w:szCs w:val="18"/>
          <w:color w:val="auto"/>
        </w:rPr>
        <w:t xml:space="preserve">, or otherwise), in a greater proportion than any such payment to or collateral received by any other Lender, if any, in respect of the Obligations owing to such other Lender hereunder, such Benefitted Lender shall purchase for cash from the other Lenders a participating interest in such portion of the Obligations owing to each such other Lender hereunder,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73" w:lineRule="exact"/>
        <w:rPr>
          <w:rFonts w:ascii="Arial" w:cs="Arial" w:eastAsia="Arial" w:hAnsi="Arial"/>
          <w:sz w:val="18"/>
          <w:szCs w:val="18"/>
          <w:color w:val="auto"/>
        </w:rPr>
      </w:pPr>
    </w:p>
    <w:p>
      <w:pPr>
        <w:jc w:val="both"/>
        <w:ind w:left="-660" w:firstLine="1304"/>
        <w:spacing w:after="0" w:line="215" w:lineRule="auto"/>
        <w:tabs>
          <w:tab w:leader="none" w:pos="114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If an Event of Default shall have occurred and be continuing, each Lender and each of their respective Affiliates is hereby authorized at any time and from time to time, to the fullest extent permitted by applicable law, to setoff and offset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Affiliate of the Borrower</w:t>
      </w:r>
    </w:p>
    <w:p>
      <w:pPr>
        <w:sectPr>
          <w:pgSz w:w="11900" w:h="16838" w:orient="portrait"/>
          <w:cols w:equalWidth="0" w:num="1">
            <w:col w:w="10580"/>
          </w:cols>
          <w:pgMar w:left="980" w:top="1440" w:right="339" w:bottom="1440" w:gutter="0" w:footer="0" w:header="0"/>
        </w:sectPr>
      </w:pPr>
    </w:p>
    <w:bookmarkStart w:id="142" w:name="page143"/>
    <w:bookmarkEnd w:id="142"/>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against any and all of the obligations of the Borrower or such Affiliate of the Borrower now or hereafter existing under this Agreement or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Loan Document to such Lender or its Affiliates, irrespective of whether or not such Lender or Affiliate shall have made any demand under this Agreement or any other Loan Document and although such obligations of the Borrower or such Affiliate of the Borrower may be</w:t>
      </w:r>
    </w:p>
    <w:p>
      <w:pPr>
        <w:spacing w:after="0" w:line="236" w:lineRule="auto"/>
        <w:rPr>
          <w:sz w:val="20"/>
          <w:szCs w:val="20"/>
          <w:color w:val="auto"/>
        </w:rPr>
      </w:pPr>
      <w:r>
        <w:rPr>
          <w:rFonts w:ascii="Arial" w:cs="Arial" w:eastAsia="Arial" w:hAnsi="Arial"/>
          <w:sz w:val="18"/>
          <w:szCs w:val="18"/>
          <w:color w:val="auto"/>
        </w:rPr>
        <w:t>contingent or unmatured or are owed to a branch, office or Affiliate of such Lender different from the branch, office or Affiliate holding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deposit or obligated on such indebtedness; provided that in the event that any Defaulting Lender shall exercise any such right of setoff and offset, (x) all amounts so set off shall be paid over immediately to the Administrative Agent for further application in accordance with the</w:t>
      </w:r>
    </w:p>
    <w:p>
      <w:pPr>
        <w:spacing w:after="0" w:line="236" w:lineRule="auto"/>
        <w:rPr>
          <w:sz w:val="20"/>
          <w:szCs w:val="20"/>
          <w:color w:val="auto"/>
        </w:rPr>
      </w:pPr>
      <w:r>
        <w:rPr>
          <w:rFonts w:ascii="Arial" w:cs="Arial" w:eastAsia="Arial" w:hAnsi="Arial"/>
          <w:sz w:val="18"/>
          <w:szCs w:val="18"/>
          <w:color w:val="auto"/>
        </w:rPr>
        <w:t xml:space="preserve">provisions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and, pending such payment, shall be segregated by such Defaulting Lender from its other funds and deemed held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trust for the benefit of the Administrative Agent and the Lenders, and (y) the Defaulting Lender shall provide promptly to the Administrative Agent a statement describing in reasonable detail the Obligations owing to such Defaulting Lender as to which it exercised</w:t>
      </w:r>
    </w:p>
    <w:p>
      <w:pPr>
        <w:spacing w:after="0" w:line="236" w:lineRule="auto"/>
        <w:rPr>
          <w:sz w:val="20"/>
          <w:szCs w:val="20"/>
          <w:color w:val="auto"/>
        </w:rPr>
      </w:pPr>
      <w:r>
        <w:rPr>
          <w:rFonts w:ascii="Arial" w:cs="Arial" w:eastAsia="Arial" w:hAnsi="Arial"/>
          <w:sz w:val="18"/>
          <w:szCs w:val="18"/>
          <w:color w:val="auto"/>
        </w:rPr>
        <w:t>such right of setoff and offset. The rights of each Lender and its respective Affiliates under this Section are in addition to other rights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remedies (including other rights of setoff and offset) that such Lender or its respective Affiliates may have. Each Lender agrees to notify the Borrower and the Administrative Agent promptly after any such setoff and offset and application; provided that the failure to give such notice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not affect the validity of such setoff and offset and application.</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8"/>
          <w:szCs w:val="18"/>
          <w:u w:val="single" w:color="auto"/>
          <w:color w:val="auto"/>
        </w:rPr>
        <w:t>Counterparts; Electronic Execution</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8" w:lineRule="auto"/>
        <w:tabs>
          <w:tab w:leader="none" w:pos="186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or in electronic (i.e., “pdf” or “tif”) format shall be effective as delivery of a manually executed counterpart hereof. A set of the copies of this Agreement signed by all the parties shall be lodged with the Borrower and the Administrative Agent.</w:t>
      </w:r>
    </w:p>
    <w:p>
      <w:pPr>
        <w:spacing w:after="0" w:line="157" w:lineRule="exact"/>
        <w:rPr>
          <w:rFonts w:ascii="Arial" w:cs="Arial" w:eastAsia="Arial" w:hAnsi="Arial"/>
          <w:sz w:val="20"/>
          <w:szCs w:val="20"/>
          <w:color w:val="auto"/>
        </w:rPr>
      </w:pPr>
    </w:p>
    <w:p>
      <w:pPr>
        <w:jc w:val="both"/>
        <w:ind w:firstLine="1304"/>
        <w:spacing w:after="0" w:line="221" w:lineRule="auto"/>
        <w:tabs>
          <w:tab w:leader="none" w:pos="182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request of the Administrative Agent or any Lender, any Electronic Signature shall be promptly followed by an original manually executed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counterpart thereof. Without limiting the generality of the foregoing, each party hereto hereby (A) agrees that, for all purposes, including without limitation, in connection with any workout, restructuring, enforcement of remedies, bankruptcy proceedings or litigation among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the Lenders and the Borrower, electronic images of this Agreement or any other Loan Document (in each case, including with respect to any signature pages thereto) shall have the same legal effect, validity and enforceability as any paper original, and</w:t>
      </w:r>
    </w:p>
    <w:p>
      <w:pPr>
        <w:spacing w:after="0" w:line="2" w:lineRule="exact"/>
        <w:rPr>
          <w:sz w:val="20"/>
          <w:szCs w:val="20"/>
          <w:color w:val="auto"/>
        </w:rPr>
      </w:pPr>
    </w:p>
    <w:p>
      <w:pPr>
        <w:ind w:firstLine="8"/>
        <w:spacing w:after="0" w:line="227" w:lineRule="auto"/>
        <w:tabs>
          <w:tab w:leader="none" w:pos="323" w:val="left"/>
        </w:tabs>
        <w:numPr>
          <w:ilvl w:val="0"/>
          <w:numId w:val="194"/>
        </w:numPr>
        <w:rPr>
          <w:rFonts w:ascii="Arial" w:cs="Arial" w:eastAsia="Arial" w:hAnsi="Arial"/>
          <w:sz w:val="20"/>
          <w:szCs w:val="20"/>
          <w:color w:val="auto"/>
        </w:rPr>
      </w:pPr>
      <w:r>
        <w:rPr>
          <w:rFonts w:ascii="Arial" w:cs="Arial" w:eastAsia="Arial" w:hAnsi="Arial"/>
          <w:sz w:val="20"/>
          <w:szCs w:val="20"/>
          <w:color w:val="auto"/>
        </w:rPr>
        <w:t>waives any argument, defense or right to contest the validity or enforceability of the Loan Documents based solely on the lack of paper original copies of any Loan Documents, including with respect to any signature pages thereto.</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u w:val="single" w:color="auto"/>
          <w:color w:val="auto"/>
        </w:rPr>
        <w:t>Severability</w:t>
      </w:r>
    </w:p>
    <w:p>
      <w:pPr>
        <w:spacing w:after="0" w:line="175" w:lineRule="exact"/>
        <w:rPr>
          <w:sz w:val="20"/>
          <w:szCs w:val="20"/>
          <w:color w:val="auto"/>
        </w:rPr>
      </w:pPr>
    </w:p>
    <w:p>
      <w:pPr>
        <w:jc w:val="both"/>
        <w:ind w:firstLine="8"/>
        <w:spacing w:after="0" w:line="239" w:lineRule="auto"/>
        <w:tabs>
          <w:tab w:leader="none" w:pos="11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8"/>
          <w:szCs w:val="18"/>
          <w:u w:val="single" w:color="auto"/>
          <w:color w:val="auto"/>
        </w:rPr>
        <w:t>Integration</w:t>
      </w:r>
    </w:p>
    <w:p>
      <w:pPr>
        <w:spacing w:after="0" w:line="189" w:lineRule="exact"/>
        <w:rPr>
          <w:sz w:val="20"/>
          <w:szCs w:val="20"/>
          <w:color w:val="auto"/>
        </w:rPr>
      </w:pPr>
    </w:p>
    <w:p>
      <w:pPr>
        <w:jc w:val="both"/>
        <w:ind w:firstLine="8"/>
        <w:spacing w:after="0" w:line="238" w:lineRule="auto"/>
        <w:tabs>
          <w:tab w:leader="none" w:pos="9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This Agreement and the other Loan Documents represent the entire agreement of the Borrower, the Administrative Agent and the Lenders with respect to the subject matter hereof and thereof and supersede any and all prior agreements, negotiations, correspondence, understandings and communications among the parties, whether written or oral, respecting the subject matter hereof (including, except to the extent expressly set forth therein, the engagement letter dated August 2, 2021, among the Borrower and the Lead Arranger), excluding the Fee Letter. There are no promises, undertakings, representations or warranties by the Administrative Agent or any Lender relative to the subject matter hereof not expressly set forth or referred to herein or in the other Loan Documents.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8"/>
          <w:szCs w:val="18"/>
          <w:u w:val="single" w:color="auto"/>
          <w:color w:val="auto"/>
        </w:rPr>
        <w:t>Governing Law</w:t>
      </w:r>
    </w:p>
    <w:p>
      <w:pPr>
        <w:spacing w:after="0" w:line="175" w:lineRule="exact"/>
        <w:rPr>
          <w:sz w:val="20"/>
          <w:szCs w:val="20"/>
          <w:color w:val="auto"/>
        </w:rPr>
      </w:pPr>
    </w:p>
    <w:p>
      <w:pPr>
        <w:jc w:val="both"/>
        <w:ind w:firstLine="8"/>
        <w:spacing w:after="0" w:line="220" w:lineRule="auto"/>
        <w:tabs>
          <w:tab w:leader="none" w:pos="15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THIS AGREEMENT AND THE RIGHTS AND OBLIGATIONS OF THE PARTIES UNDER THIS AGREEMENT SHALL BE GOVERNED BY, AND CONSTRUED AND INTERPRETED IN ACCORDANCE WITH, THE LAW OF THE STATE OF NEW YORK WITHOUT REFERENCE TO CONFLICTS OF LAW RULES OTHER THAN SECTION 5-1401 OF THE GENERAL OBLIGATIONS LAW OF THE STATE OF NEW YORK.</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u w:val="single" w:color="auto"/>
          <w:color w:val="auto"/>
        </w:rPr>
        <w:t>Submission to Jurisdiction; Waivers</w:t>
      </w:r>
    </w:p>
    <w:p>
      <w:pPr>
        <w:spacing w:after="0" w:line="189" w:lineRule="exact"/>
        <w:rPr>
          <w:sz w:val="20"/>
          <w:szCs w:val="20"/>
          <w:color w:val="auto"/>
        </w:rPr>
      </w:pPr>
    </w:p>
    <w:p>
      <w:pPr>
        <w:ind w:left="100" w:hanging="92"/>
        <w:spacing w:after="0"/>
        <w:tabs>
          <w:tab w:leader="none" w:pos="10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Borrower hereby irrevocably and unconditionally:</w:t>
      </w:r>
    </w:p>
    <w:p>
      <w:pPr>
        <w:spacing w:after="0" w:line="175" w:lineRule="exact"/>
        <w:rPr>
          <w:rFonts w:ascii="Arial" w:cs="Arial" w:eastAsia="Arial" w:hAnsi="Arial"/>
          <w:sz w:val="20"/>
          <w:szCs w:val="20"/>
          <w:color w:val="auto"/>
        </w:rPr>
      </w:pPr>
    </w:p>
    <w:p>
      <w:pPr>
        <w:jc w:val="both"/>
        <w:ind w:right="20" w:firstLine="1304"/>
        <w:spacing w:after="0" w:line="220" w:lineRule="auto"/>
        <w:tabs>
          <w:tab w:leader="none" w:pos="1812" w:val="left"/>
        </w:tabs>
        <w:numPr>
          <w:ilvl w:val="1"/>
          <w:numId w:val="198"/>
        </w:numPr>
        <w:rPr>
          <w:rFonts w:ascii="Arial" w:cs="Arial" w:eastAsia="Arial" w:hAnsi="Arial"/>
          <w:sz w:val="20"/>
          <w:szCs w:val="20"/>
          <w:color w:val="auto"/>
        </w:rPr>
      </w:pPr>
      <w:r>
        <w:rPr>
          <w:rFonts w:ascii="Arial" w:cs="Arial" w:eastAsia="Arial" w:hAnsi="Arial"/>
          <w:sz w:val="20"/>
          <w:szCs w:val="20"/>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located in New York, and appellate courts from any thereof;</w:t>
      </w:r>
    </w:p>
    <w:p>
      <w:pPr>
        <w:spacing w:after="0" w:line="169" w:lineRule="exact"/>
        <w:rPr>
          <w:rFonts w:ascii="Arial" w:cs="Arial" w:eastAsia="Arial" w:hAnsi="Arial"/>
          <w:sz w:val="20"/>
          <w:szCs w:val="20"/>
          <w:color w:val="auto"/>
        </w:rPr>
      </w:pPr>
    </w:p>
    <w:p>
      <w:pPr>
        <w:jc w:val="both"/>
        <w:ind w:firstLine="1304"/>
        <w:spacing w:after="0" w:line="223" w:lineRule="auto"/>
        <w:tabs>
          <w:tab w:leader="none" w:pos="1733" w:val="left"/>
        </w:tabs>
        <w:numPr>
          <w:ilvl w:val="1"/>
          <w:numId w:val="198"/>
        </w:numPr>
        <w:rPr>
          <w:rFonts w:ascii="Arial" w:cs="Arial" w:eastAsia="Arial" w:hAnsi="Arial"/>
          <w:sz w:val="20"/>
          <w:szCs w:val="20"/>
          <w:color w:val="auto"/>
        </w:rPr>
      </w:pPr>
      <w:r>
        <w:rPr>
          <w:rFonts w:ascii="Arial" w:cs="Arial" w:eastAsia="Arial" w:hAnsi="Arial"/>
          <w:sz w:val="20"/>
          <w:szCs w:val="20"/>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90" w:lineRule="exact"/>
        <w:rPr>
          <w:sz w:val="20"/>
          <w:szCs w:val="20"/>
          <w:color w:val="auto"/>
        </w:rPr>
      </w:pPr>
    </w:p>
    <w:p>
      <w:pPr>
        <w:jc w:val="both"/>
        <w:ind w:firstLine="1304"/>
        <w:spacing w:after="0" w:line="223" w:lineRule="auto"/>
        <w:tabs>
          <w:tab w:leader="none" w:pos="1729"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agrees that service of process in any such action or proceeding may be effected by mailing a copy thereof by registered or certified mail (or any substantially similar form of mail), postage prepaid, to the Borrower at its address set forth in Section 10.2 or at such other address of which the Administrative Agent shall have been notified pursuant thereto;</w:t>
      </w:r>
    </w:p>
    <w:p>
      <w:pPr>
        <w:spacing w:after="0" w:line="168" w:lineRule="exact"/>
        <w:rPr>
          <w:rFonts w:ascii="Arial" w:cs="Arial" w:eastAsia="Arial" w:hAnsi="Arial"/>
          <w:sz w:val="20"/>
          <w:szCs w:val="20"/>
          <w:color w:val="auto"/>
        </w:rPr>
      </w:pPr>
    </w:p>
    <w:p>
      <w:pPr>
        <w:ind w:right="20" w:firstLine="1304"/>
        <w:spacing w:after="0" w:line="236" w:lineRule="auto"/>
        <w:tabs>
          <w:tab w:leader="none" w:pos="179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agrees that nothing herein shall affect the right to effect service of process in any other manner permitted by law or shall limit the right to sue in any other jurisdiction; and</w:t>
      </w:r>
    </w:p>
    <w:p>
      <w:pPr>
        <w:spacing w:after="0" w:line="155" w:lineRule="exact"/>
        <w:rPr>
          <w:rFonts w:ascii="Arial" w:cs="Arial" w:eastAsia="Arial" w:hAnsi="Arial"/>
          <w:sz w:val="20"/>
          <w:szCs w:val="20"/>
          <w:color w:val="auto"/>
        </w:rPr>
      </w:pPr>
    </w:p>
    <w:p>
      <w:pPr>
        <w:ind w:firstLine="1304"/>
        <w:spacing w:after="0" w:line="257" w:lineRule="auto"/>
        <w:tabs>
          <w:tab w:leader="none" w:pos="175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waives, to the maximum extent not prohibited by law, any right it may have to claim or recover in any legal action or proceeding relating to this Agreement or any other Loan Document any special, exemplary, punitive or consequential damages.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8"/>
          <w:szCs w:val="18"/>
          <w:u w:val="single" w:color="auto"/>
          <w:color w:val="FF0000"/>
          <w:strike w:val="1"/>
        </w:rPr>
        <w:t>Acknowledgments</w:t>
      </w:r>
      <w:r>
        <w:rPr>
          <w:rFonts w:ascii="Arial" w:cs="Arial" w:eastAsia="Arial" w:hAnsi="Arial"/>
          <w:sz w:val="18"/>
          <w:szCs w:val="18"/>
          <w:u w:val="single" w:color="auto"/>
          <w:color w:val="0000FF"/>
          <w:strike w:val="1"/>
        </w:rPr>
        <w:t>Acknowledgements</w:t>
      </w:r>
    </w:p>
    <w:p>
      <w:pPr>
        <w:spacing w:after="0" w:line="175" w:lineRule="exact"/>
        <w:rPr>
          <w:sz w:val="20"/>
          <w:szCs w:val="20"/>
          <w:color w:val="auto"/>
        </w:rPr>
      </w:pPr>
    </w:p>
    <w:p>
      <w:pPr>
        <w:ind w:left="100" w:hanging="92"/>
        <w:spacing w:after="0"/>
        <w:tabs>
          <w:tab w:leader="none" w:pos="1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Borrower hereby acknowledges that:</w:t>
      </w:r>
    </w:p>
    <w:p>
      <w:pPr>
        <w:spacing w:after="0" w:line="188" w:lineRule="exact"/>
        <w:rPr>
          <w:rFonts w:ascii="Arial" w:cs="Arial" w:eastAsia="Arial" w:hAnsi="Arial"/>
          <w:sz w:val="20"/>
          <w:szCs w:val="20"/>
          <w:color w:val="auto"/>
        </w:rPr>
      </w:pPr>
    </w:p>
    <w:p>
      <w:pPr>
        <w:ind w:left="1860" w:hanging="556"/>
        <w:spacing w:after="0"/>
        <w:tabs>
          <w:tab w:leader="none" w:pos="186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Agreement and the other Loan</w:t>
      </w:r>
    </w:p>
    <w:p>
      <w:pPr>
        <w:spacing w:after="0"/>
        <w:rPr>
          <w:rFonts w:ascii="Arial" w:cs="Arial" w:eastAsia="Arial" w:hAnsi="Arial"/>
          <w:sz w:val="19"/>
          <w:szCs w:val="19"/>
          <w:color w:val="auto"/>
        </w:rPr>
      </w:pPr>
      <w:r>
        <w:rPr>
          <w:rFonts w:ascii="Arial" w:cs="Arial" w:eastAsia="Arial" w:hAnsi="Arial"/>
          <w:sz w:val="20"/>
          <w:szCs w:val="20"/>
          <w:color w:val="auto"/>
        </w:rPr>
        <w:t>Documents;</w:t>
      </w:r>
    </w:p>
    <w:p>
      <w:pPr>
        <w:spacing w:after="0" w:line="159" w:lineRule="exact"/>
        <w:rPr>
          <w:rFonts w:ascii="Arial" w:cs="Arial" w:eastAsia="Arial" w:hAnsi="Arial"/>
          <w:sz w:val="19"/>
          <w:szCs w:val="19"/>
          <w:color w:val="auto"/>
        </w:rPr>
      </w:pPr>
    </w:p>
    <w:p>
      <w:pPr>
        <w:jc w:val="both"/>
        <w:ind w:firstLine="1304"/>
        <w:spacing w:after="0" w:line="259" w:lineRule="auto"/>
        <w:tabs>
          <w:tab w:leader="none" w:pos="172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neither the Administrative Agent nor any Lender has any fiduciary relationship with or duty to the Borrower arising out of or in connection with this Agreement or any of the other Loan Documents, and the relationship between Administrative Agent and Lenders, on one hand, and the Borrower, on the other hand, in connection herewith or therewith is solely that of debtor and creditor; and</w:t>
      </w:r>
    </w:p>
    <w:p>
      <w:pPr>
        <w:spacing w:after="0" w:line="139" w:lineRule="exact"/>
        <w:rPr>
          <w:rFonts w:ascii="Arial" w:cs="Arial" w:eastAsia="Arial" w:hAnsi="Arial"/>
          <w:sz w:val="18"/>
          <w:szCs w:val="18"/>
          <w:color w:val="auto"/>
        </w:rPr>
      </w:pPr>
    </w:p>
    <w:p>
      <w:pPr>
        <w:ind w:right="20" w:firstLine="1304"/>
        <w:spacing w:after="0" w:line="236" w:lineRule="auto"/>
        <w:tabs>
          <w:tab w:leader="none" w:pos="1793" w:val="left"/>
        </w:tabs>
        <w:numPr>
          <w:ilvl w:val="1"/>
          <w:numId w:val="200"/>
        </w:numPr>
        <w:rPr>
          <w:rFonts w:ascii="Arial" w:cs="Arial" w:eastAsia="Arial" w:hAnsi="Arial"/>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Lenders or among the Borrower and the Lenders.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9"/>
          <w:szCs w:val="19"/>
          <w:u w:val="single" w:color="auto"/>
          <w:color w:val="auto"/>
        </w:rPr>
        <w:t>Confidentiality</w:t>
      </w:r>
    </w:p>
    <w:p>
      <w:pPr>
        <w:spacing w:after="0" w:line="175" w:lineRule="exact"/>
        <w:rPr>
          <w:sz w:val="20"/>
          <w:szCs w:val="20"/>
          <w:color w:val="auto"/>
        </w:rPr>
      </w:pPr>
    </w:p>
    <w:p>
      <w:pPr>
        <w:jc w:val="both"/>
        <w:ind w:firstLine="8"/>
        <w:spacing w:after="0" w:line="233" w:lineRule="auto"/>
        <w:tabs>
          <w:tab w:leader="none" w:pos="9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Each of the Administrative Agent and each Lender agrees to keep confidential in accordance with such party’s customary practices (and in any event in compliance with applicable law regarding material non-public information) all non-public information provided to it by the Borrower, the Administrative Agent or any Lender pursuant to or in connection with this Agreement; provided that nothing herein shall prevent the Administrative Agent or any Lender from disclosing any such information (a) to the Administrative Agent, any other Lender or any affiliate thereof, (b) subject to an agreement to comply with the provisions of this Section 10.14 or substantially equivalent provisions, to any actual or prospective Transferee or any direct or indirect counterparty to any Swap Agreement (or any professional advisor to such counterparty), (c) to its employees, directors, agents, attorneys, accountants and other professional advisors or those of any of its affiliates (as long as such attorneys, accountants and other professional advisors are subject to confidentiality requirements substantially equivalent to this Section 10.14),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extent required or requested by any regulatory authority purporting to have jurisdiction over the Administrative Agent or such Lender or any Affiliate thereof (including any self-regulatory authority, such as the National Association of Insurance Commissioners), or (i) in connection with the exercise of any remedy hereunder or under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clauses (d), (e) and (f) of this Section 10.14, with the exception of disclosure to bank regulatory authorities, the</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9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Borrower (to the extent legally permissible) shall be given prompt prior notice so that it may seek a protective order or other appropriate remedy.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19"/>
          <w:szCs w:val="19"/>
          <w:u w:val="single" w:color="auto"/>
          <w:color w:val="auto"/>
        </w:rPr>
        <w:t>WAIVERS OF JURY TRIAL</w:t>
      </w:r>
    </w:p>
    <w:p>
      <w:pPr>
        <w:spacing w:after="0" w:line="189" w:lineRule="exact"/>
        <w:rPr>
          <w:sz w:val="20"/>
          <w:szCs w:val="20"/>
          <w:color w:val="auto"/>
        </w:rPr>
      </w:pPr>
    </w:p>
    <w:p>
      <w:pPr>
        <w:jc w:val="both"/>
        <w:ind w:firstLine="8"/>
        <w:spacing w:after="0" w:line="223" w:lineRule="auto"/>
        <w:tabs>
          <w:tab w:leader="none" w:pos="9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BORROWER, THE ADMINISTRATIVE AGENT AND THE LENDERS HEREBY IRREVOCABLY AND UNCONDITIONALLY WAIVE TRIAL BY JURY IN ANY LEGAL ACTION OR PROCEEDING RELATING TO THIS AGREEMENT OR ANY OTHER LOAN DOCUMENT AND FOR ANY COUNTERCLAIM THEREIN.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18"/>
          <w:szCs w:val="18"/>
          <w:u w:val="single" w:color="auto"/>
          <w:color w:val="auto"/>
        </w:rPr>
        <w:t>USA Patriot Act</w:t>
      </w:r>
    </w:p>
    <w:p>
      <w:pPr>
        <w:spacing w:after="0" w:line="189" w:lineRule="exact"/>
        <w:rPr>
          <w:sz w:val="20"/>
          <w:szCs w:val="20"/>
          <w:color w:val="auto"/>
        </w:rPr>
      </w:pPr>
    </w:p>
    <w:p>
      <w:pPr>
        <w:jc w:val="both"/>
        <w:ind w:firstLine="8"/>
        <w:spacing w:after="0" w:line="220" w:lineRule="auto"/>
        <w:tabs>
          <w:tab w:leader="none" w:pos="99" w:val="left"/>
        </w:tabs>
        <w:numPr>
          <w:ilvl w:val="0"/>
          <w:numId w:val="203"/>
        </w:numPr>
        <w:rPr>
          <w:rFonts w:ascii="Arial" w:cs="Arial" w:eastAsia="Arial" w:hAnsi="Arial"/>
          <w:sz w:val="20"/>
          <w:szCs w:val="20"/>
          <w:color w:val="auto"/>
        </w:rPr>
      </w:pPr>
      <w:r>
        <w:rPr>
          <w:rFonts w:ascii="Arial" w:cs="Arial" w:eastAsia="Arial" w:hAnsi="Arial"/>
          <w:sz w:val="20"/>
          <w:szCs w:val="20"/>
          <w:color w:val="auto"/>
        </w:rPr>
        <w:t>Each Lender hereby notifies the Borrower that pursuant to the requirements of the USA Patriot Act (Title III of Pub. L. 107-56 (signed into law October 26, 2001)) (the “</w:t>
      </w:r>
      <w:r>
        <w:rPr>
          <w:rFonts w:ascii="Arial" w:cs="Arial" w:eastAsia="Arial" w:hAnsi="Arial"/>
          <w:sz w:val="20"/>
          <w:szCs w:val="20"/>
          <w:u w:val="single" w:color="auto"/>
          <w:color w:val="auto"/>
        </w:rPr>
        <w:t>Patriot Act</w:t>
      </w:r>
      <w:r>
        <w:rPr>
          <w:rFonts w:ascii="Arial" w:cs="Arial" w:eastAsia="Arial" w:hAnsi="Arial"/>
          <w:sz w:val="20"/>
          <w:szCs w:val="20"/>
          <w:color w:val="auto"/>
        </w:rPr>
        <w: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18"/>
          <w:szCs w:val="18"/>
          <w:u w:val="single" w:color="auto"/>
          <w:color w:val="FF0000"/>
          <w:strike w:val="1"/>
        </w:rPr>
        <w:t>Acknowledgment</w:t>
      </w:r>
      <w:r>
        <w:rPr>
          <w:rFonts w:ascii="Arial" w:cs="Arial" w:eastAsia="Arial" w:hAnsi="Arial"/>
          <w:sz w:val="18"/>
          <w:szCs w:val="18"/>
          <w:u w:val="single" w:color="auto"/>
          <w:color w:val="0000FF"/>
          <w:strike w:val="1"/>
        </w:rPr>
        <w:t>Acknowledgement</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000000"/>
          <w:strike w:val="1"/>
        </w:rPr>
        <w:t>and Consent to Bail-In of Affected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-14605</wp:posOffset>
            </wp:positionV>
            <wp:extent cx="28727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2872740" cy="8255"/>
                    </a:xfrm>
                    <a:prstGeom prst="rect">
                      <a:avLst/>
                    </a:prstGeom>
                    <a:noFill/>
                  </pic:spPr>
                </pic:pic>
              </a:graphicData>
            </a:graphic>
          </wp:anchor>
        </w:drawing>
      </w:r>
    </w:p>
    <w:p>
      <w:pPr>
        <w:spacing w:after="0" w:line="169" w:lineRule="exact"/>
        <w:rPr>
          <w:sz w:val="20"/>
          <w:szCs w:val="20"/>
          <w:color w:val="auto"/>
        </w:rPr>
      </w:pPr>
    </w:p>
    <w:p>
      <w:pPr>
        <w:jc w:val="both"/>
        <w:ind w:firstLine="8"/>
        <w:spacing w:after="0" w:line="220" w:lineRule="auto"/>
        <w:tabs>
          <w:tab w:leader="none" w:pos="99" w:val="left"/>
        </w:tabs>
        <w:numPr>
          <w:ilvl w:val="0"/>
          <w:numId w:val="204"/>
        </w:numPr>
        <w:rPr>
          <w:rFonts w:ascii="Arial" w:cs="Arial" w:eastAsia="Arial" w:hAnsi="Arial"/>
          <w:sz w:val="20"/>
          <w:szCs w:val="20"/>
          <w:u w:val="single" w:color="auto"/>
          <w:color w:val="auto"/>
        </w:rPr>
      </w:pPr>
      <w:r>
        <w:rPr>
          <w:rFonts w:ascii="Arial" w:cs="Arial" w:eastAsia="Arial" w:hAnsi="Arial"/>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9" w:lineRule="exact"/>
        <w:rPr>
          <w:rFonts w:ascii="Arial" w:cs="Arial" w:eastAsia="Arial" w:hAnsi="Arial"/>
          <w:sz w:val="20"/>
          <w:szCs w:val="20"/>
          <w:u w:val="single" w:color="auto"/>
          <w:color w:val="auto"/>
        </w:rPr>
      </w:pPr>
    </w:p>
    <w:p>
      <w:pPr>
        <w:ind w:firstLine="1304"/>
        <w:spacing w:after="0" w:line="229" w:lineRule="auto"/>
        <w:tabs>
          <w:tab w:leader="none" w:pos="187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8" w:lineRule="exact"/>
        <w:rPr>
          <w:rFonts w:ascii="Arial" w:cs="Arial" w:eastAsia="Arial" w:hAnsi="Arial"/>
          <w:sz w:val="20"/>
          <w:szCs w:val="20"/>
          <w:color w:val="auto"/>
        </w:rPr>
      </w:pPr>
    </w:p>
    <w:p>
      <w:pPr>
        <w:ind w:left="1740" w:hanging="436"/>
        <w:spacing w:after="0"/>
        <w:tabs>
          <w:tab w:leader="none" w:pos="174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75" w:lineRule="exact"/>
        <w:rPr>
          <w:rFonts w:ascii="Arial" w:cs="Arial" w:eastAsia="Arial" w:hAnsi="Arial"/>
          <w:sz w:val="20"/>
          <w:szCs w:val="20"/>
          <w:color w:val="auto"/>
        </w:rPr>
      </w:pPr>
    </w:p>
    <w:p>
      <w:pPr>
        <w:ind w:left="2340" w:hanging="388"/>
        <w:spacing w:after="0"/>
        <w:tabs>
          <w:tab w:leader="none" w:pos="2340" w:val="left"/>
        </w:tabs>
        <w:numPr>
          <w:ilvl w:val="2"/>
          <w:numId w:val="204"/>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auto"/>
        </w:rPr>
      </w:pPr>
    </w:p>
    <w:p>
      <w:pPr>
        <w:jc w:val="both"/>
        <w:ind w:left="1300" w:firstLine="652"/>
        <w:spacing w:after="0" w:line="220" w:lineRule="auto"/>
        <w:tabs>
          <w:tab w:leader="none" w:pos="2392" w:val="left"/>
        </w:tabs>
        <w:numPr>
          <w:ilvl w:val="2"/>
          <w:numId w:val="204"/>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9" w:lineRule="exact"/>
        <w:rPr>
          <w:rFonts w:ascii="Arial" w:cs="Arial" w:eastAsia="Arial" w:hAnsi="Arial"/>
          <w:sz w:val="20"/>
          <w:szCs w:val="20"/>
          <w:color w:val="auto"/>
        </w:rPr>
      </w:pPr>
    </w:p>
    <w:p>
      <w:pPr>
        <w:ind w:left="1300" w:firstLine="652"/>
        <w:spacing w:after="0" w:line="229" w:lineRule="auto"/>
        <w:tabs>
          <w:tab w:leader="none" w:pos="2471" w:val="left"/>
        </w:tabs>
        <w:numPr>
          <w:ilvl w:val="2"/>
          <w:numId w:val="204"/>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57"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18"/>
          <w:szCs w:val="18"/>
          <w:u w:val="single" w:color="auto"/>
          <w:color w:val="auto"/>
        </w:rPr>
        <w:t xml:space="preserve">Acknowledgement Regarding Any Supported QFCs. </w:t>
      </w:r>
      <w:r>
        <w:rPr>
          <w:rFonts w:ascii="Arial" w:cs="Arial" w:eastAsia="Arial" w:hAnsi="Arial"/>
          <w:sz w:val="18"/>
          <w:szCs w:val="18"/>
          <w:color w:val="auto"/>
        </w:rPr>
        <w:t>To the extent that the Loan Documents</w:t>
      </w:r>
      <w:r>
        <w:rPr>
          <w:rFonts w:ascii="Arial" w:cs="Arial" w:eastAsia="Arial" w:hAnsi="Arial"/>
          <w:sz w:val="18"/>
          <w:szCs w:val="18"/>
          <w:u w:val="single" w:color="auto"/>
          <w:color w:val="auto"/>
        </w:rPr>
        <w:t xml:space="preserve"> provide </w:t>
      </w:r>
      <w:r>
        <w:rPr>
          <w:rFonts w:ascii="Arial" w:cs="Arial" w:eastAsia="Arial" w:hAnsi="Arial"/>
          <w:sz w:val="18"/>
          <w:szCs w:val="18"/>
          <w:color w:val="auto"/>
        </w:rPr>
        <w:t>support, through a</w:t>
      </w:r>
    </w:p>
    <w:p>
      <w:pPr>
        <w:ind w:right="20"/>
        <w:spacing w:after="0" w:line="226" w:lineRule="auto"/>
        <w:rPr>
          <w:sz w:val="20"/>
          <w:szCs w:val="20"/>
          <w:color w:val="auto"/>
        </w:rPr>
      </w:pPr>
      <w:r>
        <w:rPr>
          <w:rFonts w:ascii="Arial" w:cs="Arial" w:eastAsia="Arial" w:hAnsi="Arial"/>
          <w:sz w:val="18"/>
          <w:szCs w:val="18"/>
          <w:color w:val="auto"/>
        </w:rPr>
        <w:t>guarantee or otherwise, for Swap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Deposit Insurance Corporation under the Federal Deposit Insurance Act and Title II of the Dodd-Frank Wall Street Reform and Consumer Protection Act (together with the</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0" w:lineRule="exact"/>
        <w:rPr>
          <w:sz w:val="20"/>
          <w:szCs w:val="20"/>
          <w:color w:val="auto"/>
        </w:rPr>
      </w:pPr>
    </w:p>
    <w:p>
      <w:pPr>
        <w:jc w:val="both"/>
        <w:ind w:firstLine="1304"/>
        <w:spacing w:after="0" w:line="234" w:lineRule="auto"/>
        <w:tabs>
          <w:tab w:leader="none" w:pos="176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the event a Covered QFC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0" w:lineRule="exact"/>
        <w:rPr>
          <w:rFonts w:ascii="Arial" w:cs="Arial" w:eastAsia="Arial" w:hAnsi="Arial"/>
          <w:sz w:val="18"/>
          <w:szCs w:val="18"/>
          <w:color w:val="auto"/>
        </w:rPr>
      </w:pPr>
    </w:p>
    <w:p>
      <w:pPr>
        <w:ind w:left="1720" w:hanging="416"/>
        <w:spacing w:after="0"/>
        <w:tabs>
          <w:tab w:leader="none" w:pos="172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10.18</w:t>
      </w:r>
      <w:r>
        <w:rPr>
          <w:rFonts w:ascii="Arial" w:cs="Arial" w:eastAsia="Arial" w:hAnsi="Arial"/>
          <w:sz w:val="20"/>
          <w:szCs w:val="20"/>
          <w:color w:val="auto"/>
        </w:rPr>
        <w:t>, the following terms have the following meanings:</w:t>
      </w:r>
    </w:p>
    <w:p>
      <w:pPr>
        <w:spacing w:after="0" w:line="189" w:lineRule="exact"/>
        <w:rPr>
          <w:sz w:val="20"/>
          <w:szCs w:val="20"/>
          <w:color w:val="auto"/>
        </w:rPr>
      </w:pPr>
    </w:p>
    <w:p>
      <w:pPr>
        <w:ind w:left="1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6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QFC Entity</w:t>
      </w:r>
      <w:r>
        <w:rPr>
          <w:rFonts w:ascii="Arial" w:cs="Arial" w:eastAsia="Arial" w:hAnsi="Arial"/>
          <w:sz w:val="20"/>
          <w:szCs w:val="20"/>
          <w:color w:val="auto"/>
        </w:rPr>
        <w:t>” means any of the following:</w:t>
      </w:r>
    </w:p>
    <w:p>
      <w:pPr>
        <w:spacing w:after="0" w:line="67" w:lineRule="exact"/>
        <w:rPr>
          <w:sz w:val="20"/>
          <w:szCs w:val="20"/>
          <w:color w:val="auto"/>
        </w:rPr>
      </w:pPr>
    </w:p>
    <w:p>
      <w:pPr>
        <w:ind w:left="2980" w:hanging="380"/>
        <w:spacing w:after="0"/>
        <w:tabs>
          <w:tab w:leader="none" w:pos="2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11" w:lineRule="exact"/>
        <w:rPr>
          <w:rFonts w:ascii="Arial" w:cs="Arial" w:eastAsia="Arial" w:hAnsi="Arial"/>
          <w:sz w:val="18"/>
          <w:szCs w:val="18"/>
          <w:color w:val="auto"/>
        </w:rPr>
      </w:pPr>
    </w:p>
    <w:p>
      <w:pPr>
        <w:ind w:left="3040" w:hanging="440"/>
        <w:spacing w:after="0"/>
        <w:tabs>
          <w:tab w:leader="none" w:pos="30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11" w:lineRule="exact"/>
        <w:rPr>
          <w:rFonts w:ascii="Arial" w:cs="Arial" w:eastAsia="Arial" w:hAnsi="Arial"/>
          <w:sz w:val="18"/>
          <w:szCs w:val="18"/>
          <w:color w:val="auto"/>
        </w:rPr>
      </w:pPr>
    </w:p>
    <w:p>
      <w:pPr>
        <w:ind w:left="3100" w:hanging="500"/>
        <w:spacing w:after="0"/>
        <w:tabs>
          <w:tab w:leader="none" w:pos="31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98" w:lineRule="exact"/>
        <w:rPr>
          <w:sz w:val="20"/>
          <w:szCs w:val="20"/>
          <w:color w:val="auto"/>
        </w:rPr>
      </w:pPr>
    </w:p>
    <w:p>
      <w:pPr>
        <w:ind w:left="13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96" w:lineRule="exact"/>
        <w:rPr>
          <w:sz w:val="20"/>
          <w:szCs w:val="20"/>
          <w:color w:val="auto"/>
        </w:rPr>
      </w:pPr>
    </w:p>
    <w:p>
      <w:pPr>
        <w:ind w:left="1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40"/>
          </w:cols>
          <w:pgMar w:left="320" w:top="1440"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44" w:lineRule="exact"/>
        <w:rPr>
          <w:sz w:val="20"/>
          <w:szCs w:val="20"/>
          <w:color w:val="auto"/>
        </w:rPr>
      </w:pPr>
    </w:p>
    <w:p>
      <w:pPr>
        <w:ind w:left="340" w:hanging="332"/>
        <w:spacing w:after="0"/>
        <w:tabs>
          <w:tab w:leader="none" w:pos="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2023</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57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Lansing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Steven P. Weber, certify that:</w:t>
      </w:r>
    </w:p>
    <w:p>
      <w:pPr>
        <w:spacing w:after="0" w:line="252" w:lineRule="exact"/>
        <w:rPr>
          <w:sz w:val="20"/>
          <w:szCs w:val="20"/>
          <w:color w:val="auto"/>
        </w:rPr>
      </w:pPr>
    </w:p>
    <w:p>
      <w:pPr>
        <w:ind w:left="340" w:hanging="332"/>
        <w:spacing w:after="0"/>
        <w:tabs>
          <w:tab w:leader="none" w:pos="3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2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660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P. Weber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Vice President and Interim Chief Financial Officer</w:t>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Date:   January 26, 2023</w:t>
            </w: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LANSING</w:t>
            </w:r>
          </w:p>
        </w:tc>
      </w:tr>
      <w:tr>
        <w:trPr>
          <w:trHeight w:val="222"/>
        </w:trPr>
        <w:tc>
          <w:tcPr>
            <w:tcW w:w="502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William J. Lansing</w:t>
            </w:r>
          </w:p>
        </w:tc>
      </w:tr>
      <w:tr>
        <w:trPr>
          <w:trHeight w:val="230"/>
        </w:trPr>
        <w:tc>
          <w:tcPr>
            <w:tcW w:w="50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January 26, 2023</w:t>
            </w:r>
          </w:p>
        </w:tc>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P. WEBER</w:t>
            </w:r>
          </w:p>
        </w:tc>
      </w:tr>
      <w:tr>
        <w:trPr>
          <w:trHeight w:val="222"/>
        </w:trPr>
        <w:tc>
          <w:tcPr>
            <w:tcW w:w="49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Steven P. Weber</w:t>
            </w:r>
          </w:p>
        </w:tc>
      </w:tr>
      <w:tr>
        <w:trPr>
          <w:trHeight w:val="230"/>
        </w:trPr>
        <w:tc>
          <w:tcPr>
            <w:tcW w:w="4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Vice President and Interim 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
      <w:numFmt w:val="bullet"/>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1)"/>
      <w:numFmt w:val="decimal"/>
      <w:start w:val="1"/>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1."/>
      <w:numFmt w:val="decimal"/>
      <w:start w:val="8"/>
    </w:lvl>
  </w:abstractNum>
  <w:abstractNum w:abstractNumId="7">
    <w:nsid w:val="288F1A34"/>
    <w:multiLevelType w:val="hybridMultilevel"/>
    <w:lvl w:ilvl="0">
      <w:lvlJc w:val="left"/>
      <w:lvlText w:val="(*)"/>
      <w:numFmt w:val="bullet"/>
      <w:start w:val="1"/>
    </w:lvl>
  </w:abstractNum>
  <w:abstractNum w:abstractNumId="8">
    <w:nsid w:val="2A155DBC"/>
    <w:multiLevelType w:val="hybridMultilevel"/>
    <w:lvl w:ilvl="0">
      <w:lvlJc w:val="left"/>
      <w:lvlText w:val="(%1)"/>
      <w:numFmt w:val="decimal"/>
      <w:start w:val="1"/>
    </w:lvl>
  </w:abstractNum>
  <w:abstractNum w:abstractNumId="9">
    <w:nsid w:val="1D9F6E5F"/>
    <w:multiLevelType w:val="hybridMultilevel"/>
    <w:lvl w:ilvl="0">
      <w:lvlJc w:val="left"/>
      <w:lvlText w:val="(*)"/>
      <w:numFmt w:val="bullet"/>
      <w:start w:val="1"/>
    </w:lvl>
  </w:abstractNum>
  <w:abstractNum w:abstractNumId="10">
    <w:nsid w:val="97E1B4E"/>
    <w:multiLevelType w:val="hybridMultilevel"/>
    <w:lvl w:ilvl="0">
      <w:lvlJc w:val="left"/>
      <w:lvlText w:val="$"/>
      <w:numFmt w:val="bullet"/>
      <w:start w:val="1"/>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
      <w:numFmt w:val="bullet"/>
      <w:start w:val="1"/>
    </w:lvl>
  </w:abstractNum>
  <w:abstractNum w:abstractNumId="14">
    <w:nsid w:val="415E286C"/>
    <w:multiLevelType w:val="hybridMultilevel"/>
    <w:lvl w:ilvl="0">
      <w:lvlJc w:val="left"/>
      <w:lvlText w:val="%1."/>
      <w:numFmt w:val="decimal"/>
      <w:start w:val="9"/>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1)"/>
      <w:numFmt w:val="lowerRoman"/>
      <w:start w:val="1"/>
    </w:lvl>
  </w:abstractNum>
  <w:abstractNum w:abstractNumId="17">
    <w:nsid w:val="45E6D486"/>
    <w:multiLevelType w:val="hybridMultilevel"/>
    <w:lvl w:ilvl="0">
      <w:lvlJc w:val="left"/>
      <w:lvlText w:val="\emdash "/>
      <w:numFmt w:val="bullet"/>
      <w:start w:val="1"/>
    </w:lvl>
  </w:abstractNum>
  <w:abstractNum w:abstractNumId="18">
    <w:nsid w:val="5C10FE21"/>
    <w:multiLevelType w:val="hybridMultilevel"/>
    <w:lvl w:ilvl="0">
      <w:lvlJc w:val="left"/>
      <w:lvlText w:val="•"/>
      <w:numFmt w:val="bullet"/>
      <w:start w:val="1"/>
    </w:lvl>
  </w:abstractNum>
  <w:abstractNum w:abstractNumId="19">
    <w:nsid w:val="E7FFA2B"/>
    <w:multiLevelType w:val="hybridMultilevel"/>
    <w:lvl w:ilvl="0">
      <w:lvlJc w:val="left"/>
      <w:lvlText w:val="(*)"/>
      <w:numFmt w:val="bullet"/>
      <w:start w:val="1"/>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
      <w:numFmt w:val="bullet"/>
      <w:start w:val="1"/>
    </w:lvl>
  </w:abstractNum>
  <w:abstractNum w:abstractNumId="23">
    <w:nsid w:val="39B7AAA2"/>
    <w:multiLevelType w:val="hybridMultilevel"/>
    <w:lvl w:ilvl="0">
      <w:lvlJc w:val="left"/>
      <w:lvlText w:val="(*)"/>
      <w:numFmt w:val="bullet"/>
      <w:start w:val="1"/>
    </w:lvl>
  </w:abstractNum>
  <w:abstractNum w:abstractNumId="24">
    <w:nsid w:val="2B0D8DBE"/>
    <w:multiLevelType w:val="hybridMultilevel"/>
    <w:lvl w:ilvl="0">
      <w:lvlJc w:val="left"/>
      <w:lvlText w:val="(%1)"/>
      <w:numFmt w:val="decimal"/>
      <w:start w:val="1"/>
    </w:lvl>
  </w:abstractNum>
  <w:abstractNum w:abstractNumId="25">
    <w:nsid w:val="6C80EC70"/>
    <w:multiLevelType w:val="hybridMultilevel"/>
    <w:lvl w:ilvl="0">
      <w:lvlJc w:val="left"/>
      <w:lvlText w:val="%1."/>
      <w:numFmt w:val="upperLetter"/>
      <w:start w:val="1"/>
    </w:lvl>
  </w:abstractNum>
  <w:abstractNum w:abstractNumId="26">
    <w:nsid w:val="379E21B5"/>
    <w:multiLevelType w:val="hybridMultilevel"/>
    <w:lvl w:ilvl="0">
      <w:lvlJc w:val="left"/>
      <w:lvlText w:val="%1."/>
      <w:numFmt w:val="decimal"/>
      <w:start w:val="1"/>
    </w:lvl>
    <w:lvl w:ilvl="1">
      <w:lvlJc w:val="left"/>
      <w:lvlText w:val="(%2)"/>
      <w:numFmt w:val="lowerLetter"/>
      <w:start w:val="1"/>
    </w:lvl>
  </w:abstractNum>
  <w:abstractNum w:abstractNumId="27">
    <w:nsid w:val="69E373"/>
    <w:multiLevelType w:val="hybridMultilevel"/>
    <w:lvl w:ilvl="0">
      <w:lvlJc w:val="left"/>
      <w:lvlText w:val="%1."/>
      <w:numFmt w:val="decimal"/>
      <w:start w:val="4"/>
    </w:lvl>
    <w:lvl w:ilvl="1">
      <w:lvlJc w:val="left"/>
      <w:lvlText w:val="(%2)"/>
      <w:numFmt w:val="lowerLetter"/>
      <w:start w:val="1"/>
    </w:lvl>
  </w:abstractNum>
  <w:abstractNum w:abstractNumId="28">
    <w:nsid w:val="2C27173B"/>
    <w:multiLevelType w:val="hybridMultilevel"/>
    <w:lvl w:ilvl="0">
      <w:lvlJc w:val="left"/>
      <w:lvlText w:val="%1"/>
      <w:numFmt w:val="decimal"/>
      <w:start w:val="1"/>
    </w:lvl>
    <w:lvl w:ilvl="1">
      <w:lvlJc w:val="left"/>
      <w:lvlText w:val="(%2)"/>
      <w:numFmt w:val="lowerLetter"/>
      <w:start w:val="2"/>
    </w:lvl>
  </w:abstractNum>
  <w:abstractNum w:abstractNumId="29">
    <w:nsid w:val="4C9B0904"/>
    <w:multiLevelType w:val="hybridMultilevel"/>
    <w:lvl w:ilvl="0">
      <w:lvlJc w:val="left"/>
      <w:lvlText w:val="%1."/>
      <w:numFmt w:val="decimal"/>
      <w:start w:val="6"/>
    </w:lvl>
    <w:lvl w:ilvl="1">
      <w:lvlJc w:val="left"/>
      <w:lvlText w:val="%2"/>
      <w:numFmt w:val="lowerLetter"/>
      <w:start w:val="1"/>
    </w:lvl>
  </w:abstractNum>
  <w:abstractNum w:abstractNumId="30">
    <w:nsid w:val="6AA7B75C"/>
    <w:multiLevelType w:val="hybridMultilevel"/>
    <w:lvl w:ilvl="0">
      <w:lvlJc w:val="left"/>
      <w:lvlText w:val="%1."/>
      <w:numFmt w:val="decimal"/>
      <w:start w:val="1"/>
    </w:lvl>
    <w:lvl w:ilvl="1">
      <w:lvlJc w:val="left"/>
      <w:lvlText w:val="(%2)"/>
      <w:numFmt w:val="lowerLetter"/>
      <w:start w:val="1"/>
    </w:lvl>
  </w:abstractNum>
  <w:abstractNum w:abstractNumId="31">
    <w:nsid w:val="1DF029D3"/>
    <w:multiLevelType w:val="hybridMultilevel"/>
    <w:lvl w:ilvl="0">
      <w:lvlJc w:val="left"/>
      <w:lvlText w:val="%1"/>
      <w:numFmt w:val="decimal"/>
      <w:start w:val="1"/>
    </w:lvl>
    <w:lvl w:ilvl="1">
      <w:lvlJc w:val="left"/>
      <w:lvlText w:val="(%2)"/>
      <w:numFmt w:val="lowerLetter"/>
      <w:start w:val="2"/>
    </w:lvl>
  </w:abstractNum>
  <w:abstractNum w:abstractNumId="32">
    <w:nsid w:val="5675FF36"/>
    <w:multiLevelType w:val="hybridMultilevel"/>
    <w:lvl w:ilvl="0">
      <w:lvlJc w:val="left"/>
      <w:lvlText w:val="%1."/>
      <w:numFmt w:val="decimal"/>
      <w:start w:val="4"/>
    </w:lvl>
    <w:lvl w:ilvl="1">
      <w:lvlJc w:val="left"/>
      <w:lvlText w:val="%2"/>
      <w:numFmt w:val="lowerLetter"/>
      <w:start w:val="1"/>
    </w:lvl>
  </w:abstractNum>
  <w:abstractNum w:abstractNumId="33">
    <w:nsid w:val="3DD15094"/>
    <w:multiLevelType w:val="hybridMultilevel"/>
    <w:lvl w:ilvl="0">
      <w:lvlJc w:val="left"/>
      <w:lvlText w:val="%1."/>
      <w:numFmt w:val="decimal"/>
      <w:start w:val="1"/>
    </w:lvl>
    <w:lvl w:ilvl="1">
      <w:lvlJc w:val="left"/>
      <w:lvlText w:val="(%2)"/>
      <w:numFmt w:val="lowerLetter"/>
      <w:start w:val="1"/>
    </w:lvl>
  </w:abstractNum>
  <w:abstractNum w:abstractNumId="34">
    <w:nsid w:val="3DB012B3"/>
    <w:multiLevelType w:val="hybridMultilevel"/>
    <w:lvl w:ilvl="0">
      <w:lvlJc w:val="left"/>
      <w:lvlText w:val="%1."/>
      <w:numFmt w:val="decimal"/>
      <w:start w:val="1"/>
    </w:lvl>
    <w:lvl w:ilvl="1">
      <w:lvlJc w:val="left"/>
      <w:lvlText w:val="(%2)"/>
      <w:numFmt w:val="lowerLetter"/>
      <w:start w:val="1"/>
    </w:lvl>
  </w:abstractNum>
  <w:abstractNum w:abstractNumId="35">
    <w:nsid w:val="2708C9AF"/>
    <w:multiLevelType w:val="hybridMultilevel"/>
    <w:lvl w:ilvl="0">
      <w:lvlJc w:val="left"/>
      <w:lvlText w:val="B"/>
      <w:numFmt w:val="bullet"/>
      <w:start w:val="1"/>
    </w:lvl>
  </w:abstractNum>
  <w:abstractNum w:abstractNumId="36">
    <w:nsid w:val="5B25ACE2"/>
    <w:multiLevelType w:val="hybridMultilevel"/>
    <w:lvl w:ilvl="0">
      <w:lvlJc w:val="left"/>
      <w:lvlText w:val="(%1)"/>
      <w:numFmt w:val="lowerLetter"/>
      <w:start w:val="1"/>
    </w:lvl>
    <w:lvl w:ilvl="1">
      <w:lvlJc w:val="left"/>
      <w:lvlText w:val="(%2)"/>
      <w:numFmt w:val="decimal"/>
      <w:start w:val="1"/>
    </w:lvl>
  </w:abstractNum>
  <w:abstractNum w:abstractNumId="37">
    <w:nsid w:val="175DFCF0"/>
    <w:multiLevelType w:val="hybridMultilevel"/>
    <w:lvl w:ilvl="0">
      <w:lvlJc w:val="left"/>
      <w:lvlText w:val="(%1)"/>
      <w:numFmt w:val="decimal"/>
      <w:start w:val="3"/>
    </w:lvl>
  </w:abstractNum>
  <w:abstractNum w:abstractNumId="38">
    <w:nsid w:val="4F97E3E4"/>
    <w:multiLevelType w:val="hybridMultilevel"/>
    <w:lvl w:ilvl="0">
      <w:lvlJc w:val="left"/>
      <w:lvlText w:val="%1"/>
      <w:numFmt w:val="decimal"/>
      <w:start w:val="1"/>
    </w:lvl>
    <w:lvl w:ilvl="1">
      <w:lvlJc w:val="left"/>
      <w:lvlText w:val="(%2)"/>
      <w:numFmt w:val="decimal"/>
      <w:start w:val="1"/>
    </w:lvl>
  </w:abstractNum>
  <w:abstractNum w:abstractNumId="39">
    <w:nsid w:val="53B0A9E"/>
    <w:multiLevelType w:val="hybridMultilevel"/>
    <w:lvl w:ilvl="0">
      <w:lvlJc w:val="left"/>
      <w:lvlText w:val="(%1)"/>
      <w:numFmt w:val="decimal"/>
      <w:start w:val="3"/>
    </w:lvl>
    <w:lvl w:ilvl="1">
      <w:lvlJc w:val="left"/>
      <w:lvlText w:val="%2"/>
      <w:numFmt w:val="decimal"/>
      <w:start w:val="1"/>
    </w:lvl>
  </w:abstractNum>
  <w:abstractNum w:abstractNumId="40">
    <w:nsid w:val="34FD6B4F"/>
    <w:multiLevelType w:val="hybridMultilevel"/>
    <w:lvl w:ilvl="0">
      <w:lvlJc w:val="left"/>
      <w:lvlText w:val="(%1)"/>
      <w:numFmt w:val="lowerLetter"/>
      <w:start w:val="1"/>
    </w:lvl>
  </w:abstractNum>
  <w:abstractNum w:abstractNumId="41">
    <w:nsid w:val="5915FF32"/>
    <w:multiLevelType w:val="hybridMultilevel"/>
    <w:lvl w:ilvl="0">
      <w:lvlJc w:val="left"/>
      <w:lvlText w:val="(%1)"/>
      <w:numFmt w:val="lowerLetter"/>
      <w:start w:val="2"/>
    </w:lvl>
  </w:abstractNum>
  <w:abstractNum w:abstractNumId="42">
    <w:nsid w:val="56438D15"/>
    <w:multiLevelType w:val="hybridMultilevel"/>
    <w:lvl w:ilvl="0">
      <w:lvlJc w:val="left"/>
      <w:lvlText w:val="(%1)"/>
      <w:numFmt w:val="lowerLetter"/>
      <w:start w:val="1"/>
    </w:lvl>
    <w:lvl w:ilvl="1">
      <w:lvlJc w:val="left"/>
      <w:lvlText w:val="(%2)"/>
      <w:numFmt w:val="lowerLetter"/>
      <w:start w:val="2"/>
    </w:lvl>
  </w:abstractNum>
  <w:abstractNum w:abstractNumId="43">
    <w:nsid w:val="519E3149"/>
    <w:multiLevelType w:val="hybridMultilevel"/>
    <w:lvl w:ilvl="0">
      <w:lvlJc w:val="left"/>
      <w:lvlText w:val="(%1)"/>
      <w:numFmt w:val="lowerLetter"/>
      <w:start w:val="1"/>
    </w:lvl>
  </w:abstractNum>
  <w:abstractNum w:abstractNumId="44">
    <w:nsid w:val="2C6E4AFD"/>
    <w:multiLevelType w:val="hybridMultilevel"/>
    <w:lvl w:ilvl="0">
      <w:lvlJc w:val="left"/>
      <w:lvlText w:val="(%1)"/>
      <w:numFmt w:val="lowerLetter"/>
      <w:start w:val="1"/>
    </w:lvl>
  </w:abstractNum>
  <w:abstractNum w:abstractNumId="45">
    <w:nsid w:val="17A1B582"/>
    <w:multiLevelType w:val="hybridMultilevel"/>
    <w:lvl w:ilvl="0">
      <w:lvlJc w:val="left"/>
      <w:lvlText w:val="(%1)"/>
      <w:numFmt w:val="lowerRoman"/>
      <w:start w:val="1"/>
    </w:lvl>
  </w:abstractNum>
  <w:abstractNum w:abstractNumId="46">
    <w:nsid w:val="4DF72E4E"/>
    <w:multiLevelType w:val="hybridMultilevel"/>
    <w:lvl w:ilvl="0">
      <w:lvlJc w:val="left"/>
      <w:lvlText w:val="(%1)"/>
      <w:numFmt w:val="lowerLetter"/>
      <w:start w:val="1"/>
    </w:lvl>
  </w:abstractNum>
  <w:abstractNum w:abstractNumId="47">
    <w:nsid w:val="5046B5A9"/>
    <w:multiLevelType w:val="hybridMultilevel"/>
    <w:lvl w:ilvl="0">
      <w:lvlJc w:val="left"/>
      <w:lvlText w:val="(%1)"/>
      <w:numFmt w:val="lowerLetter"/>
      <w:start w:val="3"/>
    </w:lvl>
  </w:abstractNum>
  <w:abstractNum w:abstractNumId="48">
    <w:nsid w:val="5D888A08"/>
    <w:multiLevelType w:val="hybridMultilevel"/>
    <w:lvl w:ilvl="0">
      <w:lvlJc w:val="left"/>
      <w:lvlText w:val="(%1)"/>
      <w:numFmt w:val="lowerLetter"/>
      <w:start w:val="3"/>
    </w:lvl>
    <w:lvl w:ilvl="1">
      <w:lvlJc w:val="left"/>
      <w:lvlText w:val="(%2)"/>
      <w:numFmt w:val="lowerLetter"/>
      <w:start w:val="5"/>
    </w:lvl>
  </w:abstractNum>
  <w:abstractNum w:abstractNumId="49">
    <w:nsid w:val="2A082C70"/>
    <w:multiLevelType w:val="hybridMultilevel"/>
    <w:lvl w:ilvl="0">
      <w:lvlJc w:val="left"/>
      <w:lvlText w:val="(%1)"/>
      <w:numFmt w:val="lowerLetter"/>
      <w:start w:val="1"/>
    </w:lvl>
  </w:abstractNum>
  <w:abstractNum w:abstractNumId="50">
    <w:nsid w:val="5EC6AFD4"/>
    <w:multiLevelType w:val="hybridMultilevel"/>
    <w:lvl w:ilvl="0">
      <w:lvlJc w:val="left"/>
      <w:lvlText w:val="(%1)"/>
      <w:numFmt w:val="lowerLetter"/>
      <w:start w:val="2"/>
    </w:lvl>
  </w:abstractNum>
  <w:abstractNum w:abstractNumId="51">
    <w:nsid w:val="19E21BB2"/>
    <w:multiLevelType w:val="hybridMultilevel"/>
    <w:lvl w:ilvl="0">
      <w:lvlJc w:val="left"/>
      <w:lvlText w:val="%1"/>
      <w:numFmt w:val="lowerLetter"/>
      <w:start w:val="1"/>
    </w:lvl>
    <w:lvl w:ilvl="1">
      <w:lvlJc w:val="left"/>
      <w:lvlText w:val="(%2)"/>
      <w:numFmt w:val="lowerLetter"/>
      <w:start w:val="1"/>
    </w:lvl>
  </w:abstractNum>
  <w:abstractNum w:abstractNumId="52">
    <w:nsid w:val="75E0858A"/>
    <w:multiLevelType w:val="hybridMultilevel"/>
    <w:lvl w:ilvl="0">
      <w:lvlJc w:val="left"/>
      <w:lvlText w:val="(%1)"/>
      <w:numFmt w:val="lowerLetter"/>
      <w:start w:val="9"/>
    </w:lvl>
    <w:lvl w:ilvl="1">
      <w:lvlJc w:val="left"/>
      <w:lvlText w:val="%2"/>
      <w:numFmt w:val="lowerLetter"/>
      <w:start w:val="1"/>
    </w:lvl>
  </w:abstractNum>
  <w:abstractNum w:abstractNumId="53">
    <w:nsid w:val="57A61A29"/>
    <w:multiLevelType w:val="hybridMultilevel"/>
    <w:lvl w:ilvl="0">
      <w:lvlJc w:val="left"/>
      <w:lvlText w:val="(%1)"/>
      <w:numFmt w:val="lowerLetter"/>
      <w:start w:val="2"/>
    </w:lvl>
  </w:abstractNum>
  <w:abstractNum w:abstractNumId="54">
    <w:nsid w:val="5399C654"/>
    <w:multiLevelType w:val="hybridMultilevel"/>
    <w:lvl w:ilvl="0">
      <w:lvlJc w:val="left"/>
      <w:lvlText w:val="(%1)"/>
      <w:numFmt w:val="lowerRoman"/>
      <w:start w:val="1"/>
    </w:lvl>
  </w:abstractNum>
  <w:abstractNum w:abstractNumId="55">
    <w:nsid w:val="20EE1348"/>
    <w:multiLevelType w:val="hybridMultilevel"/>
    <w:lvl w:ilvl="0">
      <w:lvlJc w:val="left"/>
      <w:lvlText w:val="(%1)"/>
      <w:numFmt w:val="lowerRoman"/>
      <w:start w:val="3"/>
    </w:lvl>
  </w:abstractNum>
  <w:abstractNum w:abstractNumId="56">
    <w:nsid w:val="4427069A"/>
    <w:multiLevelType w:val="hybridMultilevel"/>
    <w:lvl w:ilvl="0">
      <w:lvlJc w:val="left"/>
      <w:lvlText w:val="."/>
      <w:numFmt w:val="bullet"/>
      <w:start w:val="1"/>
    </w:lvl>
  </w:abstractNum>
  <w:abstractNum w:abstractNumId="57">
    <w:nsid w:val="B37E80A"/>
    <w:multiLevelType w:val="hybridMultilevel"/>
    <w:lvl w:ilvl="0">
      <w:lvlJc w:val="left"/>
      <w:lvlText w:val="."/>
      <w:numFmt w:val="bullet"/>
      <w:start w:val="1"/>
    </w:lvl>
  </w:abstractNum>
  <w:abstractNum w:abstractNumId="58">
    <w:nsid w:val="2157F6BC"/>
    <w:multiLevelType w:val="hybridMultilevel"/>
    <w:lvl w:ilvl="0">
      <w:lvlJc w:val="left"/>
      <w:lvlText w:val="."/>
      <w:numFmt w:val="bullet"/>
      <w:start w:val="1"/>
    </w:lvl>
  </w:abstractNum>
  <w:abstractNum w:abstractNumId="59">
    <w:nsid w:val="704E1DD5"/>
    <w:multiLevelType w:val="hybridMultilevel"/>
    <w:lvl w:ilvl="0">
      <w:lvlJc w:val="left"/>
      <w:lvlText w:val="(%1)"/>
      <w:numFmt w:val="lowerLetter"/>
      <w:start w:val="1"/>
    </w:lvl>
  </w:abstractNum>
  <w:abstractNum w:abstractNumId="60">
    <w:nsid w:val="57D2F10E"/>
    <w:multiLevelType w:val="hybridMultilevel"/>
    <w:lvl w:ilvl="0">
      <w:lvlJc w:val="left"/>
      <w:lvlText w:val="(%1)"/>
      <w:numFmt w:val="lowerLetter"/>
      <w:start w:val="2"/>
    </w:lvl>
  </w:abstractNum>
  <w:abstractNum w:abstractNumId="61">
    <w:nsid w:val="BFFAE18"/>
    <w:multiLevelType w:val="hybridMultilevel"/>
    <w:lvl w:ilvl="0">
      <w:lvlJc w:val="left"/>
      <w:lvlText w:val="%1"/>
      <w:numFmt w:val="lowerRoman"/>
      <w:start w:val="1"/>
    </w:lvl>
    <w:lvl w:ilvl="1">
      <w:lvlJc w:val="left"/>
      <w:lvlText w:val="(%2)"/>
      <w:numFmt w:val="lowerLetter"/>
      <w:start w:val="6"/>
    </w:lvl>
  </w:abstractNum>
  <w:abstractNum w:abstractNumId="62">
    <w:nsid w:val="E3E47A8"/>
    <w:multiLevelType w:val="hybridMultilevel"/>
    <w:lvl w:ilvl="0">
      <w:lvlJc w:val="left"/>
      <w:lvlText w:val="(%1)"/>
      <w:numFmt w:val="lowerRoman"/>
      <w:start w:val="4"/>
    </w:lvl>
    <w:lvl w:ilvl="1">
      <w:lvlJc w:val="left"/>
      <w:lvlText w:val="%2"/>
      <w:numFmt w:val="lowerLetter"/>
      <w:start w:val="1"/>
    </w:lvl>
  </w:abstractNum>
  <w:abstractNum w:abstractNumId="63">
    <w:nsid w:val="2E48F044"/>
    <w:multiLevelType w:val="hybridMultilevel"/>
    <w:lvl w:ilvl="0">
      <w:lvlJc w:val="left"/>
      <w:lvlText w:val="(%1)"/>
      <w:numFmt w:val="lowerLetter"/>
      <w:start w:val="1"/>
    </w:lvl>
  </w:abstractNum>
  <w:abstractNum w:abstractNumId="64">
    <w:nsid w:val="49D0FEAC"/>
    <w:multiLevelType w:val="hybridMultilevel"/>
    <w:lvl w:ilvl="0">
      <w:lvlJc w:val="left"/>
      <w:lvlText w:val="."/>
      <w:numFmt w:val="bullet"/>
      <w:start w:val="1"/>
    </w:lvl>
  </w:abstractNum>
  <w:abstractNum w:abstractNumId="65">
    <w:nsid w:val="4BEE5A5B"/>
    <w:multiLevelType w:val="hybridMultilevel"/>
    <w:lvl w:ilvl="0">
      <w:lvlJc w:val="left"/>
      <w:lvlText w:val="."/>
      <w:numFmt w:val="bullet"/>
      <w:start w:val="1"/>
    </w:lvl>
  </w:abstractNum>
  <w:abstractNum w:abstractNumId="66">
    <w:nsid w:val="5551B9F3"/>
    <w:multiLevelType w:val="hybridMultilevel"/>
    <w:lvl w:ilvl="0">
      <w:lvlJc w:val="left"/>
      <w:lvlText w:val="(%1)"/>
      <w:numFmt w:val="lowerLetter"/>
      <w:start w:val="1"/>
    </w:lvl>
  </w:abstractNum>
  <w:abstractNum w:abstractNumId="67">
    <w:nsid w:val="24F6AB8E"/>
    <w:multiLevelType w:val="hybridMultilevel"/>
    <w:lvl w:ilvl="0">
      <w:lvlJc w:val="left"/>
      <w:lvlText w:val="."/>
      <w:numFmt w:val="bullet"/>
      <w:start w:val="1"/>
    </w:lvl>
  </w:abstractNum>
  <w:abstractNum w:abstractNumId="68">
    <w:nsid w:val="634C574C"/>
    <w:multiLevelType w:val="hybridMultilevel"/>
    <w:lvl w:ilvl="0">
      <w:lvlJc w:val="left"/>
      <w:lvlText w:val="(%1)"/>
      <w:numFmt w:val="lowerLetter"/>
      <w:start w:val="1"/>
    </w:lvl>
  </w:abstractNum>
  <w:abstractNum w:abstractNumId="69">
    <w:nsid w:val="24E99DD7"/>
    <w:multiLevelType w:val="hybridMultilevel"/>
    <w:lvl w:ilvl="0">
      <w:lvlJc w:val="left"/>
      <w:lvlText w:val="(%1)"/>
      <w:numFmt w:val="lowerLetter"/>
      <w:start w:val="1"/>
    </w:lvl>
  </w:abstractNum>
  <w:abstractNum w:abstractNumId="70">
    <w:nsid w:val="2A31B62D"/>
    <w:multiLevelType w:val="hybridMultilevel"/>
    <w:lvl w:ilvl="0">
      <w:lvlJc w:val="left"/>
      <w:lvlText w:val="(%1)"/>
      <w:numFmt w:val="lowerLetter"/>
      <w:start w:val="1"/>
    </w:lvl>
  </w:abstractNum>
  <w:abstractNum w:abstractNumId="71">
    <w:nsid w:val="1849C29B"/>
    <w:multiLevelType w:val="hybridMultilevel"/>
    <w:lvl w:ilvl="0">
      <w:lvlJc w:val="left"/>
      <w:lvlText w:val="(%1)"/>
      <w:numFmt w:val="lowerLetter"/>
      <w:start w:val="3"/>
    </w:lvl>
    <w:lvl w:ilvl="1">
      <w:lvlJc w:val="left"/>
      <w:lvlText w:val="(%2)"/>
      <w:numFmt w:val="lowerLetter"/>
      <w:start w:val="9"/>
    </w:lvl>
  </w:abstractNum>
  <w:abstractNum w:abstractNumId="72">
    <w:nsid w:val="7DFF9D09"/>
    <w:multiLevelType w:val="hybridMultilevel"/>
    <w:lvl w:ilvl="0">
      <w:lvlJc w:val="left"/>
      <w:lvlText w:val="(%1)"/>
      <w:numFmt w:val="upperLetter"/>
      <w:start w:val="2"/>
    </w:lvl>
  </w:abstractNum>
  <w:abstractNum w:abstractNumId="73">
    <w:nsid w:val="754342"/>
    <w:multiLevelType w:val="hybridMultilevel"/>
    <w:lvl w:ilvl="0">
      <w:lvlJc w:val="left"/>
      <w:lvlText w:val="(%1)"/>
      <w:numFmt w:val="lowerRoman"/>
      <w:start w:val="2"/>
    </w:lvl>
  </w:abstractNum>
  <w:abstractNum w:abstractNumId="74">
    <w:nsid w:val="69E7F3E5"/>
    <w:multiLevelType w:val="hybridMultilevel"/>
    <w:lvl w:ilvl="0">
      <w:lvlJc w:val="left"/>
      <w:lvlText w:val="(%1)"/>
      <w:numFmt w:val="lowerRoman"/>
      <w:start w:val="5"/>
    </w:lvl>
  </w:abstractNum>
  <w:abstractNum w:abstractNumId="75">
    <w:nsid w:val="2A6DE806"/>
    <w:multiLevelType w:val="hybridMultilevel"/>
    <w:lvl w:ilvl="0">
      <w:lvlJc w:val="left"/>
      <w:lvlText w:val="(%1)"/>
      <w:numFmt w:val="lowerLetter"/>
      <w:start w:val="1"/>
    </w:lvl>
  </w:abstractNum>
  <w:abstractNum w:abstractNumId="76">
    <w:nsid w:val="1816F8C4"/>
    <w:multiLevelType w:val="hybridMultilevel"/>
    <w:lvl w:ilvl="0">
      <w:lvlJc w:val="left"/>
      <w:lvlText w:val="(%1)"/>
      <w:numFmt w:val="lowerLetter"/>
      <w:start w:val="4"/>
    </w:lvl>
  </w:abstractNum>
  <w:abstractNum w:abstractNumId="77">
    <w:nsid w:val="37DF2233"/>
    <w:multiLevelType w:val="hybridMultilevel"/>
    <w:lvl w:ilvl="0">
      <w:lvlJc w:val="left"/>
      <w:lvlText w:val="(%1)"/>
      <w:numFmt w:val="lowerLetter"/>
      <w:start w:val="8"/>
    </w:lvl>
  </w:abstractNum>
  <w:abstractNum w:abstractNumId="78">
    <w:nsid w:val="7AB49DAF"/>
    <w:multiLevelType w:val="hybridMultilevel"/>
    <w:lvl w:ilvl="0">
      <w:lvlJc w:val="left"/>
      <w:lvlText w:val="(%1)"/>
      <w:numFmt w:val="lowerLetter"/>
      <w:start w:val="1"/>
    </w:lvl>
    <w:lvl w:ilvl="1">
      <w:lvlJc w:val="left"/>
      <w:lvlText w:val="(%2)"/>
      <w:numFmt w:val="lowerRoman"/>
      <w:start w:val="1"/>
    </w:lvl>
  </w:abstractNum>
  <w:abstractNum w:abstractNumId="79">
    <w:nsid w:val="759F82CD"/>
    <w:multiLevelType w:val="hybridMultilevel"/>
    <w:lvl w:ilvl="0">
      <w:lvlJc w:val="left"/>
      <w:lvlText w:val="(%1)"/>
      <w:numFmt w:val="lowerLetter"/>
      <w:start w:val="2"/>
    </w:lvl>
  </w:abstractNum>
  <w:abstractNum w:abstractNumId="80">
    <w:nsid w:val="61E74EA3"/>
    <w:multiLevelType w:val="hybridMultilevel"/>
    <w:lvl w:ilvl="0">
      <w:lvlJc w:val="left"/>
      <w:lvlText w:val="(%1)"/>
      <w:numFmt w:val="lowerLetter"/>
      <w:start w:val="3"/>
    </w:lvl>
  </w:abstractNum>
  <w:abstractNum w:abstractNumId="81">
    <w:nsid w:val="597B4D84"/>
    <w:multiLevelType w:val="hybridMultilevel"/>
    <w:lvl w:ilvl="0">
      <w:lvlJc w:val="left"/>
      <w:lvlText w:val="(%1)"/>
      <w:numFmt w:val="lowerLetter"/>
      <w:start w:val="3"/>
    </w:lvl>
  </w:abstractNum>
  <w:abstractNum w:abstractNumId="82">
    <w:nsid w:val="F819E7F"/>
    <w:multiLevelType w:val="hybridMultilevel"/>
    <w:lvl w:ilvl="0">
      <w:lvlJc w:val="left"/>
      <w:lvlText w:val="(%1)"/>
      <w:numFmt w:val="lowerLetter"/>
      <w:start w:val="1"/>
    </w:lvl>
  </w:abstractNum>
  <w:abstractNum w:abstractNumId="83">
    <w:nsid w:val="57C7D42D"/>
    <w:multiLevelType w:val="hybridMultilevel"/>
    <w:lvl w:ilvl="0">
      <w:lvlJc w:val="left"/>
      <w:lvlText w:val="(%1)"/>
      <w:numFmt w:val="lowerLetter"/>
      <w:start w:val="3"/>
    </w:lvl>
  </w:abstractNum>
  <w:abstractNum w:abstractNumId="84">
    <w:nsid w:val="312167AD"/>
    <w:multiLevelType w:val="hybridMultilevel"/>
    <w:lvl w:ilvl="0">
      <w:lvlJc w:val="left"/>
      <w:lvlText w:val="(%1)"/>
      <w:numFmt w:val="lowerLetter"/>
      <w:start w:val="6"/>
    </w:lvl>
  </w:abstractNum>
  <w:abstractNum w:abstractNumId="85">
    <w:nsid w:val="631B64D4"/>
    <w:multiLevelType w:val="hybridMultilevel"/>
    <w:lvl w:ilvl="0">
      <w:lvlJc w:val="left"/>
      <w:lvlText w:val="."/>
      <w:numFmt w:val="bullet"/>
      <w:start w:val="1"/>
    </w:lvl>
  </w:abstractNum>
  <w:abstractNum w:abstractNumId="86">
    <w:nsid w:val="78B5E776"/>
    <w:multiLevelType w:val="hybridMultilevel"/>
    <w:lvl w:ilvl="0">
      <w:lvlJc w:val="left"/>
      <w:lvlText w:val="."/>
      <w:numFmt w:val="bullet"/>
      <w:start w:val="1"/>
    </w:lvl>
  </w:abstractNum>
  <w:abstractNum w:abstractNumId="87">
    <w:nsid w:val="75486E47"/>
    <w:multiLevelType w:val="hybridMultilevel"/>
    <w:lvl w:ilvl="0">
      <w:lvlJc w:val="left"/>
      <w:lvlText w:val="."/>
      <w:numFmt w:val="bullet"/>
      <w:start w:val="1"/>
    </w:lvl>
  </w:abstractNum>
  <w:abstractNum w:abstractNumId="88">
    <w:nsid w:val="6E534CDE"/>
    <w:multiLevelType w:val="hybridMultilevel"/>
    <w:lvl w:ilvl="0">
      <w:lvlJc w:val="left"/>
      <w:lvlText w:val="(%1)"/>
      <w:numFmt w:val="lowerLetter"/>
      <w:start w:val="1"/>
    </w:lvl>
  </w:abstractNum>
  <w:abstractNum w:abstractNumId="89">
    <w:nsid w:val="1A0DDE32"/>
    <w:multiLevelType w:val="hybridMultilevel"/>
    <w:lvl w:ilvl="0">
      <w:lvlJc w:val="left"/>
      <w:lvlText w:val="(%1)"/>
      <w:numFmt w:val="lowerRoman"/>
      <w:start w:val="1"/>
    </w:lvl>
    <w:lvl w:ilvl="1">
      <w:lvlJc w:val="left"/>
      <w:lvlText w:val="(%2)"/>
      <w:numFmt w:val="decimal"/>
      <w:start w:val="1"/>
    </w:lvl>
  </w:abstractNum>
  <w:abstractNum w:abstractNumId="90">
    <w:nsid w:val="65968C1C"/>
    <w:multiLevelType w:val="hybridMultilevel"/>
    <w:lvl w:ilvl="0">
      <w:lvlJc w:val="left"/>
      <w:lvlText w:val="(%1)"/>
      <w:numFmt w:val="decimal"/>
      <w:start w:val="3"/>
    </w:lvl>
  </w:abstractNum>
  <w:abstractNum w:abstractNumId="91">
    <w:nsid w:val="46263DEC"/>
    <w:multiLevelType w:val="hybridMultilevel"/>
    <w:lvl w:ilvl="0">
      <w:lvlJc w:val="left"/>
      <w:lvlText w:val="(%1)"/>
      <w:numFmt w:val="lowerLetter"/>
      <w:start w:val="2"/>
    </w:lvl>
  </w:abstractNum>
  <w:abstractNum w:abstractNumId="92">
    <w:nsid w:val="260D8C4A"/>
    <w:multiLevelType w:val="hybridMultilevel"/>
    <w:lvl w:ilvl="0">
      <w:lvlJc w:val="left"/>
      <w:lvlText w:val="(%1)"/>
      <w:numFmt w:val="lowerLetter"/>
      <w:start w:val="5"/>
    </w:lvl>
  </w:abstractNum>
  <w:abstractNum w:abstractNumId="93">
    <w:nsid w:val="73D4D3C4"/>
    <w:multiLevelType w:val="hybridMultilevel"/>
    <w:lvl w:ilvl="0">
      <w:lvlJc w:val="left"/>
      <w:lvlText w:val="(%1)"/>
      <w:numFmt w:val="lowerLetter"/>
      <w:start w:val="1"/>
    </w:lvl>
  </w:abstractNum>
  <w:abstractNum w:abstractNumId="94">
    <w:nsid w:val="746F2E30"/>
    <w:multiLevelType w:val="hybridMultilevel"/>
    <w:lvl w:ilvl="0">
      <w:lvlJc w:val="left"/>
      <w:lvlText w:val="(%1)"/>
      <w:numFmt w:val="lowerLetter"/>
      <w:start w:val="2"/>
    </w:lvl>
  </w:abstractNum>
  <w:abstractNum w:abstractNumId="95">
    <w:nsid w:val="6FDE8AF6"/>
    <w:multiLevelType w:val="hybridMultilevel"/>
    <w:lvl w:ilvl="0">
      <w:lvlJc w:val="left"/>
      <w:lvlText w:val="(%1)"/>
      <w:numFmt w:val="lowerLetter"/>
      <w:start w:val="1"/>
    </w:lvl>
  </w:abstractNum>
  <w:abstractNum w:abstractNumId="96">
    <w:nsid w:val="3FC32E20"/>
    <w:multiLevelType w:val="hybridMultilevel"/>
    <w:lvl w:ilvl="0">
      <w:lvlJc w:val="left"/>
      <w:lvlText w:val="(%1)"/>
      <w:numFmt w:val="lowerLetter"/>
      <w:start w:val="2"/>
    </w:lvl>
  </w:abstractNum>
  <w:abstractNum w:abstractNumId="97">
    <w:nsid w:val="49C0E823"/>
    <w:multiLevelType w:val="hybridMultilevel"/>
    <w:lvl w:ilvl="0">
      <w:lvlJc w:val="left"/>
      <w:lvlText w:val="(%1)"/>
      <w:numFmt w:val="lowerLetter"/>
      <w:start w:val="1"/>
    </w:lvl>
  </w:abstractNum>
  <w:abstractNum w:abstractNumId="98">
    <w:nsid w:val="14D53685"/>
    <w:multiLevelType w:val="hybridMultilevel"/>
    <w:lvl w:ilvl="0">
      <w:lvlJc w:val="left"/>
      <w:lvlText w:val="."/>
      <w:numFmt w:val="bullet"/>
      <w:start w:val="1"/>
    </w:lvl>
  </w:abstractNum>
  <w:abstractNum w:abstractNumId="99">
    <w:nsid w:val="230F856C"/>
    <w:multiLevelType w:val="hybridMultilevel"/>
    <w:lvl w:ilvl="0">
      <w:lvlJc w:val="left"/>
      <w:lvlText w:val="(%1)"/>
      <w:numFmt w:val="lowerLetter"/>
      <w:start w:val="1"/>
    </w:lvl>
  </w:abstractNum>
  <w:abstractNum w:abstractNumId="100">
    <w:nsid w:val="6EAA85FB"/>
    <w:multiLevelType w:val="hybridMultilevel"/>
    <w:lvl w:ilvl="0">
      <w:lvlJc w:val="left"/>
      <w:lvlText w:val="(%1)"/>
      <w:numFmt w:val="lowerLetter"/>
      <w:start w:val="1"/>
    </w:lvl>
  </w:abstractNum>
  <w:abstractNum w:abstractNumId="101">
    <w:nsid w:val="3F06ECB2"/>
    <w:multiLevelType w:val="hybridMultilevel"/>
    <w:lvl w:ilvl="0">
      <w:lvlJc w:val="left"/>
      <w:lvlText w:val="(%1)"/>
      <w:numFmt w:val="lowerLetter"/>
      <w:start w:val="2"/>
    </w:lvl>
  </w:abstractNum>
  <w:abstractNum w:abstractNumId="102">
    <w:nsid w:val="3B594807"/>
    <w:multiLevelType w:val="hybridMultilevel"/>
    <w:lvl w:ilvl="0">
      <w:lvlJc w:val="left"/>
      <w:lvlText w:val="."/>
      <w:numFmt w:val="bullet"/>
      <w:start w:val="1"/>
    </w:lvl>
  </w:abstractNum>
  <w:abstractNum w:abstractNumId="103">
    <w:nsid w:val="6CAA2304"/>
    <w:multiLevelType w:val="hybridMultilevel"/>
    <w:lvl w:ilvl="0">
      <w:lvlJc w:val="left"/>
      <w:lvlText w:val="."/>
      <w:numFmt w:val="bullet"/>
      <w:start w:val="1"/>
    </w:lvl>
  </w:abstractNum>
  <w:abstractNum w:abstractNumId="104">
    <w:nsid w:val="3F7C2FF4"/>
    <w:multiLevelType w:val="hybridMultilevel"/>
    <w:lvl w:ilvl="0">
      <w:lvlJc w:val="left"/>
      <w:lvlText w:val="."/>
      <w:numFmt w:val="bullet"/>
      <w:start w:val="1"/>
    </w:lvl>
  </w:abstractNum>
  <w:abstractNum w:abstractNumId="105">
    <w:nsid w:val="25413BEC"/>
    <w:multiLevelType w:val="hybridMultilevel"/>
    <w:lvl w:ilvl="0">
      <w:lvlJc w:val="left"/>
      <w:lvlText w:val="."/>
      <w:numFmt w:val="bullet"/>
      <w:start w:val="1"/>
    </w:lvl>
  </w:abstractNum>
  <w:abstractNum w:abstractNumId="106">
    <w:nsid w:val="17180B0B"/>
    <w:multiLevelType w:val="hybridMultilevel"/>
    <w:lvl w:ilvl="0">
      <w:lvlJc w:val="left"/>
      <w:lvlText w:val="."/>
      <w:numFmt w:val="bullet"/>
      <w:start w:val="1"/>
    </w:lvl>
  </w:abstractNum>
  <w:abstractNum w:abstractNumId="107">
    <w:nsid w:val="579328B9"/>
    <w:multiLevelType w:val="hybridMultilevel"/>
    <w:lvl w:ilvl="0">
      <w:lvlJc w:val="left"/>
      <w:lvlText w:val="."/>
      <w:numFmt w:val="bullet"/>
      <w:start w:val="1"/>
    </w:lvl>
  </w:abstractNum>
  <w:abstractNum w:abstractNumId="108">
    <w:nsid w:val="5D205E20"/>
    <w:multiLevelType w:val="hybridMultilevel"/>
    <w:lvl w:ilvl="0">
      <w:lvlJc w:val="left"/>
      <w:lvlText w:val="."/>
      <w:numFmt w:val="bullet"/>
      <w:start w:val="1"/>
    </w:lvl>
  </w:abstractNum>
  <w:abstractNum w:abstractNumId="109">
    <w:nsid w:val="11CCA8BA"/>
    <w:multiLevelType w:val="hybridMultilevel"/>
    <w:lvl w:ilvl="0">
      <w:lvlJc w:val="left"/>
      <w:lvlText w:val="."/>
      <w:numFmt w:val="bullet"/>
      <w:start w:val="1"/>
    </w:lvl>
  </w:abstractNum>
  <w:abstractNum w:abstractNumId="110">
    <w:nsid w:val="4D32AB86"/>
    <w:multiLevelType w:val="hybridMultilevel"/>
    <w:lvl w:ilvl="0">
      <w:lvlJc w:val="left"/>
      <w:lvlText w:val="(%1)"/>
      <w:numFmt w:val="lowerLetter"/>
      <w:start w:val="1"/>
    </w:lvl>
  </w:abstractNum>
  <w:abstractNum w:abstractNumId="111">
    <w:nsid w:val="3F07ACC3"/>
    <w:multiLevelType w:val="hybridMultilevel"/>
    <w:lvl w:ilvl="0">
      <w:lvlJc w:val="left"/>
      <w:lvlText w:val="."/>
      <w:numFmt w:val="bullet"/>
      <w:start w:val="1"/>
    </w:lvl>
  </w:abstractNum>
  <w:abstractNum w:abstractNumId="112">
    <w:nsid w:val="6B47F63E"/>
    <w:multiLevelType w:val="hybridMultilevel"/>
    <w:lvl w:ilvl="0">
      <w:lvlJc w:val="left"/>
      <w:lvlText w:val="."/>
      <w:numFmt w:val="bullet"/>
      <w:start w:val="1"/>
    </w:lvl>
  </w:abstractNum>
  <w:abstractNum w:abstractNumId="113">
    <w:nsid w:val="5CB44A05"/>
    <w:multiLevelType w:val="hybridMultilevel"/>
    <w:lvl w:ilvl="0">
      <w:lvlJc w:val="left"/>
      <w:lvlText w:val="."/>
      <w:numFmt w:val="bullet"/>
      <w:start w:val="1"/>
    </w:lvl>
  </w:abstractNum>
  <w:abstractNum w:abstractNumId="114">
    <w:nsid w:val="16CF80F1"/>
    <w:multiLevelType w:val="hybridMultilevel"/>
    <w:lvl w:ilvl="0">
      <w:lvlJc w:val="left"/>
      <w:lvlText w:val="."/>
      <w:numFmt w:val="bullet"/>
      <w:start w:val="1"/>
    </w:lvl>
  </w:abstractNum>
  <w:abstractNum w:abstractNumId="115">
    <w:nsid w:val="1C695DEC"/>
    <w:multiLevelType w:val="hybridMultilevel"/>
    <w:lvl w:ilvl="0">
      <w:lvlJc w:val="left"/>
      <w:lvlText w:val="."/>
      <w:numFmt w:val="bullet"/>
      <w:start w:val="1"/>
    </w:lvl>
  </w:abstractNum>
  <w:abstractNum w:abstractNumId="116">
    <w:nsid w:val="3FCFAED9"/>
    <w:multiLevelType w:val="hybridMultilevel"/>
    <w:lvl w:ilvl="0">
      <w:lvlJc w:val="left"/>
      <w:lvlText w:val="."/>
      <w:numFmt w:val="bullet"/>
      <w:start w:val="1"/>
    </w:lvl>
  </w:abstractNum>
  <w:abstractNum w:abstractNumId="117">
    <w:nsid w:val="F856867"/>
    <w:multiLevelType w:val="hybridMultilevel"/>
    <w:lvl w:ilvl="0">
      <w:lvlJc w:val="left"/>
      <w:lvlText w:val="."/>
      <w:numFmt w:val="bullet"/>
      <w:start w:val="1"/>
    </w:lvl>
  </w:abstractNum>
  <w:abstractNum w:abstractNumId="118">
    <w:nsid w:val="11B1CC33"/>
    <w:multiLevelType w:val="hybridMultilevel"/>
    <w:lvl w:ilvl="0">
      <w:lvlJc w:val="left"/>
      <w:lvlText w:val="."/>
      <w:numFmt w:val="bullet"/>
      <w:start w:val="1"/>
    </w:lvl>
  </w:abstractNum>
  <w:abstractNum w:abstractNumId="119">
    <w:nsid w:val="2E22FBB7"/>
    <w:multiLevelType w:val="hybridMultilevel"/>
    <w:lvl w:ilvl="0">
      <w:lvlJc w:val="left"/>
      <w:lvlText w:val="."/>
      <w:numFmt w:val="bullet"/>
      <w:start w:val="1"/>
    </w:lvl>
  </w:abstractNum>
  <w:abstractNum w:abstractNumId="120">
    <w:nsid w:val="29934699"/>
    <w:multiLevelType w:val="hybridMultilevel"/>
    <w:lvl w:ilvl="0">
      <w:lvlJc w:val="left"/>
      <w:lvlText w:val="."/>
      <w:numFmt w:val="bullet"/>
      <w:start w:val="1"/>
    </w:lvl>
  </w:abstractNum>
  <w:abstractNum w:abstractNumId="121">
    <w:nsid w:val="77485850"/>
    <w:multiLevelType w:val="hybridMultilevel"/>
    <w:lvl w:ilvl="0">
      <w:lvlJc w:val="left"/>
      <w:lvlText w:val="."/>
      <w:numFmt w:val="bullet"/>
      <w:start w:val="1"/>
    </w:lvl>
    <w:lvl w:ilvl="1">
      <w:lvlJc w:val="left"/>
      <w:lvlText w:val="(%2)"/>
      <w:numFmt w:val="lowerLetter"/>
      <w:start w:val="1"/>
    </w:lvl>
  </w:abstractNum>
  <w:abstractNum w:abstractNumId="122">
    <w:nsid w:val="744939A3"/>
    <w:multiLevelType w:val="hybridMultilevel"/>
    <w:lvl w:ilvl="0">
      <w:lvlJc w:val="left"/>
      <w:lvlText w:val="(%1)"/>
      <w:numFmt w:val="lowerLetter"/>
      <w:start w:val="4"/>
    </w:lvl>
  </w:abstractNum>
  <w:abstractNum w:abstractNumId="123">
    <w:nsid w:val="4FA0D2E3"/>
    <w:multiLevelType w:val="hybridMultilevel"/>
    <w:lvl w:ilvl="0">
      <w:lvlJc w:val="left"/>
      <w:lvlText w:val="."/>
      <w:numFmt w:val="bullet"/>
      <w:start w:val="1"/>
    </w:lvl>
  </w:abstractNum>
  <w:abstractNum w:abstractNumId="124">
    <w:nsid w:val="6B1D2C14"/>
    <w:multiLevelType w:val="hybridMultilevel"/>
    <w:lvl w:ilvl="0">
      <w:lvlJc w:val="left"/>
      <w:lvlText w:val="."/>
      <w:numFmt w:val="bullet"/>
      <w:start w:val="1"/>
    </w:lvl>
  </w:abstractNum>
  <w:abstractNum w:abstractNumId="125">
    <w:nsid w:val="68B867D3"/>
    <w:multiLevelType w:val="hybridMultilevel"/>
    <w:lvl w:ilvl="0">
      <w:lvlJc w:val="left"/>
      <w:lvlText w:val="."/>
      <w:numFmt w:val="bullet"/>
      <w:start w:val="1"/>
    </w:lvl>
  </w:abstractNum>
  <w:abstractNum w:abstractNumId="126">
    <w:nsid w:val="3F7F5DD9"/>
    <w:multiLevelType w:val="hybridMultilevel"/>
    <w:lvl w:ilvl="0">
      <w:lvlJc w:val="left"/>
      <w:lvlText w:val="(%1)"/>
      <w:numFmt w:val="lowerLetter"/>
      <w:start w:val="1"/>
    </w:lvl>
  </w:abstractNum>
  <w:abstractNum w:abstractNumId="127">
    <w:nsid w:val="2AE05A34"/>
    <w:multiLevelType w:val="hybridMultilevel"/>
    <w:lvl w:ilvl="0">
      <w:lvlJc w:val="left"/>
      <w:lvlText w:val="."/>
      <w:numFmt w:val="bullet"/>
      <w:start w:val="1"/>
    </w:lvl>
  </w:abstractNum>
  <w:abstractNum w:abstractNumId="128">
    <w:nsid w:val="32794FF7"/>
    <w:multiLevelType w:val="hybridMultilevel"/>
    <w:lvl w:ilvl="0">
      <w:lvlJc w:val="left"/>
      <w:lvlText w:val="."/>
      <w:numFmt w:val="bullet"/>
      <w:start w:val="1"/>
    </w:lvl>
  </w:abstractNum>
  <w:abstractNum w:abstractNumId="129">
    <w:nsid w:val="5454945E"/>
    <w:multiLevelType w:val="hybridMultilevel"/>
    <w:lvl w:ilvl="0">
      <w:lvlJc w:val="left"/>
      <w:lvlText w:val="."/>
      <w:numFmt w:val="bullet"/>
      <w:start w:val="1"/>
    </w:lvl>
    <w:lvl w:ilvl="1">
      <w:lvlJc w:val="left"/>
      <w:lvlText w:val="(%2)"/>
      <w:numFmt w:val="lowerLetter"/>
      <w:start w:val="1"/>
    </w:lvl>
  </w:abstractNum>
  <w:abstractNum w:abstractNumId="130">
    <w:nsid w:val="4DEFDFA0"/>
    <w:multiLevelType w:val="hybridMultilevel"/>
    <w:lvl w:ilvl="0">
      <w:lvlJc w:val="left"/>
      <w:lvlText w:val="%1"/>
      <w:numFmt w:val="decimal"/>
      <w:start w:val="1"/>
    </w:lvl>
    <w:lvl w:ilvl="1">
      <w:lvlJc w:val="left"/>
      <w:lvlText w:val="(%2)"/>
      <w:numFmt w:val="lowerRoman"/>
      <w:start w:val="1"/>
    </w:lvl>
  </w:abstractNum>
  <w:abstractNum w:abstractNumId="131">
    <w:nsid w:val="2123D5F2"/>
    <w:multiLevelType w:val="hybridMultilevel"/>
    <w:lvl w:ilvl="0">
      <w:lvlJc w:val="left"/>
      <w:lvlText w:val="(%1)"/>
      <w:numFmt w:val="decimal"/>
      <w:start w:val="5"/>
    </w:lvl>
    <w:lvl w:ilvl="1">
      <w:lvlJc w:val="left"/>
      <w:lvlText w:val="%2"/>
      <w:numFmt w:val="lowerRoman"/>
      <w:start w:val="1"/>
    </w:lvl>
  </w:abstractNum>
  <w:abstractNum w:abstractNumId="132">
    <w:nsid w:val="135B8110"/>
    <w:multiLevelType w:val="hybridMultilevel"/>
    <w:lvl w:ilvl="0">
      <w:lvlJc w:val="left"/>
      <w:lvlText w:val="."/>
      <w:numFmt w:val="bullet"/>
      <w:start w:val="1"/>
    </w:lvl>
    <w:lvl w:ilvl="1">
      <w:lvlJc w:val="left"/>
      <w:lvlText w:val="(%2)"/>
      <w:numFmt w:val="lowerLetter"/>
      <w:start w:val="1"/>
    </w:lvl>
  </w:abstractNum>
  <w:abstractNum w:abstractNumId="133">
    <w:nsid w:val="94927A8"/>
    <w:multiLevelType w:val="hybridMultilevel"/>
    <w:lvl w:ilvl="0">
      <w:lvlJc w:val="left"/>
      <w:lvlText w:val="."/>
      <w:numFmt w:val="bullet"/>
      <w:start w:val="1"/>
    </w:lvl>
    <w:lvl w:ilvl="1">
      <w:lvlJc w:val="left"/>
      <w:lvlText w:val="(%2)"/>
      <w:numFmt w:val="lowerLetter"/>
      <w:start w:val="1"/>
    </w:lvl>
  </w:abstractNum>
  <w:abstractNum w:abstractNumId="134">
    <w:nsid w:val="DCDF8F6"/>
    <w:multiLevelType w:val="hybridMultilevel"/>
    <w:lvl w:ilvl="0">
      <w:lvlJc w:val="left"/>
      <w:lvlText w:val="."/>
      <w:numFmt w:val="bullet"/>
      <w:start w:val="1"/>
    </w:lvl>
    <w:lvl w:ilvl="1">
      <w:lvlJc w:val="left"/>
      <w:lvlText w:val="(%2)"/>
      <w:numFmt w:val="lowerLetter"/>
      <w:start w:val="1"/>
    </w:lvl>
  </w:abstractNum>
  <w:abstractNum w:abstractNumId="135">
    <w:nsid w:val="52D7B105"/>
    <w:multiLevelType w:val="hybridMultilevel"/>
    <w:lvl w:ilvl="0">
      <w:lvlJc w:val="left"/>
      <w:lvlText w:val="(%1)"/>
      <w:numFmt w:val="lowerLetter"/>
      <w:start w:val="2"/>
    </w:lvl>
  </w:abstractNum>
  <w:abstractNum w:abstractNumId="136">
    <w:nsid w:val="2E8A6394"/>
    <w:multiLevelType w:val="hybridMultilevel"/>
    <w:lvl w:ilvl="0">
      <w:lvlJc w:val="left"/>
      <w:lvlText w:val="."/>
      <w:numFmt w:val="bullet"/>
      <w:start w:val="1"/>
    </w:lvl>
  </w:abstractNum>
  <w:abstractNum w:abstractNumId="137">
    <w:nsid w:val="24E60401"/>
    <w:multiLevelType w:val="hybridMultilevel"/>
    <w:lvl w:ilvl="0">
      <w:lvlJc w:val="left"/>
      <w:lvlText w:val="."/>
      <w:numFmt w:val="bullet"/>
      <w:start w:val="1"/>
    </w:lvl>
  </w:abstractNum>
  <w:abstractNum w:abstractNumId="138">
    <w:nsid w:val="2A6AD9BE"/>
    <w:multiLevelType w:val="hybridMultilevel"/>
    <w:lvl w:ilvl="0">
      <w:lvlJc w:val="left"/>
      <w:lvlText w:val="."/>
      <w:numFmt w:val="bullet"/>
      <w:start w:val="1"/>
    </w:lvl>
  </w:abstractNum>
  <w:abstractNum w:abstractNumId="139">
    <w:nsid w:val="BAAC1B4"/>
    <w:multiLevelType w:val="hybridMultilevel"/>
    <w:lvl w:ilvl="0">
      <w:lvlJc w:val="left"/>
      <w:lvlText w:val="."/>
      <w:numFmt w:val="bullet"/>
      <w:start w:val="1"/>
    </w:lvl>
  </w:abstractNum>
  <w:abstractNum w:abstractNumId="140">
    <w:nsid w:val="36B2ACBC"/>
    <w:multiLevelType w:val="hybridMultilevel"/>
    <w:lvl w:ilvl="0">
      <w:lvlJc w:val="left"/>
      <w:lvlText w:val="."/>
      <w:numFmt w:val="bullet"/>
      <w:start w:val="1"/>
    </w:lvl>
    <w:lvl w:ilvl="1">
      <w:lvlJc w:val="left"/>
      <w:lvlText w:val="(%2)"/>
      <w:numFmt w:val="lowerLetter"/>
      <w:start w:val="1"/>
    </w:lvl>
  </w:abstractNum>
  <w:abstractNum w:abstractNumId="141">
    <w:nsid w:val="779D8544"/>
    <w:multiLevelType w:val="hybridMultilevel"/>
    <w:lvl w:ilvl="0">
      <w:lvlJc w:val="left"/>
      <w:lvlText w:val="."/>
      <w:numFmt w:val="bullet"/>
      <w:start w:val="1"/>
    </w:lvl>
  </w:abstractNum>
  <w:abstractNum w:abstractNumId="142">
    <w:nsid w:val="4AB26E78"/>
    <w:multiLevelType w:val="hybridMultilevel"/>
    <w:lvl w:ilvl="0">
      <w:lvlJc w:val="left"/>
      <w:lvlText w:val="(%1)"/>
      <w:numFmt w:val="lowerLetter"/>
      <w:start w:val="1"/>
    </w:lvl>
    <w:lvl w:ilvl="1">
      <w:lvlJc w:val="left"/>
      <w:lvlText w:val="(%2)"/>
      <w:numFmt w:val="lowerRoman"/>
      <w:start w:val="1"/>
    </w:lvl>
  </w:abstractNum>
  <w:abstractNum w:abstractNumId="143">
    <w:nsid w:val="21FAA2FA"/>
    <w:multiLevelType w:val="hybridMultilevel"/>
    <w:lvl w:ilvl="0">
      <w:lvlJc w:val="left"/>
      <w:lvlText w:val="."/>
      <w:numFmt w:val="bullet"/>
      <w:start w:val="1"/>
    </w:lvl>
  </w:abstractNum>
  <w:abstractNum w:abstractNumId="144">
    <w:nsid w:val="5451CF49"/>
    <w:multiLevelType w:val="hybridMultilevel"/>
    <w:lvl w:ilvl="0">
      <w:lvlJc w:val="left"/>
      <w:lvlText w:val="."/>
      <w:numFmt w:val="bullet"/>
      <w:start w:val="1"/>
    </w:lvl>
  </w:abstractNum>
  <w:abstractNum w:abstractNumId="145">
    <w:nsid w:val="6181EF69"/>
    <w:multiLevelType w:val="hybridMultilevel"/>
    <w:lvl w:ilvl="0">
      <w:lvlJc w:val="left"/>
      <w:lvlText w:val="(%1)"/>
      <w:numFmt w:val="lowerLetter"/>
      <w:start w:val="1"/>
    </w:lvl>
  </w:abstractNum>
  <w:abstractNum w:abstractNumId="146">
    <w:nsid w:val="3E6400E6"/>
    <w:multiLevelType w:val="hybridMultilevel"/>
    <w:lvl w:ilvl="0">
      <w:lvlJc w:val="left"/>
      <w:lvlText w:val="%1"/>
      <w:numFmt w:val="lowerLetter"/>
      <w:start w:val="1"/>
    </w:lvl>
    <w:lvl w:ilvl="1">
      <w:lvlJc w:val="left"/>
      <w:lvlText w:val="(%2)"/>
      <w:numFmt w:val="lowerRoman"/>
      <w:start w:val="1"/>
    </w:lvl>
  </w:abstractNum>
  <w:abstractNum w:abstractNumId="147">
    <w:nsid w:val="14217E23"/>
    <w:multiLevelType w:val="hybridMultilevel"/>
    <w:lvl w:ilvl="0">
      <w:lvlJc w:val="left"/>
      <w:lvlText w:val="(%1)"/>
      <w:numFmt w:val="lowerLetter"/>
      <w:start w:val="3"/>
    </w:lvl>
    <w:lvl w:ilvl="1">
      <w:lvlJc w:val="left"/>
      <w:lvlText w:val="%2"/>
      <w:numFmt w:val="lowerRoman"/>
      <w:start w:val="1"/>
    </w:lvl>
  </w:abstractNum>
  <w:abstractNum w:abstractNumId="148">
    <w:nsid w:val="710757D0"/>
    <w:multiLevelType w:val="hybridMultilevel"/>
    <w:lvl w:ilvl="0">
      <w:lvlJc w:val="left"/>
      <w:lvlText w:val="."/>
      <w:numFmt w:val="bullet"/>
      <w:start w:val="1"/>
    </w:lvl>
    <w:lvl w:ilvl="1">
      <w:lvlJc w:val="left"/>
      <w:lvlText w:val="(%2)"/>
      <w:numFmt w:val="lowerLetter"/>
      <w:start w:val="1"/>
    </w:lvl>
  </w:abstractNum>
  <w:abstractNum w:abstractNumId="149">
    <w:nsid w:val="5015CD1A"/>
    <w:multiLevelType w:val="hybridMultilevel"/>
    <w:lvl w:ilvl="0">
      <w:lvlJc w:val="left"/>
      <w:lvlText w:val="(%1)"/>
      <w:numFmt w:val="lowerLetter"/>
      <w:start w:val="5"/>
    </w:lvl>
  </w:abstractNum>
  <w:abstractNum w:abstractNumId="150">
    <w:nsid w:val="424479DA"/>
    <w:multiLevelType w:val="hybridMultilevel"/>
    <w:lvl w:ilvl="0">
      <w:lvlJc w:val="left"/>
      <w:lvlText w:val="."/>
      <w:numFmt w:val="bullet"/>
      <w:start w:val="1"/>
    </w:lvl>
  </w:abstractNum>
  <w:abstractNum w:abstractNumId="151">
    <w:nsid w:val="1A9A9E69"/>
    <w:multiLevelType w:val="hybridMultilevel"/>
    <w:lvl w:ilvl="0">
      <w:lvlJc w:val="left"/>
      <w:lvlText w:val="."/>
      <w:numFmt w:val="bullet"/>
      <w:start w:val="1"/>
    </w:lvl>
  </w:abstractNum>
  <w:abstractNum w:abstractNumId="152">
    <w:nsid w:val="475E256A"/>
    <w:multiLevelType w:val="hybridMultilevel"/>
    <w:lvl w:ilvl="0">
      <w:lvlJc w:val="left"/>
      <w:lvlText w:val="."/>
      <w:numFmt w:val="bullet"/>
      <w:start w:val="1"/>
    </w:lvl>
  </w:abstractNum>
  <w:abstractNum w:abstractNumId="153">
    <w:nsid w:val="368DB37E"/>
    <w:multiLevelType w:val="hybridMultilevel"/>
    <w:lvl w:ilvl="0">
      <w:lvlJc w:val="left"/>
      <w:lvlText w:val="."/>
      <w:numFmt w:val="bullet"/>
      <w:start w:val="1"/>
    </w:lvl>
  </w:abstractNum>
  <w:abstractNum w:abstractNumId="154">
    <w:nsid w:val="6A3B714C"/>
    <w:multiLevelType w:val="hybridMultilevel"/>
    <w:lvl w:ilvl="0">
      <w:lvlJc w:val="left"/>
      <w:lvlText w:val="."/>
      <w:numFmt w:val="bullet"/>
      <w:start w:val="1"/>
    </w:lvl>
  </w:abstractNum>
  <w:abstractNum w:abstractNumId="155">
    <w:nsid w:val="327B517E"/>
    <w:multiLevelType w:val="hybridMultilevel"/>
    <w:lvl w:ilvl="0">
      <w:lvlJc w:val="left"/>
      <w:lvlText w:val="."/>
      <w:numFmt w:val="bullet"/>
      <w:start w:val="1"/>
    </w:lvl>
  </w:abstractNum>
  <w:abstractNum w:abstractNumId="156">
    <w:nsid w:val="1F461B51"/>
    <w:multiLevelType w:val="hybridMultilevel"/>
    <w:lvl w:ilvl="0">
      <w:lvlJc w:val="left"/>
      <w:lvlText w:val="%1"/>
      <w:numFmt w:val="lowerLetter"/>
      <w:start w:val="1"/>
    </w:lvl>
    <w:lvl w:ilvl="1">
      <w:lvlJc w:val="left"/>
      <w:lvlText w:val="(%2)"/>
      <w:numFmt w:val="lowerLetter"/>
      <w:start w:val="1"/>
    </w:lvl>
  </w:abstractNum>
  <w:abstractNum w:abstractNumId="157">
    <w:nsid w:val="29BACF25"/>
    <w:multiLevelType w:val="hybridMultilevel"/>
    <w:lvl w:ilvl="0">
      <w:lvlJc w:val="left"/>
      <w:lvlText w:val="(%1)"/>
      <w:numFmt w:val="lowerLetter"/>
      <w:start w:val="61"/>
    </w:lvl>
    <w:lvl w:ilvl="1">
      <w:lvlJc w:val="left"/>
      <w:lvlText w:val="(%2)"/>
      <w:numFmt w:val="lowerLetter"/>
      <w:start w:val="2"/>
    </w:lvl>
  </w:abstractNum>
  <w:abstractNum w:abstractNumId="158">
    <w:nsid w:val="5D5BABB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59">
    <w:nsid w:val="51BF6B48"/>
    <w:multiLevelType w:val="hybridMultilevel"/>
    <w:lvl w:ilvl="0">
      <w:lvlJc w:val="left"/>
      <w:lvlText w:val="(%1)"/>
      <w:numFmt w:val="lowerLetter"/>
      <w:start w:val="1"/>
    </w:lvl>
  </w:abstractNum>
  <w:abstractNum w:abstractNumId="160">
    <w:nsid w:val="7E0F6384"/>
    <w:multiLevelType w:val="hybridMultilevel"/>
    <w:lvl w:ilvl="0">
      <w:lvlJc w:val="left"/>
      <w:lvlText w:val="(%1)"/>
      <w:numFmt w:val="lowerLetter"/>
      <w:start w:val="3"/>
    </w:lvl>
  </w:abstractNum>
  <w:abstractNum w:abstractNumId="161">
    <w:nsid w:val="2B4B8B53"/>
    <w:multiLevelType w:val="hybridMultilevel"/>
    <w:lvl w:ilvl="0">
      <w:lvlJc w:val="left"/>
      <w:lvlText w:val="(%1)"/>
      <w:numFmt w:val="lowerRoman"/>
      <w:start w:val="6"/>
    </w:lvl>
    <w:lvl w:ilvl="1">
      <w:lvlJc w:val="left"/>
      <w:lvlText w:val="(%2)"/>
      <w:numFmt w:val="lowerLetter"/>
      <w:start w:val="9"/>
    </w:lvl>
  </w:abstractNum>
  <w:abstractNum w:abstractNumId="162">
    <w:nsid w:val="72E3413A"/>
    <w:multiLevelType w:val="hybridMultilevel"/>
    <w:lvl w:ilvl="0">
      <w:lvlJc w:val="left"/>
      <w:lvlText w:val="."/>
      <w:numFmt w:val="bullet"/>
      <w:start w:val="1"/>
    </w:lvl>
  </w:abstractNum>
  <w:abstractNum w:abstractNumId="163">
    <w:nsid w:val="116AE494"/>
    <w:multiLevelType w:val="hybridMultilevel"/>
    <w:lvl w:ilvl="0">
      <w:lvlJc w:val="left"/>
      <w:lvlText w:val="."/>
      <w:numFmt w:val="bullet"/>
      <w:start w:val="1"/>
    </w:lvl>
  </w:abstractNum>
  <w:abstractNum w:abstractNumId="164">
    <w:nsid w:val="3494B2FB"/>
    <w:multiLevelType w:val="hybridMultilevel"/>
    <w:lvl w:ilvl="0">
      <w:lvlJc w:val="left"/>
      <w:lvlText w:val="."/>
      <w:numFmt w:val="bullet"/>
      <w:start w:val="1"/>
    </w:lvl>
  </w:abstractNum>
  <w:abstractNum w:abstractNumId="165">
    <w:nsid w:val="B13A31"/>
    <w:multiLevelType w:val="hybridMultilevel"/>
    <w:lvl w:ilvl="0">
      <w:lvlJc w:val="left"/>
      <w:lvlText w:val="."/>
      <w:numFmt w:val="bullet"/>
      <w:start w:val="1"/>
    </w:lvl>
  </w:abstractNum>
  <w:abstractNum w:abstractNumId="166">
    <w:nsid w:val="64429599"/>
    <w:multiLevelType w:val="hybridMultilevel"/>
    <w:lvl w:ilvl="0">
      <w:lvlJc w:val="left"/>
      <w:lvlText w:val="."/>
      <w:numFmt w:val="bullet"/>
      <w:start w:val="1"/>
    </w:lvl>
  </w:abstractNum>
  <w:abstractNum w:abstractNumId="167">
    <w:nsid w:val="631F1690"/>
    <w:multiLevelType w:val="hybridMultilevel"/>
    <w:lvl w:ilvl="0">
      <w:lvlJc w:val="left"/>
      <w:lvlText w:val="."/>
      <w:numFmt w:val="bullet"/>
      <w:start w:val="1"/>
    </w:lvl>
  </w:abstractNum>
  <w:abstractNum w:abstractNumId="168">
    <w:nsid w:val="25973E32"/>
    <w:multiLevelType w:val="hybridMultilevel"/>
    <w:lvl w:ilvl="0">
      <w:lvlJc w:val="left"/>
      <w:lvlText w:val="."/>
      <w:numFmt w:val="bullet"/>
      <w:start w:val="1"/>
    </w:lvl>
  </w:abstractNum>
  <w:abstractNum w:abstractNumId="169">
    <w:nsid w:val="EAD6F57"/>
    <w:multiLevelType w:val="hybridMultilevel"/>
    <w:lvl w:ilvl="0">
      <w:lvlJc w:val="left"/>
      <w:lvlText w:val="."/>
      <w:numFmt w:val="bullet"/>
      <w:start w:val="1"/>
    </w:lvl>
  </w:abstractNum>
  <w:abstractNum w:abstractNumId="170">
    <w:nsid w:val="6EC9D844"/>
    <w:multiLevelType w:val="hybridMultilevel"/>
    <w:lvl w:ilvl="0">
      <w:lvlJc w:val="left"/>
      <w:lvlText w:val="."/>
      <w:numFmt w:val="bullet"/>
      <w:start w:val="1"/>
    </w:lvl>
  </w:abstractNum>
  <w:abstractNum w:abstractNumId="171">
    <w:nsid w:val="5C49EAEE"/>
    <w:multiLevelType w:val="hybridMultilevel"/>
    <w:lvl w:ilvl="0">
      <w:lvlJc w:val="left"/>
      <w:lvlText w:val="(%1)"/>
      <w:numFmt w:val="lowerLetter"/>
      <w:start w:val="1"/>
    </w:lvl>
    <w:lvl w:ilvl="1">
      <w:lvlJc w:val="left"/>
      <w:lvlText w:val="(%2)"/>
      <w:numFmt w:val="lowerRoman"/>
      <w:start w:val="1"/>
    </w:lvl>
  </w:abstractNum>
  <w:abstractNum w:abstractNumId="172">
    <w:nsid w:val="64AF49B"/>
    <w:multiLevelType w:val="hybridMultilevel"/>
    <w:lvl w:ilvl="0">
      <w:lvlJc w:val="left"/>
      <w:lvlText w:val="%1"/>
      <w:numFmt w:val="decimal"/>
      <w:start w:val="1"/>
    </w:lvl>
    <w:lvl w:ilvl="1">
      <w:lvlJc w:val="left"/>
      <w:lvlText w:val="(%2)"/>
      <w:numFmt w:val="lowerLetter"/>
      <w:start w:val="2"/>
    </w:lvl>
  </w:abstractNum>
  <w:abstractNum w:abstractNumId="173">
    <w:nsid w:val="397C46BC"/>
    <w:multiLevelType w:val="hybridMultilevel"/>
    <w:lvl w:ilvl="0">
      <w:lvlJc w:val="left"/>
      <w:lvlText w:val="(%1)"/>
      <w:numFmt w:val="decimal"/>
      <w:start w:val="2"/>
    </w:lvl>
    <w:lvl w:ilvl="1">
      <w:lvlJc w:val="left"/>
      <w:lvlText w:val="%2"/>
      <w:numFmt w:val="lowerLetter"/>
      <w:start w:val="1"/>
    </w:lvl>
  </w:abstractNum>
  <w:abstractNum w:abstractNumId="174">
    <w:nsid w:val="7E448DE9"/>
    <w:multiLevelType w:val="hybridMultilevel"/>
    <w:lvl w:ilvl="0">
      <w:lvlJc w:val="left"/>
      <w:lvlText w:val="(%1)"/>
      <w:numFmt w:val="lowerLetter"/>
      <w:start w:val="1"/>
    </w:lvl>
  </w:abstractNum>
  <w:abstractNum w:abstractNumId="175">
    <w:nsid w:val="5A9CC3E5"/>
    <w:multiLevelType w:val="hybridMultilevel"/>
    <w:lvl w:ilvl="0">
      <w:lvlJc w:val="left"/>
      <w:lvlText w:val="(%1)"/>
      <w:numFmt w:val="lowerLetter"/>
      <w:start w:val="4"/>
    </w:lvl>
  </w:abstractNum>
  <w:abstractNum w:abstractNumId="176">
    <w:nsid w:val="1AFE3625"/>
    <w:multiLevelType w:val="hybridMultilevel"/>
    <w:lvl w:ilvl="0">
      <w:lvlJc w:val="left"/>
      <w:lvlText w:val="."/>
      <w:numFmt w:val="bullet"/>
      <w:start w:val="1"/>
    </w:lvl>
    <w:lvl w:ilvl="1">
      <w:lvlJc w:val="left"/>
      <w:lvlText w:val="(%2)"/>
      <w:numFmt w:val="lowerRoman"/>
      <w:start w:val="1"/>
    </w:lvl>
  </w:abstractNum>
  <w:abstractNum w:abstractNumId="177">
    <w:nsid w:val="3CA88ECF"/>
    <w:multiLevelType w:val="hybridMultilevel"/>
    <w:lvl w:ilvl="0">
      <w:lvlJc w:val="left"/>
      <w:lvlText w:val="(%1)"/>
      <w:numFmt w:val="lowerRoman"/>
      <w:start w:val="7"/>
    </w:lvl>
  </w:abstractNum>
  <w:abstractNum w:abstractNumId="178">
    <w:nsid w:val="6EBE4208"/>
    <w:multiLevelType w:val="hybridMultilevel"/>
    <w:lvl w:ilvl="0">
      <w:lvlJc w:val="left"/>
      <w:lvlText w:val="(%1)"/>
      <w:numFmt w:val="lowerLetter"/>
      <w:start w:val="1"/>
    </w:lvl>
  </w:abstractNum>
  <w:abstractNum w:abstractNumId="179">
    <w:nsid w:val="C058DF5"/>
    <w:multiLevelType w:val="hybridMultilevel"/>
    <w:lvl w:ilvl="0">
      <w:lvlJc w:val="left"/>
      <w:lvlText w:val="(%1)"/>
      <w:numFmt w:val="lowerLetter"/>
      <w:start w:val="2"/>
    </w:lvl>
  </w:abstractNum>
  <w:abstractNum w:abstractNumId="180">
    <w:nsid w:val="CBE5BE9"/>
    <w:multiLevelType w:val="hybridMultilevel"/>
    <w:lvl w:ilvl="0">
      <w:lvlJc w:val="left"/>
      <w:lvlText w:val="(%1)"/>
      <w:numFmt w:val="lowerLetter"/>
      <w:start w:val="4"/>
    </w:lvl>
  </w:abstractNum>
  <w:abstractNum w:abstractNumId="181">
    <w:nsid w:val="3102BBE2"/>
    <w:multiLevelType w:val="hybridMultilevel"/>
    <w:lvl w:ilvl="0">
      <w:lvlJc w:val="left"/>
      <w:lvlText w:val="."/>
      <w:numFmt w:val="bullet"/>
      <w:start w:val="1"/>
    </w:lvl>
  </w:abstractNum>
  <w:abstractNum w:abstractNumId="182">
    <w:nsid w:val="26A02C5E"/>
    <w:multiLevelType w:val="hybridMultilevel"/>
    <w:lvl w:ilvl="0">
      <w:lvlJc w:val="left"/>
      <w:lvlText w:val="."/>
      <w:numFmt w:val="bullet"/>
      <w:start w:val="1"/>
    </w:lvl>
  </w:abstractNum>
  <w:abstractNum w:abstractNumId="183">
    <w:nsid w:val="541C8153"/>
    <w:multiLevelType w:val="hybridMultilevel"/>
    <w:lvl w:ilvl="0">
      <w:lvlJc w:val="left"/>
      <w:lvlText w:val="."/>
      <w:numFmt w:val="bullet"/>
      <w:start w:val="1"/>
    </w:lvl>
  </w:abstractNum>
  <w:abstractNum w:abstractNumId="184">
    <w:nsid w:val="67906F6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85">
    <w:nsid w:val="10DB9DAA"/>
    <w:multiLevelType w:val="hybridMultilevel"/>
    <w:lvl w:ilvl="0">
      <w:lvlJc w:val="left"/>
      <w:lvlText w:val="(%1)"/>
      <w:numFmt w:val="lowerLetter"/>
      <w:start w:val="9"/>
    </w:lvl>
    <w:lvl w:ilvl="1">
      <w:lvlJc w:val="left"/>
      <w:lvlText w:val="(%2)"/>
      <w:numFmt w:val="lowerLetter"/>
      <w:start w:val="2"/>
    </w:lvl>
    <w:lvl w:ilvl="2">
      <w:lvlJc w:val="left"/>
      <w:lvlText w:val="(%3)"/>
      <w:numFmt w:val="upperLetter"/>
      <w:start w:val="1"/>
    </w:lvl>
  </w:abstractNum>
  <w:abstractNum w:abstractNumId="186">
    <w:nsid w:val="697D2D2"/>
    <w:multiLevelType w:val="hybridMultilevel"/>
    <w:lvl w:ilvl="0">
      <w:lvlJc w:val="left"/>
      <w:lvlText w:val="%1"/>
      <w:numFmt w:val="lowerRoman"/>
      <w:start w:val="1"/>
    </w:lvl>
    <w:lvl w:ilvl="1">
      <w:lvlJc w:val="left"/>
      <w:lvlText w:val="(%2)"/>
      <w:numFmt w:val="upperLetter"/>
      <w:start w:val="2"/>
    </w:lvl>
  </w:abstractNum>
  <w:abstractNum w:abstractNumId="187">
    <w:nsid w:val="6D68AB2"/>
    <w:multiLevelType w:val="hybridMultilevel"/>
    <w:lvl w:ilvl="0">
      <w:lvlJc w:val="left"/>
      <w:lvlText w:val="(%1)"/>
      <w:numFmt w:val="lowerRoman"/>
      <w:start w:val="2"/>
    </w:lvl>
    <w:lvl w:ilvl="1">
      <w:lvlJc w:val="left"/>
      <w:lvlText w:val="(%2)"/>
      <w:numFmt w:val="upperLetter"/>
      <w:start w:val="1"/>
    </w:lvl>
  </w:abstractNum>
  <w:abstractNum w:abstractNumId="188">
    <w:nsid w:val="3A966CD0"/>
    <w:multiLevelType w:val="hybridMultilevel"/>
    <w:lvl w:ilvl="0">
      <w:lvlJc w:val="left"/>
      <w:lvlText w:val="%1"/>
      <w:numFmt w:val="lowerLetter"/>
      <w:start w:val="1"/>
    </w:lvl>
    <w:lvl w:ilvl="1">
      <w:lvlJc w:val="left"/>
      <w:lvlText w:val="(%2)"/>
      <w:numFmt w:val="lowerRoman"/>
      <w:start w:val="4"/>
    </w:lvl>
  </w:abstractNum>
  <w:abstractNum w:abstractNumId="189">
    <w:nsid w:val="63F37E85"/>
    <w:multiLevelType w:val="hybridMultilevel"/>
    <w:lvl w:ilvl="0">
      <w:lvlJc w:val="left"/>
      <w:lvlText w:val="(%1)"/>
      <w:numFmt w:val="lowerLetter"/>
      <w:start w:val="3"/>
    </w:lvl>
    <w:lvl w:ilvl="1">
      <w:lvlJc w:val="left"/>
      <w:lvlText w:val="(%2)"/>
      <w:numFmt w:val="lowerRoman"/>
      <w:start w:val="2"/>
    </w:lvl>
  </w:abstractNum>
  <w:abstractNum w:abstractNumId="190">
    <w:nsid w:val="5895F5FA"/>
    <w:multiLevelType w:val="hybridMultilevel"/>
    <w:lvl w:ilvl="0">
      <w:lvlJc w:val="left"/>
      <w:lvlText w:val="(%1)"/>
      <w:numFmt w:val="lowerLetter"/>
      <w:start w:val="4"/>
    </w:lvl>
  </w:abstractNum>
  <w:abstractNum w:abstractNumId="191">
    <w:nsid w:val="38A5D054"/>
    <w:multiLevelType w:val="hybridMultilevel"/>
    <w:lvl w:ilvl="0">
      <w:lvlJc w:val="left"/>
      <w:lvlText w:val="(%1)"/>
      <w:numFmt w:val="lowerLetter"/>
      <w:start w:val="1"/>
    </w:lvl>
  </w:abstractNum>
  <w:abstractNum w:abstractNumId="192">
    <w:nsid w:val="F3F09D8"/>
    <w:multiLevelType w:val="hybridMultilevel"/>
    <w:lvl w:ilvl="0">
      <w:lvlJc w:val="left"/>
      <w:lvlText w:val="(%1)"/>
      <w:numFmt w:val="lowerLetter"/>
      <w:start w:val="1"/>
    </w:lvl>
  </w:abstractNum>
  <w:abstractNum w:abstractNumId="193">
    <w:nsid w:val="4B793735"/>
    <w:multiLevelType w:val="hybridMultilevel"/>
    <w:lvl w:ilvl="0">
      <w:lvlJc w:val="left"/>
      <w:lvlText w:val="(%1)"/>
      <w:numFmt w:val="upperLetter"/>
      <w:start w:val="2"/>
    </w:lvl>
  </w:abstractNum>
  <w:abstractNum w:abstractNumId="194">
    <w:nsid w:val="4A10B4E8"/>
    <w:multiLevelType w:val="hybridMultilevel"/>
    <w:lvl w:ilvl="0">
      <w:lvlJc w:val="left"/>
      <w:lvlText w:val="."/>
      <w:numFmt w:val="bullet"/>
      <w:start w:val="1"/>
    </w:lvl>
  </w:abstractNum>
  <w:abstractNum w:abstractNumId="195">
    <w:nsid w:val="43D3BCD4"/>
    <w:multiLevelType w:val="hybridMultilevel"/>
    <w:lvl w:ilvl="0">
      <w:lvlJc w:val="left"/>
      <w:lvlText w:val="."/>
      <w:numFmt w:val="bullet"/>
      <w:start w:val="1"/>
    </w:lvl>
  </w:abstractNum>
  <w:abstractNum w:abstractNumId="196">
    <w:nsid w:val="4C2A7166"/>
    <w:multiLevelType w:val="hybridMultilevel"/>
    <w:lvl w:ilvl="0">
      <w:lvlJc w:val="left"/>
      <w:lvlText w:val="."/>
      <w:numFmt w:val="bullet"/>
      <w:start w:val="1"/>
    </w:lvl>
  </w:abstractNum>
  <w:abstractNum w:abstractNumId="197">
    <w:nsid w:val="2E534A82"/>
    <w:multiLevelType w:val="hybridMultilevel"/>
    <w:lvl w:ilvl="0">
      <w:lvlJc w:val="left"/>
      <w:lvlText w:val="."/>
      <w:numFmt w:val="bullet"/>
      <w:start w:val="1"/>
    </w:lvl>
    <w:lvl w:ilvl="1">
      <w:lvlJc w:val="left"/>
      <w:lvlText w:val="(%2)"/>
      <w:numFmt w:val="lowerLetter"/>
      <w:start w:val="1"/>
    </w:lvl>
  </w:abstractNum>
  <w:abstractNum w:abstractNumId="198">
    <w:nsid w:val="26F2D364"/>
    <w:multiLevelType w:val="hybridMultilevel"/>
    <w:lvl w:ilvl="0">
      <w:lvlJc w:val="left"/>
      <w:lvlText w:val="(%1)"/>
      <w:numFmt w:val="lowerLetter"/>
      <w:start w:val="3"/>
    </w:lvl>
  </w:abstractNum>
  <w:abstractNum w:abstractNumId="199">
    <w:nsid w:val="71C1AF98"/>
    <w:multiLevelType w:val="hybridMultilevel"/>
    <w:lvl w:ilvl="0">
      <w:lvlJc w:val="left"/>
      <w:lvlText w:val="."/>
      <w:numFmt w:val="bullet"/>
      <w:start w:val="1"/>
    </w:lvl>
    <w:lvl w:ilvl="1">
      <w:lvlJc w:val="left"/>
      <w:lvlText w:val="(%2)"/>
      <w:numFmt w:val="lowerLetter"/>
      <w:start w:val="1"/>
    </w:lvl>
  </w:abstractNum>
  <w:abstractNum w:abstractNumId="200">
    <w:nsid w:val="3D00B9D9"/>
    <w:multiLevelType w:val="hybridMultilevel"/>
    <w:lvl w:ilvl="0">
      <w:lvlJc w:val="left"/>
      <w:lvlText w:val="."/>
      <w:numFmt w:val="bullet"/>
      <w:start w:val="1"/>
    </w:lvl>
  </w:abstractNum>
  <w:abstractNum w:abstractNumId="201">
    <w:nsid w:val="15BCABA8"/>
    <w:multiLevelType w:val="hybridMultilevel"/>
    <w:lvl w:ilvl="0">
      <w:lvlJc w:val="left"/>
      <w:lvlText w:val="."/>
      <w:numFmt w:val="bullet"/>
      <w:start w:val="1"/>
    </w:lvl>
  </w:abstractNum>
  <w:abstractNum w:abstractNumId="202">
    <w:nsid w:val="4E0B9A87"/>
    <w:multiLevelType w:val="hybridMultilevel"/>
    <w:lvl w:ilvl="0">
      <w:lvlJc w:val="left"/>
      <w:lvlText w:val="."/>
      <w:numFmt w:val="bullet"/>
      <w:start w:val="1"/>
    </w:lvl>
  </w:abstractNum>
  <w:abstractNum w:abstractNumId="203">
    <w:nsid w:val="434BAE7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04">
    <w:nsid w:val="4F38F265"/>
    <w:multiLevelType w:val="hybridMultilevel"/>
    <w:lvl w:ilvl="0">
      <w:lvlJc w:val="left"/>
      <w:lvlText w:val="(%1)"/>
      <w:numFmt w:val="lowerLetter"/>
      <w:start w:val="1"/>
    </w:lvl>
  </w:abstractNum>
  <w:abstractNum w:abstractNumId="205">
    <w:nsid w:val="4C502870"/>
    <w:multiLevelType w:val="hybridMultilevel"/>
    <w:lvl w:ilvl="0">
      <w:lvlJc w:val="left"/>
      <w:lvlText w:val="(%1)"/>
      <w:numFmt w:val="lowerRoman"/>
      <w:start w:val="1"/>
    </w:lvl>
  </w:abstractNum>
  <w:abstractNum w:abstractNumId="206">
    <w:nsid w:val="1DE8725A"/>
    <w:multiLevelType w:val="hybridMultilevel"/>
    <w:lvl w:ilvl="0">
      <w:lvlJc w:val="left"/>
      <w:lvlText w:val="%1."/>
      <w:numFmt w:val="decimal"/>
      <w:start w:val="1"/>
    </w:lvl>
    <w:lvl w:ilvl="1">
      <w:lvlJc w:val="left"/>
      <w:lvlText w:val="%2)"/>
      <w:numFmt w:val="lowerLetter"/>
      <w:start w:val="1"/>
    </w:lvl>
  </w:abstractNum>
  <w:abstractNum w:abstractNumId="207">
    <w:nsid w:val="6A37288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74" Type="http://schemas.openxmlformats.org/officeDocument/2006/relationships/hyperlink" Target="http://www.sec.gov/Archives/edgar/data/814547/000095012310009970/c56194exv3w2.htm" TargetMode="External"/><Relationship Id="rId75" Type="http://schemas.openxmlformats.org/officeDocument/2006/relationships/hyperlink" Target="http://www.sec.gov/Archives/edgar/data/814547/000095012310009970/c56194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2023-01-26T15:47:24Z</dcterms:created>
  <dcterms:modified xsi:type="dcterms:W3CDTF">2023-01-26T15:47:24Z</dcterms:modified>
</cp:coreProperties>
</file>