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July 17, 2024 was 24,518,533 (excluding 64,338,250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0">
              <w:r>
                <w:rPr>
                  <w:rStyle w:val="InternetLink"/>
                  <w:rFonts w:ascii="Times New Roman;sans-serif" w:hAnsi="Times New Roman;sans-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76">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06">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06">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09">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09">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12">
              <w:r>
                <w:rPr>
                  <w:rStyle w:val="InternetLink"/>
                  <w:rFonts w:ascii="Times New Roman;sans-serif" w:hAnsi="Times New Roman;sans-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15">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15">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18">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18">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21">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21">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24">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24">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27">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27">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30">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30">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33">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33">
              <w:r>
                <w:rPr>
                  <w:rStyle w:val="InternetLink"/>
                  <w:rFonts w:ascii="Times New Roman;sans-serif" w:hAnsi="Times New Roman;sans-serif"/>
                  <w:b w:val="false"/>
                  <w:color w:val="0000FF"/>
                  <w:sz w:val="20"/>
                  <w:u w:val="single"/>
                </w:rPr>
                <w:t>34</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f00dcd740a49c982c9e7a7fb53b18e_136">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00dcd740a49c982c9e7a7fb53b18e_136">
              <w:r>
                <w:rPr>
                  <w:rStyle w:val="InternetLink"/>
                  <w:rFonts w:ascii="Times New Roman;sans-serif" w:hAnsi="Times New Roman;sans-serif"/>
                  <w:b w:val="false"/>
                  <w:color w:val="0000FF"/>
                  <w:sz w:val="20"/>
                  <w:u w:val="single"/>
                </w:rPr>
                <w:t>35</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2"/>
        <w:gridCol w:w="2228"/>
        <w:gridCol w:w="2182"/>
        <w:gridCol w:w="211"/>
        <w:gridCol w:w="976"/>
        <w:gridCol w:w="109"/>
        <w:gridCol w:w="109"/>
        <w:gridCol w:w="109"/>
        <w:gridCol w:w="109"/>
        <w:gridCol w:w="227"/>
        <w:gridCol w:w="1054"/>
        <w:gridCol w:w="169"/>
      </w:tblGrid>
      <w:tr>
        <w:trPr/>
        <w:tc>
          <w:tcPr>
            <w:tcW w:w="27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31,723</w:t>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556,448</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w:t>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24,564 and 24,770 shares outstanding at June 30, 2024 and September 30,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(64,293 and 64,087 shares at June 30, 2024 and September 30,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(5,324,865)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(687,990)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79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1,320,717 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(5,813,751)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1,312,390 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(139,453)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1,320,717 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(5,813,751)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(829,306)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1,312,390 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(5,208,553)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2"/>
        <w:gridCol w:w="2361"/>
        <w:gridCol w:w="2377"/>
        <w:gridCol w:w="211"/>
        <w:gridCol w:w="826"/>
        <w:gridCol w:w="109"/>
        <w:gridCol w:w="109"/>
        <w:gridCol w:w="109"/>
        <w:gridCol w:w="109"/>
        <w:gridCol w:w="211"/>
        <w:gridCol w:w="826"/>
        <w:gridCol w:w="155"/>
      </w:tblGrid>
      <w:tr>
        <w:trPr/>
        <w:tc>
          <w:tcPr>
            <w:tcW w:w="280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transferred, net of proceeds, from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(271,236)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$836 and $567 during the nine-month periods ended June 30, 2024 and 2023,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repurchases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leading applied analytics company. 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2023.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October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w:t>
      </w:r>
      <w:r>
        <w:rPr>
          <w:rFonts w:ascii="Times New Roman;sans-serif" w:hAnsi="Times New Roman;sans-serif"/>
          <w:b w:val="false"/>
          <w:color w:val="000000"/>
          <w:sz w:val="20"/>
        </w:rPr>
        <w:t xml:space="preserve">(“ASU 2021-08”). ASU 2021-08 requires an acquirer in a business combination to recognize and measure contract assets and contract liabilities from acquired contracts using the revenue recognition guidance under 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in order to align the recognition of a contract liability with the definition of a performance obligation. We adopted ASU 2021-08 in the first quarter of fiscal 2024 and the adoption did not have a significant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November 2023, the FASB issued ASU No. 2023-07, “</w:t>
      </w:r>
      <w:r>
        <w:rPr>
          <w:rFonts w:ascii="Times New Roman;sans-serif" w:hAnsi="Times New Roman;sans-serif"/>
          <w:b w:val="false"/>
          <w:i/>
          <w:color w:val="000000"/>
          <w:sz w:val="20"/>
        </w:rPr>
        <w:t>Segment Reporting (Topic 280): Improvements to Reportable Segment Disclosures</w:t>
      </w:r>
      <w:r>
        <w:rPr>
          <w:color w:val="000000"/>
        </w:rPr>
        <w:t>” </w:t>
      </w:r>
      <w:r>
        <w:rPr>
          <w:rFonts w:ascii="Times New Roman;sans-serif" w:hAnsi="Times New Roman;sans-serif"/>
          <w:b w:val="false"/>
          <w:color w:val="000000"/>
          <w:sz w:val="20"/>
        </w:rPr>
        <w:t>(“ASU 2023-07”). ASU 2023-07 expands annual and interim disclosure 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In December 2023, the FASB issued ASU No. 2023-09, “</w:t>
      </w:r>
      <w:r>
        <w:rPr>
          <w:rFonts w:ascii="Times New Roman;sans-serif" w:hAnsi="Times New Roman;sans-serif"/>
          <w:b w:val="false"/>
          <w:i/>
          <w:color w:val="000000"/>
          <w:sz w:val="20"/>
        </w:rPr>
        <w:t>Income Taxes (Topic 740): Improvements to Income Tax Disclosures</w:t>
      </w:r>
      <w:r>
        <w:rPr>
          <w:color w:val="000000"/>
        </w:rPr>
        <w:t>” </w:t>
      </w:r>
      <w:r>
        <w:rPr>
          <w:rFonts w:ascii="Times New Roman;sans-serif" w:hAnsi="Times New Roman;sans-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June 30, 2024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June 30, 2024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June 30, 2024 and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June 30, 2024 and September 30, 2023:</w:t>
      </w:r>
    </w:p>
    <w:tbl>
      <w:tblPr>
        <w:tblW w:w="6837" w:type="dxa"/>
        <w:jc w:val="left"/>
        <w:tblInd w:w="0" w:type="dxa"/>
        <w:tblLayout w:type="fixed"/>
        <w:tblCellMar>
          <w:top w:w="28" w:type="dxa"/>
          <w:left w:w="28" w:type="dxa"/>
          <w:bottom w:w="28" w:type="dxa"/>
          <w:right w:w="28" w:type="dxa"/>
        </w:tblCellMar>
      </w:tblPr>
      <w:tblGrid>
        <w:gridCol w:w="746"/>
        <w:gridCol w:w="657"/>
        <w:gridCol w:w="666"/>
        <w:gridCol w:w="331"/>
        <w:gridCol w:w="1133"/>
        <w:gridCol w:w="172"/>
        <w:gridCol w:w="109"/>
        <w:gridCol w:w="109"/>
        <w:gridCol w:w="109"/>
        <w:gridCol w:w="543"/>
        <w:gridCol w:w="1863"/>
        <w:gridCol w:w="399"/>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June 30, 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77,348 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June 30, 2024 and September 30, 2023. Not included in these tables are cash deposits of $121.5 million and $113.2 million at June 30, 2024 and September 30, 2023,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June 30, 2024 and September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and nine-month periods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June 30, 2024 and September 30, 2023:</w:t>
      </w:r>
    </w:p>
    <w:tbl>
      <w:tblPr>
        <w:tblW w:w="5929"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08"/>
        <w:gridCol w:w="308"/>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June 30, 2024 and September 30, 2023; therefore, their fair value was $0 on each of these dates.</w:t>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on derivative financial instruments were recorded in our condensed consolidated statements of income and comprehensive income as a component of other income, net, and consisted of the following: </w:t>
      </w:r>
    </w:p>
    <w:tbl>
      <w:tblPr>
        <w:tblW w:w="8060" w:type="dxa"/>
        <w:jc w:val="left"/>
        <w:tblInd w:w="0" w:type="dxa"/>
        <w:tblLayout w:type="fixed"/>
        <w:tblCellMar>
          <w:top w:w="28" w:type="dxa"/>
          <w:left w:w="28" w:type="dxa"/>
          <w:bottom w:w="28" w:type="dxa"/>
          <w:right w:w="28" w:type="dxa"/>
        </w:tblCellMar>
      </w:tblPr>
      <w:tblGrid>
        <w:gridCol w:w="1325"/>
        <w:gridCol w:w="1163"/>
        <w:gridCol w:w="1171"/>
        <w:gridCol w:w="218"/>
        <w:gridCol w:w="374"/>
        <w:gridCol w:w="113"/>
        <w:gridCol w:w="113"/>
        <w:gridCol w:w="113"/>
        <w:gridCol w:w="113"/>
        <w:gridCol w:w="218"/>
        <w:gridCol w:w="483"/>
        <w:gridCol w:w="113"/>
        <w:gridCol w:w="109"/>
        <w:gridCol w:w="109"/>
        <w:gridCol w:w="109"/>
        <w:gridCol w:w="223"/>
        <w:gridCol w:w="494"/>
        <w:gridCol w:w="115"/>
        <w:gridCol w:w="115"/>
        <w:gridCol w:w="115"/>
        <w:gridCol w:w="115"/>
        <w:gridCol w:w="223"/>
        <w:gridCol w:w="653"/>
        <w:gridCol w:w="163"/>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on foreign currency forward contracts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4. 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goodwill during the nine months ended June 30, 2024, both in total and as allocated to our segments. As of June 30, 2024,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and other accrued liabilities at June 30, 2024 and September 30, 2023:</w:t>
      </w:r>
    </w:p>
    <w:tbl>
      <w:tblPr>
        <w:tblW w:w="7188" w:type="dxa"/>
        <w:jc w:val="left"/>
        <w:tblInd w:w="0" w:type="dxa"/>
        <w:tblLayout w:type="fixed"/>
        <w:tblCellMar>
          <w:top w:w="28" w:type="dxa"/>
          <w:left w:w="28" w:type="dxa"/>
          <w:bottom w:w="28" w:type="dxa"/>
          <w:right w:w="28" w:type="dxa"/>
        </w:tblCellMar>
      </w:tblPr>
      <w:tblGrid>
        <w:gridCol w:w="1642"/>
        <w:gridCol w:w="1440"/>
        <w:gridCol w:w="1448"/>
        <w:gridCol w:w="211"/>
        <w:gridCol w:w="826"/>
        <w:gridCol w:w="109"/>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Internal-use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debt at carrying value at June 30, 2024 and September 30, 2023:</w:t>
      </w:r>
    </w:p>
    <w:tbl>
      <w:tblPr>
        <w:tblW w:w="7433" w:type="dxa"/>
        <w:jc w:val="left"/>
        <w:tblInd w:w="0" w:type="dxa"/>
        <w:tblLayout w:type="fixed"/>
        <w:tblCellMar>
          <w:top w:w="28" w:type="dxa"/>
          <w:left w:w="28" w:type="dxa"/>
          <w:bottom w:w="28" w:type="dxa"/>
          <w:right w:w="28" w:type="dxa"/>
        </w:tblCellMar>
      </w:tblPr>
      <w:tblGrid>
        <w:gridCol w:w="1620"/>
        <w:gridCol w:w="1419"/>
        <w:gridCol w:w="1430"/>
        <w:gridCol w:w="211"/>
        <w:gridCol w:w="976"/>
        <w:gridCol w:w="109"/>
        <w:gridCol w:w="109"/>
        <w:gridCol w:w="109"/>
        <w:gridCol w:w="109"/>
        <w:gridCol w:w="211"/>
        <w:gridCol w:w="97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$300 Million 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on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$300 Million 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$450 Million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Revolving Line of Credit and Term Loans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a $600 million unsecured revolving line of credit and a $300 million unsecured term loan (the “$300 Million Term Loan”) with a syndicate of banks that mature on August 19, 2026. Borrowings under the revolving line of credit and the $300 Million Term Loan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Interest rates on amounts borrowed under the revolving line of credit and the $300 Million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(or, </w:t>
      </w:r>
      <w:r>
        <w:rPr>
          <w:rFonts w:ascii="Times New Roman;sans-serif" w:hAnsi="Times New Roman;sans-serif"/>
          <w:b w:val="false"/>
          <w:color w:val="212529"/>
          <w:sz w:val="20"/>
        </w:rPr>
        <w:t>if such rate is no longer available, a successor benchmark rate determined in accordance with the terms of the credit agreement)</w:t>
      </w:r>
      <w:r>
        <w:rPr>
          <w:rFonts w:ascii="Times New Roman;sans-serif" w:hAnsi="Times New Roman;sans-serif"/>
          <w:b w:val="false"/>
          <w:color w:val="000000"/>
          <w:sz w:val="20"/>
        </w:rPr>
        <w: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$300 Million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2024, we amended our credit agreement to provide for the issuance of a new $450 million unsecured term loan (the “$450 Million Term Loan”) with a syndicate of banks, increasing the total capacity of the credit agreement to $1.35 billion. The $450 Million Term Loan is subject to the same interest rate provisions and covenants as the revolving line of credit and the $300 Million Term Loan, and matures on August 19, 2026. We have no obligation to make scheduled principal payments on the $450 Million Term Loan prior to the maturity date, but may prepay the $450 Million Term Loan, without premium or penalty, in whole or in part.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$118.0 million in borrowings outstanding under the revolving line of credit at a weighted-average interest rate of 6.688%, $262.5 million in outstanding balance of the $300 Million Term Loan at an interest rate of 6.688%, and $450.0 million in outstanding balance of the $450 Million Term Loan at an interest rate of 6.697%. We were in compliance with all financial covenants under the credit agreement as of June 30, 2024.</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June 30,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June 30, 2024 and September 30, 2023:</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7. Revenue from Contracts with Customers</w:t>
      </w:r>
    </w:p>
    <w:p>
      <w:pPr>
        <w:pStyle w:val="TextBody"/>
        <w:bidi w:val="0"/>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product features:</w:t>
      </w:r>
    </w:p>
    <w:tbl>
      <w:tblPr>
        <w:tblW w:w="11082" w:type="dxa"/>
        <w:jc w:val="left"/>
        <w:tblInd w:w="0" w:type="dxa"/>
        <w:tblLayout w:type="fixed"/>
        <w:tblCellMar>
          <w:top w:w="28" w:type="dxa"/>
          <w:left w:w="28" w:type="dxa"/>
          <w:bottom w:w="28" w:type="dxa"/>
          <w:right w:w="28" w:type="dxa"/>
        </w:tblCellMar>
      </w:tblPr>
      <w:tblGrid>
        <w:gridCol w:w="555"/>
        <w:gridCol w:w="402"/>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5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timing of revenue recognition:</w:t>
      </w:r>
    </w:p>
    <w:tbl>
      <w:tblPr>
        <w:tblW w:w="10887" w:type="dxa"/>
        <w:jc w:val="left"/>
        <w:tblInd w:w="0" w:type="dxa"/>
        <w:tblLayout w:type="fixed"/>
        <w:tblCellMar>
          <w:top w:w="28" w:type="dxa"/>
          <w:left w:w="28" w:type="dxa"/>
          <w:bottom w:w="28" w:type="dxa"/>
          <w:right w:w="28" w:type="dxa"/>
        </w:tblCellMar>
      </w:tblPr>
      <w:tblGrid>
        <w:gridCol w:w="370"/>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77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47% and 42% of our total revenues in the quarters ended June 30, 2024 and 2023, respectively, with all three consumer reporting agencies each contributing more than 10% of our total revenues in each of the quarters ended June 30, 2024 and 2023. Revenues collectively generated by agreements with these customers accounted for 44% and 40% of our total revenues in the nine months ended June 30, 2024 and 2023, respectively, with all three consumer reporting agencies each contributing more than 10% of our total revenues in each of the nine months ended June 30, 2024 and 2023. At each of June 30, 2024 and September 30, 2023, one individual customer accounted for 10% or more of total consolidated receivables.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00"/>
        <w:ind w:left="0" w:right="0" w:firstLine="450"/>
        <w:jc w:val="both"/>
        <w:rPr/>
      </w:pPr>
      <w:r>
        <w:rPr>
          <w:rFonts w:ascii="Times New Roman;sans-serif" w:hAnsi="Times New Roman;sans-serif"/>
          <w:b w:val="false"/>
          <w:color w:val="000000"/>
          <w:sz w:val="20"/>
        </w:rPr>
        <w:t>Receivables at June 30, 2024 and September 30, 2023 consisted of the following:</w:t>
      </w:r>
      <w:r>
        <w:rPr>
          <w:color w:val="000000"/>
        </w:rPr>
        <w:t> </w:t>
      </w:r>
    </w:p>
    <w:tbl>
      <w:tblPr>
        <w:tblW w:w="6256" w:type="dxa"/>
        <w:jc w:val="left"/>
        <w:tblInd w:w="0" w:type="dxa"/>
        <w:tblLayout w:type="fixed"/>
        <w:tblCellMar>
          <w:top w:w="28" w:type="dxa"/>
          <w:left w:w="28" w:type="dxa"/>
          <w:bottom w:w="28" w:type="dxa"/>
          <w:right w:w="28" w:type="dxa"/>
        </w:tblCellMar>
      </w:tblPr>
      <w:tblGrid>
        <w:gridCol w:w="1151"/>
        <w:gridCol w:w="1014"/>
        <w:gridCol w:w="1029"/>
        <w:gridCol w:w="211"/>
        <w:gridCol w:w="826"/>
        <w:gridCol w:w="10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2985"/>
        <w:gridCol w:w="2620"/>
        <w:gridCol w:w="2629"/>
        <w:gridCol w:w="109"/>
        <w:gridCol w:w="109"/>
        <w:gridCol w:w="109"/>
        <w:gridCol w:w="290"/>
        <w:gridCol w:w="1139"/>
        <w:gridCol w:w="215"/>
      </w:tblGrid>
      <w:tr>
        <w:trPr/>
        <w:tc>
          <w:tcPr>
            <w:tcW w:w="298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 2024</w:t>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155,783 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June 30, 2024 included current portion of $149.3 million and long-term portion of $6.5 million that were recorded in deferred revenue and other liabilities, respectively, within the condensed consolidated balance sheets. Deferred revenues at September 30, 2023 included current portion of $136.7 million and long-term portion of $6.5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$482.9 million as of June 30, 2024, approximately 50% of which we expect to recognize over the next 15 months and the remainder thereafter. Revenue allocated to remaining performance obligations was $470.5 million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24.5% and 18.4% during the quarters ended June 30, 2024 and 2023, respectively, and 19.9% and 20.6% during the nine months ended June 30, 2024 and 2023,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enacted as part of the 2022 Inflation Reduction Act imposes a 15% corporate minimum tax. The provision is effective for tax years beginning after December 31, 2022, which means that it was effective for our fiscal year beginning October 1, 2023. We do not expect any impact to our fiscal 2024 effective tax rate from the corporate minimum tax provision.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$17.1 million and $13.8 million at June 30, 2024 and September 30, 2023, respectively. We recognize interest expense related to unrecognized tax benefits and penalties as part of the provision for income taxes in our condensed consolidated statements of income and comprehensive income. We accrued interest of $1.7 million and $0.9 million related to unrecognized tax benefits as of June 30, 2024 and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9. Earnings per Share</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and nine-month periods ended June 30, 2024 and 2023:</w:t>
      </w:r>
      <w:r>
        <w:rPr>
          <w:color w:val="000000"/>
        </w:rPr>
        <w:t> </w:t>
      </w:r>
    </w:p>
    <w:tbl>
      <w:tblPr>
        <w:tblW w:w="9854"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and nine-month periods ended June 30, 2024 and 2023:</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tbl>
      <w:tblPr>
        <w:tblW w:w="9675"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75"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our Board of Directors approved a new stock repurchase program, replacing our previously authorized January 2024 stock repurchase program, which was terminated prior to its expiration. The new program is open-ended and authorizes repurchases of shares of our common stock from time to time up to an aggregate cost of $1.0 billion in the open market or in negotiated transactions. The new stock repurchase program became effective on July 29, 2024, and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2023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center"/>
        <w:rPr/>
      </w:pPr>
      <w:r>
        <w:rPr/>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and nine months ended June 30, 2024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Total revenues were $447.8 million during the quarter ended June 30, 2024, a 12% increase from the quarter ended June 30, 2023, and $1.3 billion during the nine months ended June 30, 2024, a 12% increase from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Revenues for our Scores segment were $241.5 million during the quarter ended June 30, 2024, a 20% increase from the quarter ended June 30, 2023, and $670.4 million during the nine months ended June 30, 2024, a 16% increase from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June 30, 2024 was $709.6 million, a 10% increase from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108% as of June 30,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$190.3 million during the quarter ended June 30, 2024, a 7% increase from the quarter ended June 30, 2023, and $536.5 million during the nine months ended June 30, 2024, a 12% increase from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$126.3 million during the quarter ended June 30, 2024, a 2% decrease from the quarter ended June 30, 2023, and $377.1 million during the nine months ended June 30, 2024, a 15% increase from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Diluted EPS was $5.05 during the quarter ended June 30, 2024, a 1% decrease from the quarter ended June 30, 2023, and $15.01 during the nine months ended June 30, 2024, a 16% increase from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$406.5 million during the nine months ended June 30, 2024, compared with $304.9 million during the nine months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$156.0 million as of June 30, 2024, compared with $136.8 million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$2.1 billion as of June 30, 2024, compared with $1.9 billion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June 30, 2024 were $255.5 million, compared with $98.6 million during the quarter ended June 30, 2023, and during the nine months ended June 30, 2024 were $506.8 million, compared with $289.9 million during the nine months ended June 30, 2023.</w:t>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bidi w:val="0"/>
        <w:spacing w:lineRule="auto" w:line="288" w:before="12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each of the periods presented, ACV Bookings related to estimates of future usage-based fees was approximately 30% of the total ACV Bookings amount.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7609" w:type="dxa"/>
        <w:jc w:val="left"/>
        <w:tblInd w:w="0" w:type="dxa"/>
        <w:tblLayout w:type="fixed"/>
        <w:tblCellMar>
          <w:top w:w="28" w:type="dxa"/>
          <w:left w:w="28" w:type="dxa"/>
          <w:bottom w:w="28" w:type="dxa"/>
          <w:right w:w="28" w:type="dxa"/>
        </w:tblCellMar>
      </w:tblPr>
      <w:tblGrid>
        <w:gridCol w:w="1114"/>
        <w:gridCol w:w="979"/>
        <w:gridCol w:w="982"/>
        <w:gridCol w:w="211"/>
        <w:gridCol w:w="511"/>
        <w:gridCol w:w="109"/>
        <w:gridCol w:w="109"/>
        <w:gridCol w:w="109"/>
        <w:gridCol w:w="109"/>
        <w:gridCol w:w="211"/>
        <w:gridCol w:w="511"/>
        <w:gridCol w:w="109"/>
        <w:gridCol w:w="109"/>
        <w:gridCol w:w="109"/>
        <w:gridCol w:w="109"/>
        <w:gridCol w:w="230"/>
        <w:gridCol w:w="557"/>
        <w:gridCol w:w="119"/>
        <w:gridCol w:w="119"/>
        <w:gridCol w:w="119"/>
        <w:gridCol w:w="119"/>
        <w:gridCol w:w="230"/>
        <w:gridCol w:w="557"/>
        <w:gridCol w:w="168"/>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amount above excludes this product line for the nine months ended June 30, 2023.</w:t>
      </w:r>
    </w:p>
    <w:p>
      <w:pPr>
        <w:pStyle w:val="TextBody"/>
        <w:bidi w:val="0"/>
        <w:spacing w:lineRule="auto" w:line="288" w:before="24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exiting each of the dates presented:</w:t>
      </w:r>
    </w:p>
    <w:tbl>
      <w:tblPr>
        <w:tblW w:w="10532" w:type="dxa"/>
        <w:jc w:val="left"/>
        <w:tblInd w:w="0" w:type="dxa"/>
        <w:tblLayout w:type="fixed"/>
        <w:tblCellMar>
          <w:top w:w="28" w:type="dxa"/>
          <w:left w:w="28" w:type="dxa"/>
          <w:bottom w:w="28" w:type="dxa"/>
          <w:right w:w="28" w:type="dxa"/>
        </w:tblCellMar>
      </w:tblPr>
      <w:tblGrid>
        <w:gridCol w:w="460"/>
        <w:gridCol w:w="404"/>
        <w:gridCol w:w="412"/>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7"/>
        <w:gridCol w:w="199"/>
        <w:gridCol w:w="45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2024</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ARR </w:t>
            </w:r>
            <w:r>
              <w:rPr>
                <w:rFonts w:ascii="Times New Roman;sans-serif" w:hAnsi="Times New Roman;sans-serif"/>
                <w:b/>
                <w:color w:val="000000"/>
                <w:sz w:val="13"/>
              </w:rPr>
              <w:t>(*)</w:t>
            </w:r>
          </w:p>
        </w:tc>
        <w:tc>
          <w:tcPr>
            <w:tcW w:w="925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amounts and percentages above exclude this product line at September 30, 2022 and December 31, 2022.</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exiting each of the dates presented:</w:t>
      </w:r>
    </w:p>
    <w:tbl>
      <w:tblPr>
        <w:tblW w:w="10414" w:type="dxa"/>
        <w:jc w:val="left"/>
        <w:tblInd w:w="0" w:type="dxa"/>
        <w:tblLayout w:type="fixed"/>
        <w:tblCellMar>
          <w:top w:w="28" w:type="dxa"/>
          <w:left w:w="28" w:type="dxa"/>
          <w:bottom w:w="28" w:type="dxa"/>
          <w:right w:w="28" w:type="dxa"/>
        </w:tblCellMar>
      </w:tblPr>
      <w:tblGrid>
        <w:gridCol w:w="522"/>
        <w:gridCol w:w="385"/>
        <w:gridCol w:w="36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316"/>
      </w:tblGrid>
      <w:tr>
        <w:trPr/>
        <w:tc>
          <w:tcPr>
            <w:tcW w:w="5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2024</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 xml:space="preserve">DBNRR </w:t>
            </w:r>
            <w:r>
              <w:rPr>
                <w:rFonts w:ascii="Times New Roman;sans-serif" w:hAnsi="Times New Roman;sans-serif"/>
                <w:b/>
                <w:color w:val="000000"/>
                <w:sz w:val="13"/>
              </w:rPr>
              <w:t>(*)</w:t>
            </w:r>
          </w:p>
        </w:tc>
        <w:tc>
          <w:tcPr>
            <w:tcW w:w="6910"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We sold certain assets related to our Siron compliance business during the quarter ended December 31, 2022, and the percentages above exclude this product line at September 30, 2022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7 and Note 10 to the accompanying condensed consolidated financial statements.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and nine-month periods ended June 30, 2024 and 2023:</w:t>
      </w:r>
    </w:p>
    <w:tbl>
      <w:tblPr>
        <w:tblW w:w="10205" w:type="dxa"/>
        <w:jc w:val="left"/>
        <w:tblInd w:w="0" w:type="dxa"/>
        <w:tblLayout w:type="fixed"/>
        <w:tblCellMar>
          <w:top w:w="28" w:type="dxa"/>
          <w:left w:w="28" w:type="dxa"/>
          <w:bottom w:w="28" w:type="dxa"/>
          <w:right w:w="28" w:type="dxa"/>
        </w:tblCellMar>
      </w:tblPr>
      <w:tblGrid>
        <w:gridCol w:w="298"/>
        <w:gridCol w:w="262"/>
        <w:gridCol w:w="266"/>
        <w:gridCol w:w="211"/>
        <w:gridCol w:w="976"/>
        <w:gridCol w:w="109"/>
        <w:gridCol w:w="109"/>
        <w:gridCol w:w="109"/>
        <w:gridCol w:w="109"/>
        <w:gridCol w:w="211"/>
        <w:gridCol w:w="976"/>
        <w:gridCol w:w="109"/>
        <w:gridCol w:w="109"/>
        <w:gridCol w:w="109"/>
        <w:gridCol w:w="109"/>
        <w:gridCol w:w="232"/>
        <w:gridCol w:w="234"/>
        <w:gridCol w:w="380"/>
        <w:gridCol w:w="152"/>
        <w:gridCol w:w="152"/>
        <w:gridCol w:w="152"/>
        <w:gridCol w:w="232"/>
        <w:gridCol w:w="234"/>
        <w:gridCol w:w="387"/>
        <w:gridCol w:w="109"/>
        <w:gridCol w:w="109"/>
        <w:gridCol w:w="109"/>
        <w:gridCol w:w="364"/>
        <w:gridCol w:w="1248"/>
        <w:gridCol w:w="190"/>
        <w:gridCol w:w="109"/>
        <w:gridCol w:w="109"/>
        <w:gridCol w:w="109"/>
        <w:gridCol w:w="309"/>
        <w:gridCol w:w="309"/>
        <w:gridCol w:w="90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color w:val="000000"/>
          <w:sz w:val="20"/>
        </w:rPr>
      </w:pPr>
      <w:r>
        <w:rPr>
          <w:rFonts w:ascii="Times New Roman;sans-serif" w:hAnsi="Times New Roman;sans-serif"/>
          <w:b/>
          <w:color w:val="000000"/>
          <w:sz w:val="20"/>
        </w:rPr>
        <w:t>Quarter Ended June 30, 2024 Compared to Quarter Ended June 30, 2023</w:t>
      </w:r>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$39.7 million due to an increase of $40.6 million in our business-to-business scores revenue, partially offset by a decrease of $0.9 million in our business-to-consumer revenue. The increase in business-to-business scores revenue was primarily attributable to a higher unit price, partially offset by a decrease in volume of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$9.5 million due to an $11.7 million increase in our on-premises and SaaS software revenue, partially offset by a $2.2 million decrease in professional services revenue. The increase in our on-premises and SaaS software revenue was primarily attributable to an increase in revenue recognized over time largely driven by SaaS growth.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Nine Months Ended June 30, 2024 Compared to Nine Months Ended June 30, 2023 </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$92.2 million due to an increase of $96.8 million in our business-to-business scores revenue, partially offset by a decrease of $4.6 million in our business-to-consumer revenue. The increase in business-to-business scores revenue was primarily attributable to a higher unit price, partially offset by a decrease in volume of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$47.7 million due to a $58.4 million increase in our on-premises and SaaS software revenue, partially offset by a $10.7 million decrease in professional services revenue. The increase in our on-premises and SaaS software revenue was primarily attributable to an increase in revenue recognized over time largely driven by SaaS growth. The decrease in professional services revenue was primarily attributable to our strategy to emphasize higher-margin software over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bidi w:val="0"/>
        <w:spacing w:lineRule="auto" w:line="288" w:before="12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and nine-month periods ended June 30, 2024 and 2023:</w:t>
      </w:r>
    </w:p>
    <w:tbl>
      <w:tblPr>
        <w:tblW w:w="10205" w:type="dxa"/>
        <w:jc w:val="left"/>
        <w:tblInd w:w="0" w:type="dxa"/>
        <w:tblLayout w:type="fixed"/>
        <w:tblCellMar>
          <w:top w:w="28" w:type="dxa"/>
          <w:left w:w="28" w:type="dxa"/>
          <w:bottom w:w="28" w:type="dxa"/>
          <w:right w:w="28" w:type="dxa"/>
        </w:tblCellMar>
      </w:tblPr>
      <w:tblGrid>
        <w:gridCol w:w="812"/>
        <w:gridCol w:w="486"/>
        <w:gridCol w:w="492"/>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5"/>
        <w:gridCol w:w="1043"/>
        <w:gridCol w:w="158"/>
        <w:gridCol w:w="109"/>
        <w:gridCol w:w="109"/>
        <w:gridCol w:w="109"/>
        <w:gridCol w:w="240"/>
        <w:gridCol w:w="230"/>
        <w:gridCol w:w="674"/>
      </w:tblGrid>
      <w:tr>
        <w:trPr/>
        <w:tc>
          <w:tcPr>
            <w:tcW w:w="81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60"/>
        <w:gridCol w:w="404"/>
        <w:gridCol w:w="409"/>
        <w:gridCol w:w="211"/>
        <w:gridCol w:w="976"/>
        <w:gridCol w:w="109"/>
        <w:gridCol w:w="109"/>
        <w:gridCol w:w="109"/>
        <w:gridCol w:w="109"/>
        <w:gridCol w:w="211"/>
        <w:gridCol w:w="976"/>
        <w:gridCol w:w="109"/>
        <w:gridCol w:w="109"/>
        <w:gridCol w:w="109"/>
        <w:gridCol w:w="109"/>
        <w:gridCol w:w="233"/>
        <w:gridCol w:w="233"/>
        <w:gridCol w:w="380"/>
        <w:gridCol w:w="152"/>
        <w:gridCol w:w="152"/>
        <w:gridCol w:w="152"/>
        <w:gridCol w:w="233"/>
        <w:gridCol w:w="233"/>
        <w:gridCol w:w="387"/>
        <w:gridCol w:w="109"/>
        <w:gridCol w:w="109"/>
        <w:gridCol w:w="109"/>
        <w:gridCol w:w="263"/>
        <w:gridCol w:w="1035"/>
        <w:gridCol w:w="138"/>
        <w:gridCol w:w="109"/>
        <w:gridCol w:w="109"/>
        <w:gridCol w:w="109"/>
        <w:gridCol w:w="290"/>
        <w:gridCol w:w="216"/>
        <w:gridCol w:w="635"/>
      </w:tblGrid>
      <w:tr>
        <w:trPr/>
        <w:tc>
          <w:tcPr>
            <w:tcW w:w="7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quarter-over-prior year quarter increase in cost of revenues of $16.4 million was primarily attributable to an $11.1 million increase in infrastructure and facilities costs, a $3.8 million increase in personnel and labor costs, and a $1.1 million increase in outside services costs. The increase in infrastructure and facilities costs was primarily attributable to a prior-year quarter one-time reimbursement from a third-party data center provider for implementation costs previously incurred. The increase in personnel and labor costs was primarily attributable to increased incentive expense and increased headcount. The increase in outside services costs was primarily attributable to increased consulting expenses. Cost of revenues as a percentage of revenues increased to 20% during the quarter ended June 30, 2024 from 18% during the quarter ended June 30, 2023, primarily due to the increase in infrastructure and facilities costs, partially offset by increased sales of our higher-margin Scores products.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year-to-date period-over-period increase in cost of revenues of $30.4 million was primarily attributable to a $14.9 million increase in infrastructure and facilities costs, a $9.9 million increase in personnel and labor costs, a $3.5 million increase in direct materials costs, and a $2.1 million increase in outside services costs. The increase in infrastructure and facilities costs was primarily attributable to a prior-year period one-time reimbursement from a third-party data center provider for implementation costs previously incurred. The increase in personnel and labor costs was primarily attributable to increased headcount and increased share-based compensation expense. The increase in direct materials costs was primarily attributable to increased telecommunications expenses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Customer Communications Services revenue. The increase in outside services costs was primarily attributable to increased consulting expenses. Cost of revenues as a percentage of revenues increased to 21% during the nine months ended June 30, 2024 from 20% during the nine months ended June 30, 2023, primarily due to the increase in infrastructure and facilities costs, partially offset by increased sales of our higher-margin Scores products.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$2.8 million was primarily attributable to increased third-party data center hosting costs and an increase in personnel and labor costs as a result of increased incentive expense. Research and development expenses as a percentage of revenues decreased to 10% during the quarter ended June 30, 2024 from 11% during the quarter ended June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research and development expenses of $9.4 million was primarily attributable to an increase in personnel and labor costs, as a result of increased share-based compensation expense, headcount, and incentive expense, and increased third-party data center hosting costs. Research and development expenses as a percentage of revenues decreased to 10% during the nine months ended June 30, 2024 from 11% during the nine months ended June 30,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$16.8 million was primarily attributable to a $12.3 million increase in personnel and labor costs, a $2.7 million increase in outside services costs, and a $1.6 million increase in advertising and other promotional expenses. The increase in personnel and labor costs was primarily attributable to increased share-based compensation expense, increased headcount, and increased incentive expense. The increase in outside services costs was primarily attributable to increased legal and consulting expenses. The increase in advertising and other promotional expenses was primarily attributable to increased costs for corporate events. Selling, general and administrative expenses as a percentage of revenues increased to 28% during the quarter ended June 30, 2024 from 27% during the quarter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selling, general and administrative expenses of $38.8 million was primarily attributable to a $29.5 million increase in personnel and labor costs, a $3.0 million increase in outside services costs, a $2.6 million increase in advertising and other promotional expenses, a $2.5 million increase in travel costs, and a $2.0 million increase in infrastructure and facilities costs. The increase in personnel and labor costs was primarily attributable to increased share-based compensation expense, increased headcount, increased fringe benefit costs related to our supplemental retirement and savings plan, and increased incentive expense. The increase in outside services costs was primarily attributable to increased legal expenses. The increase in advertising and other promotional expenses was primarily attributable to increased costs for corporate events. The increase in travel costs was primarily attributable to promotional events. The increase in infrastructure and facilities costs was primarily attributable to the impact of a favorable adjustment in the prior-year period from the termination of an office lease. Selling, general and administrative expenses as a percentage of revenues remained consistent at 27% during each of the nine months ended June 30, 2024 and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five years.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$0.3 million during each of the quarters ended June 30, 2024 and 2023.</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$0.8 million during each of the nine months ended June 30, 2024 and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Gain on Product Line Asset Sale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gain on product line asset sale during the nine months ended June 30, 2023 was attributable to the sale of certain assets related to our Siron compliance business.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loans.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$2.3 million was primarily attributable to a higher average interest rate and higher average outstanding balance of borrowings under our credit agreement during the quarter ended June 30,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interest expense of $5.9 million was primarily attributable to a higher average interest rate and higher average outstanding balance of borrowings under our credit agreement during the nine months ended June 30, 2024.</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decrease in other income, net of $1.4 million was primarily attributable to a decrease in net unrealized gains on investments classified as trading securities in our supplemental retirement and savings plan.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other income, net of $4.0 million was primarily attributable to an increase in net realized and unrealized gains on investments classified as trading securities in our supplemental retirement and savings plan and a decrease in foreign currency exchange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24.5% and 18.4% during the quarters ended June 30, 2024 and 2023, respectively, and 19.9% and 20.6% during the nine months ended June 30, 2024 and 2023,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quarter ended June 30, 2023 was favorably impacted by the release of the valuation allowance previously established for our California state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and nine-month periods ended June 30, 2024 and 2023.</w:t>
      </w: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$13.2 million was attributable to a $49.2 million increase in segment revenues, partially offset by an $18.5 million increase in segment operating expenses, a $9.4 million increase in share-based compensation cost, and an $8.0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$22.7 million was the result of a $36.0 million increase in our Scores segment operating income, partially offset by an $8.0 million increase in corporate expenses and a $5.3 million decrease in our Software segment operating income.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$36.0 million was due to a $39.7 million increase in segment revenue, partially offset by a $3.7 million increase in segment operating expenses. Segment operating income as a percentage of segment revenue for Scores was 88%, consistent with the quarter ended June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decrease in Software segment operating income of $5.3 million was due to a $14.8 million increase in segment operating expenses, partially offset by a $9.5 million increase in segment revenue. Segment operating income as a percentage of segment revenue for Software decreased to 34% from 38%, primarily attributable to a prior-year quarter one-time reimbursement from a third-party data center provider for implementation costs previously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7"/>
        <w:gridCol w:w="1099"/>
        <w:gridCol w:w="1122"/>
        <w:gridCol w:w="211"/>
        <w:gridCol w:w="826"/>
        <w:gridCol w:w="109"/>
        <w:gridCol w:w="109"/>
        <w:gridCol w:w="109"/>
        <w:gridCol w:w="109"/>
        <w:gridCol w:w="211"/>
        <w:gridCol w:w="826"/>
        <w:gridCol w:w="109"/>
        <w:gridCol w:w="109"/>
        <w:gridCol w:w="109"/>
        <w:gridCol w:w="109"/>
        <w:gridCol w:w="384"/>
        <w:gridCol w:w="1318"/>
        <w:gridCol w:w="200"/>
        <w:gridCol w:w="109"/>
        <w:gridCol w:w="109"/>
        <w:gridCol w:w="109"/>
        <w:gridCol w:w="315"/>
        <w:gridCol w:w="315"/>
        <w:gridCol w:w="922"/>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of $59.3 million in operating income was primarily attributable to a $139.9 million increase in segment revenues, partially offset by a $41.8 million increase in segment operating expenses, a $19.7 million increase in share-based compensation cost, and a $17.1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year-to-date period-over-period increase of $81.0 million in segment operating income was the result of an $84.8 million increase in our Scores segment operating income and a $13.3 million increase in our Software segment operating income, partially offset by a $17.1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$84.8 million increase in Scores segment operating income was attributable to a $92.2 million increase in segment revenue, partially offset by a $7.4 million increase in segment operating expenses. Segment operating income as a percentage of segment revenue for Scores increased to 89% from 88%.</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$13.3 million increase in Software segment operating income was attributable to a $47.7 million increase in segment revenue, partially offset by a $34.4 million increase in segment operating expenses. Segment operating income as a percentage of segment revenue for Software was 32%, consistent with the nine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$156.0 million in cash and cash equivalents, which included $120.8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the $300 Million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bidi w:val="0"/>
        <w:spacing w:lineRule="auto" w:line="288" w:before="300" w:after="283"/>
        <w:ind w:left="0" w:right="0" w:firstLine="225"/>
        <w:jc w:val="left"/>
        <w:rPr/>
      </w:pPr>
      <w:r>
        <w:rPr>
          <w:rFonts w:ascii="Times New Roman;sans-serif" w:hAnsi="Times New Roman;sans-serif"/>
          <w:b/>
          <w:i/>
          <w:color w:val="000000"/>
          <w:sz w:val="20"/>
        </w:rPr>
        <w:t>Summary of Cash Flows</w:t>
      </w:r>
      <w:r>
        <w:rPr>
          <w:color w:val="000000"/>
        </w:rPr>
        <w:t> </w:t>
      </w:r>
    </w:p>
    <w:tbl>
      <w:tblPr>
        <w:tblW w:w="8270"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826"/>
        <w:gridCol w:w="109"/>
        <w:gridCol w:w="109"/>
        <w:gridCol w:w="109"/>
        <w:gridCol w:w="109"/>
        <w:gridCol w:w="350"/>
        <w:gridCol w:w="1372"/>
        <w:gridCol w:w="25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101,620 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(93,745)</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increased to $406.5 million during the nine months ended June 30, 2024 from $304.9 million during the nine months ended June 30, 2023. The $101.6 million increase was attributable to a $49.2 million increase in net income, a $33.4 million increase in non-cash items, and a $19.0 million increase due to the timing of receipts and payments in our ordinary course of business.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to $20.4 million for the nine months ended June 30, 2024 from $13.0 million for the nine months ended June 30, 2023. The $7.5 million increase was primarily attributable to an $11.3 million increase in capitalized internal-use software costs and a $4.0 million increase in purchases of property and equipment, partially offset by a $6.1 million decrease in cash transferred, net of proceeds, from a product line asset sale.</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to $365.0 million for the nine months ended June 30, 2024 from $271.2 million for the nine months ended June 30, 2023. The $93.7 million increase was primarily attributable to a $213.0 million increase in repurchases of common stock and a $61.8 million increase in taxes paid related to net share settlement of equity awards, partially offset by a $183.0 million increase in proceeds, net of payments, from our revolving line of credit and term loans.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our Board of Directors approved a stock repurchase program (the “January 2024 program”), replacing our previously authorized October 2022 stock repurchase program, which was terminated prior to its expiration. The January 2024 program was open-ended and authorized repurchases of shares of our common stock from time to time up to an aggregate cost of $500.0 million in the open market or in negotiated transactions. As of June 30, 2024, we had $113.6 million remaining under the January 2024 program. We expended $255.5 million and $98.6 million during the quarters ended June 30, 2024 and 2023, respectively, and $506.8 million and $289.9 million during the nine months ended June 30, 2024 and 2023, respectively, under the January 2024 program and previously authorized stock repurchase programs,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our Board of Directors approved a new stock repurchase program, replacing the January 2024 program, which was terminated prior to its expiration and under which $29.6 million was remaining for repurchase at the time of termination. The new program is open-ended and authorizes repurchases of shares of our common stock from time to time up to an aggregate cost of $1.0 billion in the open market or in negotiated transactions. The new stock repurchase program became effective on July 29, 2024, and remains in effect until the total authorized amount is expended or until further action by our Board of Directors.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a $600 million unsecured revolving line of credit and a $300 million unsecured term loan (the “$300 Million Term Loan”) with a syndicate of banks that mature on August 19, 2026. Borrowings under the revolving line of credit and the $300 Million Term Loan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Interest rates on amounts borrowed under the revolving line of credit and the $300 Million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(or, </w:t>
      </w:r>
      <w:r>
        <w:rPr>
          <w:rFonts w:ascii="Times New Roman;sans-serif" w:hAnsi="Times New Roman;sans-serif"/>
          <w:b w:val="false"/>
          <w:color w:val="212529"/>
          <w:sz w:val="20"/>
        </w:rPr>
        <w:t>if such rate is no longer available, a successor benchmark rate determined in accordance with the terms of the credit agreement)</w:t>
      </w:r>
      <w:r>
        <w:rPr>
          <w:rFonts w:ascii="Times New Roman;sans-serif" w:hAnsi="Times New Roman;sans-serif"/>
          <w:b w:val="false"/>
          <w:color w:val="000000"/>
          <w:sz w:val="20"/>
        </w:rPr>
        <w: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$300 Million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2024, we amended our credit agreement to provide for the issuance of a new $450 million unsecured term loan (the “$450 Million Term Loan”) with a syndicate of banks, increasing the total capacity of the credit agreement to $1.35 billion. The $450 Million Term Loan is subject to the same interest rate provisions and covenants as the revolving line of credit and the $300 Million Term Loan, and matures on August 19, 2026. We have no obligation to make scheduled principal payments on the $450 Million Term Loan prior to the maturity date, but may prepay the $450 Million Term Loan, without premium or penalty, in whole or in part.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$118.0 million in borrowings outstanding under the revolving line of credit at a weighted-average interest rate of 6.688%, $262.5 million in outstanding balance of the $300 Million Term Loan at an interest rate of 6.688%, and $450.0 million in outstanding balance of the $450 Million Term Loan at an interest rate of 6.697%. We were in compliance with all financial covenants under the credit agreement as of June 30, 2024.</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June 30, 2024, the carrying value of the Senior Notes was $1.3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2023 (“Annual Report on Form 10-K”). There have been no significant changes from the critical accounting estimates disclosed in our Annual Report on Form 10-K.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recently adopted and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June 30, 2024 and September 30, 2023: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2024 and September 30, 2023:</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loans. Interest rates on amounts borrowed under the revolving line of credit and term loans are based on (i) an adjusted base rate, which is the greatest of (a) the prime rate, (b) the Federal Funds rate plus 0.5%, and (c) one-month adjusted term SOFR rate plus 1%, plus, in each case, an applicable margin, or (ii) an adjusted term SOFR rate plus an applicable margin (or, if such rate is no longer available, a successor benchmark rate determined in accordance with the terms of the credit agreement).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June 30, 2024, we had $118.0 million in borrowings outstanding under the revolving line of credit at a weighted-average interest rate of 6.688%, $262.5 million in outstanding balance of the $300 Million Term Loan at an interest rate of 6.688%, and $450.0 million in outstanding balance of the $450 Million Term Loan at an interest rate of 6.697%.</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June 30, 2024 and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June 30, 2024 and September 30, 2023;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June 30, 2024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3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2023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120" w:after="283"/>
        <w:jc w:val="left"/>
        <w:rPr/>
      </w:pPr>
      <w:r>
        <w:rPr>
          <w:rFonts w:ascii="Times New Roman;sans-serif" w:hAnsi="Times New Roman;sans-serif"/>
          <w:b/>
          <w:color w:val="000000"/>
          <w:sz w:val="20"/>
        </w:rPr>
        <w:t>Issuer Purchases of Equity Securities</w:t>
      </w:r>
      <w:r>
        <w:rPr>
          <w:color w:val="000000"/>
        </w:rPr>
        <w:t> </w:t>
      </w:r>
    </w:p>
    <w:tbl>
      <w:tblPr>
        <w:tblW w:w="9471" w:type="dxa"/>
        <w:jc w:val="left"/>
        <w:tblInd w:w="0" w:type="dxa"/>
        <w:tblLayout w:type="fixed"/>
        <w:tblCellMar>
          <w:top w:w="28" w:type="dxa"/>
          <w:left w:w="28" w:type="dxa"/>
          <w:bottom w:w="28" w:type="dxa"/>
          <w:right w:w="28" w:type="dxa"/>
        </w:tblCellMar>
      </w:tblPr>
      <w:tblGrid>
        <w:gridCol w:w="1124"/>
        <w:gridCol w:w="990"/>
        <w:gridCol w:w="1006"/>
        <w:gridCol w:w="412"/>
        <w:gridCol w:w="414"/>
        <w:gridCol w:w="346"/>
        <w:gridCol w:w="109"/>
        <w:gridCol w:w="109"/>
        <w:gridCol w:w="109"/>
        <w:gridCol w:w="211"/>
        <w:gridCol w:w="871"/>
        <w:gridCol w:w="109"/>
        <w:gridCol w:w="109"/>
        <w:gridCol w:w="109"/>
        <w:gridCol w:w="109"/>
        <w:gridCol w:w="485"/>
        <w:gridCol w:w="485"/>
        <w:gridCol w:w="486"/>
        <w:gridCol w:w="109"/>
        <w:gridCol w:w="109"/>
        <w:gridCol w:w="109"/>
        <w:gridCol w:w="211"/>
        <w:gridCol w:w="118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through April 30,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293,538,378 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through May 31, 2024</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100,671 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161,561,667 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through June 30,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198,456 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195,734 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113,592,727 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2,722 shares delivered in satisfaction of the tax withholding obligations resulting from the vesting of restricted stock units held by employees during the quarter ended June 30, 2024.</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January 2024, our Board of Directors approved a stock repurchase program replacing our previously authorized October 2022 program, which was terminated prior to its expiration. The January 2024 program was open-ended and authorized repurchases of shares of our common stock from time to time up to an aggregate cost of $500.0 million in the open market or in negotiated transactions. In July 2024, our Board of Directors approved a new stock repurchase program, replacing the January 2024 stock repurchase program, which was terminated prior to its expiration. The new program is open-ended and authorizes repurchases of shares of our common stock from time to time up to an aggregate cost of $1.0 billion in the open market or in negotiated transactions. The new stock repurchase program became effective on July 29, 2024, and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4, 2024, James Wehmann, our Executive Vice President, Scores, entered into a pre-arranged trading plan that is intended to satisfy the affirmative defense of Rule 10b5-1(c) of the Securities Exchange Act of 1934, as amended. This plan provides for the sale of up to 10,000 shares of our common stock in the aggregate, and terminates on the earlier of the close of market on May 30, 2025 or the date all shares are sold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285"/>
        <w:gridCol w:w="252"/>
        <w:gridCol w:w="253"/>
        <w:gridCol w:w="109"/>
        <w:gridCol w:w="109"/>
        <w:gridCol w:w="109"/>
        <w:gridCol w:w="2682"/>
        <w:gridCol w:w="2638"/>
        <w:gridCol w:w="3768"/>
      </w:tblGrid>
      <w:tr>
        <w:trPr/>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 xml:space="preserve">Third Amendment to Second Amended and Restated Credit Agreement among the Company, the several banks and other financial institutions from time to time parties thereto, and Wells Fargo Bank, National Association, as administrative agent, dated as of June 13, 2024 (Incorporated by reference to Exhibit 10.1 to the Company’s Form 8-K filed on June 14, 2024). </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32024.htm">
              <w:r>
                <w:rPr>
                  <w:rStyle w:val="InternetLink"/>
                  <w:rFonts w:ascii="Times New Roman;sans-serif" w:hAnsi="Times New Roman;sans-serif"/>
                  <w:b w:val="false"/>
                  <w:color w:val="0000FF"/>
                  <w:sz w:val="20"/>
                  <w:u w:val="single"/>
                </w:rPr>
                <w:t>Rule 13a-14(a)/15d-14(a) Certifications of CEO.</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32024.htm">
              <w:r>
                <w:rPr>
                  <w:rStyle w:val="InternetLink"/>
                  <w:rFonts w:ascii="Times New Roman;sans-serif" w:hAnsi="Times New Roman;sans-serif"/>
                  <w:b w:val="false"/>
                  <w:color w:val="0000FF"/>
                  <w:sz w:val="20"/>
                  <w:u w:val="single"/>
                </w:rPr>
                <w:t>Rule 13a-14(a)/15d-14(a) Certifications of CFO.</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32024.htm">
              <w:r>
                <w:rPr>
                  <w:rStyle w:val="InternetLink"/>
                  <w:rFonts w:ascii="Times New Roman;sans-serif" w:hAnsi="Times New Roman;sans-serif"/>
                  <w:b w:val="false"/>
                  <w:color w:val="0000FF"/>
                  <w:sz w:val="20"/>
                  <w:u w:val="single"/>
                </w:rPr>
                <w:t>Section 1350 Certification of CEO.</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32024.htm">
              <w:r>
                <w:rPr>
                  <w:rStyle w:val="InternetLink"/>
                  <w:rFonts w:ascii="Times New Roman;sans-serif" w:hAnsi="Times New Roman;sans-serif"/>
                  <w:b w:val="false"/>
                  <w:color w:val="0000FF"/>
                  <w:sz w:val="20"/>
                  <w:u w:val="single"/>
                </w:rPr>
                <w:t>Section 1350 Certification of CFO.</w:t>
              </w:r>
            </w:hyperlink>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2f00dcd740a49c982c9e7a7fb53b18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622" w:type="dxa"/>
        <w:jc w:val="left"/>
        <w:tblInd w:w="0" w:type="dxa"/>
        <w:tblLayout w:type="fixed"/>
        <w:tblCellMar>
          <w:top w:w="28" w:type="dxa"/>
          <w:left w:w="28" w:type="dxa"/>
          <w:bottom w:w="28" w:type="dxa"/>
          <w:right w:w="28" w:type="dxa"/>
        </w:tblCellMar>
      </w:tblPr>
      <w:tblGrid>
        <w:gridCol w:w="249"/>
        <w:gridCol w:w="220"/>
        <w:gridCol w:w="221"/>
        <w:gridCol w:w="404"/>
        <w:gridCol w:w="404"/>
        <w:gridCol w:w="407"/>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31, 2024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31, 2024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05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27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095012310009970/c56194exv3w2.htm" TargetMode="External"/><Relationship Id="rId3" Type="http://schemas.openxmlformats.org/officeDocument/2006/relationships/hyperlink" Target="https://www.sec.gov/Archives/edgar/data/814547/000095012310009970/c56194exv3w1.htm" TargetMode="External"/><Relationship Id="rId4" Type="http://schemas.openxmlformats.org/officeDocument/2006/relationships/hyperlink" Target="https://www.sec.gov/Archives/edgar/data/814547/000119312524161586/d853494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17969</Words>
  <Characters>98833</Characters>
  <CharactersWithSpaces>115209</CharactersWithSpaces>
  <Paragraphs>3424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