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107315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92710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400" w:right="40" w:hanging="374"/>
        <w:spacing w:after="0" w:line="235" w:lineRule="auto"/>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35" w:lineRule="exact"/>
        <w:rPr>
          <w:sz w:val="24"/>
          <w:szCs w:val="24"/>
          <w:color w:val="auto"/>
        </w:rPr>
      </w:pPr>
    </w:p>
    <w:p>
      <w:pPr>
        <w:ind w:left="400" w:right="60" w:hanging="374"/>
        <w:spacing w:after="0" w:line="235" w:lineRule="auto"/>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to</w:t>
            </w:r>
          </w:p>
        </w:tc>
      </w:tr>
      <w:tr>
        <w:trPr>
          <w:trHeight w:val="385"/>
        </w:trPr>
        <w:tc>
          <w:tcPr>
            <w:tcW w:w="34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-256540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76835</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71"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6140" w:type="dxa"/>
            <w:vAlign w:val="bottom"/>
            <w:gridSpan w:val="3"/>
          </w:tcPr>
          <w:p>
            <w:pPr>
              <w:jc w:val="center"/>
              <w:ind w:left="81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20" w:type="dxa"/>
            <w:vAlign w:val="bottom"/>
          </w:tcPr>
          <w:p>
            <w:pPr>
              <w:spacing w:after="0"/>
              <w:rPr>
                <w:sz w:val="20"/>
                <w:szCs w:val="20"/>
                <w:color w:val="auto"/>
              </w:rPr>
            </w:pPr>
          </w:p>
        </w:tc>
      </w:tr>
      <w:tr>
        <w:trPr>
          <w:trHeight w:val="175"/>
        </w:trPr>
        <w:tc>
          <w:tcPr>
            <w:tcW w:w="246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94-1499887</w:t>
            </w:r>
          </w:p>
        </w:tc>
      </w:tr>
      <w:tr>
        <w:trPr>
          <w:trHeight w:val="186"/>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Identification No.)</w:t>
            </w:r>
          </w:p>
        </w:tc>
      </w:tr>
      <w:tr>
        <w:trPr>
          <w:trHeight w:val="291"/>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5 West Mendenhall, Suite 105</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59715</w:t>
            </w:r>
          </w:p>
        </w:tc>
      </w:tr>
      <w:tr>
        <w:trPr>
          <w:trHeight w:val="225"/>
        </w:trPr>
        <w:tc>
          <w:tcPr>
            <w:tcW w:w="6140" w:type="dxa"/>
            <w:vAlign w:val="bottom"/>
            <w:gridSpan w:val="3"/>
          </w:tcPr>
          <w:p>
            <w:pPr>
              <w:ind w:left="280"/>
              <w:spacing w:after="0"/>
              <w:rPr>
                <w:sz w:val="20"/>
                <w:szCs w:val="20"/>
                <w:color w:val="auto"/>
              </w:rPr>
            </w:pPr>
            <w:r>
              <w:rPr>
                <w:rFonts w:ascii="Arial" w:cs="Arial" w:eastAsia="Arial" w:hAnsi="Arial"/>
                <w:sz w:val="18"/>
                <w:szCs w:val="18"/>
                <w:b w:val="1"/>
                <w:bCs w:val="1"/>
                <w:color w:val="auto"/>
              </w:rPr>
              <w:t>Bozeman, Montana</w:t>
            </w:r>
          </w:p>
        </w:tc>
        <w:tc>
          <w:tcPr>
            <w:tcW w:w="1220" w:type="dxa"/>
            <w:vAlign w:val="bottom"/>
          </w:tcPr>
          <w:p>
            <w:pPr>
              <w:spacing w:after="0"/>
              <w:rPr>
                <w:sz w:val="19"/>
                <w:szCs w:val="19"/>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77"/>
        </w:trPr>
        <w:tc>
          <w:tcPr>
            <w:tcW w:w="6140" w:type="dxa"/>
            <w:vAlign w:val="bottom"/>
            <w:gridSpan w:val="3"/>
          </w:tcPr>
          <w:p>
            <w:pPr>
              <w:jc w:val="center"/>
              <w:ind w:left="757"/>
              <w:spacing w:after="0"/>
              <w:rPr>
                <w:sz w:val="20"/>
                <w:szCs w:val="20"/>
                <w:color w:val="auto"/>
              </w:rPr>
            </w:pPr>
            <w:r>
              <w:rPr>
                <w:rFonts w:ascii="Arial" w:cs="Arial" w:eastAsia="Arial" w:hAnsi="Arial"/>
                <w:sz w:val="18"/>
                <w:szCs w:val="18"/>
                <w:b w:val="1"/>
                <w:bCs w:val="1"/>
                <w:color w:val="auto"/>
                <w:w w:val="89"/>
              </w:rPr>
              <w:t>Registrant’s telephone number, including area code: 406-982-7276</w:t>
            </w:r>
          </w:p>
        </w:tc>
        <w:tc>
          <w:tcPr>
            <w:tcW w:w="122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6"/>
              </w:rPr>
              <w:t>Title of each class</w:t>
            </w:r>
          </w:p>
        </w:tc>
        <w:tc>
          <w:tcPr>
            <w:tcW w:w="2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8"/>
                <w:szCs w:val="18"/>
                <w:color w:val="auto"/>
                <w:w w:val="97"/>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3" w:lineRule="exact"/>
        <w:rPr>
          <w:sz w:val="20"/>
          <w:szCs w:val="20"/>
          <w:color w:val="auto"/>
        </w:rPr>
      </w:pPr>
    </w:p>
    <w:p>
      <w:pPr>
        <w:ind w:left="920"/>
        <w:spacing w:after="0" w:line="207" w:lineRule="exact"/>
        <w:tabs>
          <w:tab w:leader="none" w:pos="1580" w:val="left"/>
          <w:tab w:leader="none" w:pos="2340" w:val="left"/>
          <w:tab w:leader="none" w:pos="30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w:t>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common stock outstanding on July 22, 2022 was 25,252,514 (excluding 63,604,269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1640" w:type="dxa"/>
            <w:vAlign w:val="bottom"/>
            <w:tcBorders>
              <w:top w:val="single" w:sz="8" w:color="0000FF"/>
            </w:tcBorders>
            <w:gridSpan w:val="5"/>
          </w:tcPr>
          <w:p>
            <w:pPr>
              <w:spacing w:after="0"/>
              <w:rPr>
                <w:sz w:val="22"/>
                <w:szCs w:val="22"/>
                <w:color w:val="auto"/>
              </w:rPr>
            </w:pP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37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Controls and Procedures</w:t>
              </w:r>
            </w:hyperlink>
          </w:p>
        </w:tc>
        <w:tc>
          <w:tcPr>
            <w:tcW w:w="2560" w:type="dxa"/>
            <w:vAlign w:val="bottom"/>
            <w:tcBorders>
              <w:top w:val="single" w:sz="8" w:color="0000FF"/>
            </w:tcBorders>
            <w:gridSpan w:val="4"/>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 – OTHER INFORMATION</w:t>
              </w:r>
            </w:hyperlink>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840" w:type="dxa"/>
            <w:vAlign w:val="bottom"/>
            <w:tcBorders>
              <w:top w:val="single" w:sz="8" w:color="0000FF"/>
            </w:tcBorders>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39</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Unregistered Sales of Equity Securities and Use of Proceeds</w:t>
              </w:r>
            </w:hyperlink>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Defaults Upon Senior Securities</w:t>
              </w:r>
            </w:hyperlink>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Mine Safety Disclosures</w:t>
              </w:r>
            </w:hyperlink>
          </w:p>
        </w:tc>
        <w:tc>
          <w:tcPr>
            <w:tcW w:w="4680" w:type="dxa"/>
            <w:vAlign w:val="bottom"/>
            <w:gridSpan w:val="6"/>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6440" w:type="dxa"/>
            <w:vAlign w:val="bottom"/>
            <w:gridSpan w:val="1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374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Signatures</w:t>
              </w:r>
            </w:hyperlink>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par value data)</w:t>
            </w: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312,107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550,974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47,275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788,185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74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20,749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maturities on debt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559,207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1,826,671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1,009,018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2,304,308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1,678,718</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($0.01 par value; 200,000 shares authorized, 88,857 shares issued and 25,252 and 27,568</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June 30, 2022 and September 30, 2021, respectively)</w:t>
            </w: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1,237,348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Treasury stock, at cost (63,605 and 61,289 shares at June 30, 2022 and September 30, 2021, respectively)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(3,857,855)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2,867,985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2,585,143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(847,472)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On-premises and SaaS software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142,537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130,230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417,963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382,236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Scores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485,572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981,959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260,101</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130,089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298,912</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on product line asset sales and business divestiture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208,351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620,264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591,655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390,304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(29,602)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187,892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367,676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306,364</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325,809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40" w:type="dxa"/>
            <w:vAlign w:val="bottom"/>
          </w:tcPr>
          <w:p>
            <w:pPr>
              <w:jc w:val="center"/>
              <w:ind w:right="11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1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Paid-in-Capital</w:t>
            </w:r>
          </w:p>
        </w:tc>
        <w:tc>
          <w:tcPr>
            <w:tcW w:w="11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40" w:type="dxa"/>
            <w:vAlign w:val="bottom"/>
          </w:tcPr>
          <w:p>
            <w:pPr>
              <w:jc w:val="center"/>
              <w:ind w:right="11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4"/>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1,242,280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(4,599,242)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2,774,485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(81,199)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(663,416)</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28,549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28,549</w:t>
            </w:r>
          </w:p>
        </w:tc>
        <w:tc>
          <w:tcPr>
            <w:tcW w:w="0" w:type="dxa"/>
            <w:vAlign w:val="bottom"/>
          </w:tcPr>
          <w:p>
            <w:pPr>
              <w:spacing w:after="0"/>
              <w:rPr>
                <w:sz w:val="1"/>
                <w:szCs w:val="1"/>
                <w:color w:val="auto"/>
              </w:rPr>
            </w:pPr>
          </w:p>
        </w:tc>
      </w:tr>
      <w:tr>
        <w:trPr>
          <w:trHeight w:val="138"/>
        </w:trPr>
        <w:tc>
          <w:tcPr>
            <w:tcW w:w="3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(735)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(282,423)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(282,431)</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93,500</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(22,496)</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(4,881,304)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2,867,985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(847,472)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160" w:type="dxa"/>
            <w:vAlign w:val="bottom"/>
          </w:tcPr>
          <w:p>
            <w:pPr>
              <w:spacing w:after="0"/>
              <w:rPr>
                <w:sz w:val="23"/>
                <w:szCs w:val="23"/>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1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1"/>
        </w:trPr>
        <w:tc>
          <w:tcPr>
            <w:tcW w:w="31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3160" w:type="dxa"/>
            <w:vAlign w:val="bottom"/>
            <w:vMerge w:val="continue"/>
          </w:tcPr>
          <w:p>
            <w:pPr>
              <w:spacing w:after="0"/>
              <w:rPr>
                <w:sz w:val="8"/>
                <w:szCs w:val="8"/>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Paid-in-Capital</w:t>
            </w: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8"/>
                <w:szCs w:val="8"/>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8"/>
                <w:szCs w:val="8"/>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8"/>
                <w:szCs w:val="8"/>
                <w:color w:val="auto"/>
              </w:rPr>
            </w:pPr>
          </w:p>
        </w:tc>
        <w:tc>
          <w:tcPr>
            <w:tcW w:w="1140" w:type="dxa"/>
            <w:vAlign w:val="bottom"/>
            <w:vMerge w:val="restart"/>
          </w:tcPr>
          <w:p>
            <w:pPr>
              <w:jc w:val="center"/>
              <w:ind w:right="9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92"/>
        </w:trPr>
        <w:tc>
          <w:tcPr>
            <w:tcW w:w="3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1,181,692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(3,239,109)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2,348,225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223,303</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30,004</w:t>
            </w:r>
          </w:p>
        </w:tc>
        <w:tc>
          <w:tcPr>
            <w:tcW w:w="0" w:type="dxa"/>
            <w:vAlign w:val="bottom"/>
          </w:tcPr>
          <w:p>
            <w:pPr>
              <w:spacing w:after="0"/>
              <w:rPr>
                <w:sz w:val="1"/>
                <w:szCs w:val="1"/>
                <w:color w:val="auto"/>
              </w:rPr>
            </w:pPr>
          </w:p>
        </w:tc>
      </w:tr>
      <w:tr>
        <w:trPr>
          <w:trHeight w:val="138"/>
        </w:trPr>
        <w:tc>
          <w:tcPr>
            <w:tcW w:w="3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(245,978)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(285,983)</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151,198</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4,243</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(3,482,483)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2,499,423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124,838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1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1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Paid-in-Capital</w:t>
            </w:r>
          </w:p>
        </w:tc>
        <w:tc>
          <w:tcPr>
            <w:tcW w:w="11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40" w:type="dxa"/>
            <w:vAlign w:val="bottom"/>
          </w:tcPr>
          <w:p>
            <w:pPr>
              <w:jc w:val="center"/>
              <w:ind w:right="11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4"/>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1,237,348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(3,857,855)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2,585,143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(75,854)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(110,942)</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86,363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86,363</w:t>
            </w:r>
          </w:p>
        </w:tc>
        <w:tc>
          <w:tcPr>
            <w:tcW w:w="0" w:type="dxa"/>
            <w:vAlign w:val="bottom"/>
          </w:tcPr>
          <w:p>
            <w:pPr>
              <w:spacing w:after="0"/>
              <w:rPr>
                <w:sz w:val="1"/>
                <w:szCs w:val="1"/>
                <w:color w:val="auto"/>
              </w:rPr>
            </w:pPr>
          </w:p>
        </w:tc>
      </w:tr>
      <w:tr>
        <w:trPr>
          <w:trHeight w:val="138"/>
        </w:trPr>
        <w:tc>
          <w:tcPr>
            <w:tcW w:w="3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(54,422)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16,509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(37,910)</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(2,558)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(1,039,958)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(1,039,984)</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282,842</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(27,841)</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(4,881,304)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2,867,985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(847,472)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160" w:type="dxa"/>
            <w:vAlign w:val="bottom"/>
          </w:tcPr>
          <w:p>
            <w:pPr>
              <w:spacing w:after="0"/>
              <w:rPr>
                <w:sz w:val="23"/>
                <w:szCs w:val="23"/>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1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Paid-in-Capital</w:t>
            </w:r>
          </w:p>
        </w:tc>
        <w:tc>
          <w:tcPr>
            <w:tcW w:w="11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40" w:type="dxa"/>
            <w:vAlign w:val="bottom"/>
          </w:tcPr>
          <w:p>
            <w:pPr>
              <w:jc w:val="center"/>
              <w:ind w:right="9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1,218,583</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(2,997,856)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2,193,059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331,082</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83,342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83,342</w:t>
            </w:r>
          </w:p>
        </w:tc>
        <w:tc>
          <w:tcPr>
            <w:tcW w:w="0" w:type="dxa"/>
            <w:vAlign w:val="bottom"/>
          </w:tcPr>
          <w:p>
            <w:pPr>
              <w:spacing w:after="0"/>
              <w:rPr>
                <w:sz w:val="1"/>
                <w:szCs w:val="1"/>
                <w:color w:val="auto"/>
              </w:rPr>
            </w:pPr>
          </w:p>
        </w:tc>
      </w:tr>
      <w:tr>
        <w:trPr>
          <w:trHeight w:val="138"/>
        </w:trPr>
        <w:tc>
          <w:tcPr>
            <w:tcW w:w="3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(90,761)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16,568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(74,190)</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(1,031)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(541,205)</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306,364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306,364</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19,445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19,445</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(3,482,483)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2,499,423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124,838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282,842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306,364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84,099</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(11,064)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Gains on product line asset sales and business divestiture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(100,139)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sales and abandonment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56,655</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(24,990)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364,624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332,062</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product line asset sales and business divestiture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146,428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equity investment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137,599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revolving line of credit and term loan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line of credit and term loan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Payments on finance leases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(1,048,027)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(541,205)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157,394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155,062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237,612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Cash paid for income taxes, net of refunds of $1,021 and $289 during the nine-month periods ended June 30,</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45,984</w:t>
            </w:r>
          </w:p>
        </w:tc>
        <w:tc>
          <w:tcPr>
            <w:tcW w:w="12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34,465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2022 and 2021, respectively</w:t>
            </w: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Fair Isaac Corporation (NYSE: FICO) (together with its consolidated subsidiaries, the “Company,” which may also be referred to in this report as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“us,” “our,” or “FICO”) is a leading applied analytics company. We were founded in 1956 on the premise that data, used intelligently, can improve business decisions. Today, FICO’s software and the widely used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companies,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2021. The interim financial information contained in this report is not necessarily indicative of the results to be expected for any other interim period or for the entire fiscal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2021, we consolidated our operating segment structure from three to two by merging Applications and Decision Management Software segments into the new Software segment. As a result, we modified the presentation of our segment financial information with retrospective application to all prior periods presented. Refer to Note 18 - Segment Information to the consolidated financial statements included in Part II, Item 8 of our 2021 Annual Report on Form 10-K for further information.</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effective beginning in the fourth quarter of fiscal 2021, we changed the classification of revenue from transactional and maintenance, professional services, and license to on-premises and SaaS software, professional services and scores, which is reflected in our condensed consolidated statements of income and comprehensive income, as well as our disclosures on disaggregation of revenue, to better align with our business strategy. Previously reported amounts in the condensed consolidated statements of income and comprehensive income and notes to the condensed consolidated financial statements were adjusted to conform to the current presentation.</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October 2021, the Financial Accounting Standards Board (“FASB”) issued Accounting Standards Update (“ASU”) No. 2021-08,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Accounting for Contract Assets and Contract Liabilities from Contracts with Customers</w:t>
      </w:r>
      <w:r>
        <w:rPr>
          <w:rFonts w:ascii="Arial" w:cs="Arial" w:eastAsia="Arial" w:hAnsi="Arial"/>
          <w:sz w:val="16"/>
          <w:szCs w:val="16"/>
          <w:color w:val="auto"/>
        </w:rPr>
        <w:t>” (“ASU 2021-08”). ASU 2021-08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requires an acquirer in a business combination to recognize and measure contract assets and contract liabilities from acquired contracts using the revenue recognition guidance under Accounting Standards Codification Topic 606, </w:t>
      </w:r>
      <w:r>
        <w:rPr>
          <w:rFonts w:ascii="Arial" w:cs="Arial" w:eastAsia="Arial" w:hAnsi="Arial"/>
          <w:sz w:val="16"/>
          <w:szCs w:val="16"/>
          <w:i w:val="1"/>
          <w:iCs w:val="1"/>
          <w:color w:val="auto"/>
        </w:rPr>
        <w:t>Revenue from Contacts with Customers</w:t>
      </w:r>
      <w:r>
        <w:rPr>
          <w:rFonts w:ascii="Arial" w:cs="Arial" w:eastAsia="Arial" w:hAnsi="Arial"/>
          <w:sz w:val="16"/>
          <w:szCs w:val="16"/>
          <w:color w:val="auto"/>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condensed consolidated financial statements.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95" w:lineRule="exact"/>
        <w:rPr>
          <w:sz w:val="20"/>
          <w:szCs w:val="20"/>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were comprised of money market funds and certain marketable securities and our Level 1 liabilities included senior notes as of June 30, 2022 and September 30, 2021.</w:t>
      </w:r>
    </w:p>
    <w:p>
      <w:pPr>
        <w:spacing w:after="0" w:line="75" w:lineRule="exact"/>
        <w:rPr>
          <w:rFonts w:ascii="Arial" w:cs="Arial" w:eastAsia="Arial" w:hAnsi="Arial"/>
          <w:sz w:val="18"/>
          <w:szCs w:val="18"/>
          <w:color w:val="auto"/>
        </w:rPr>
      </w:pPr>
    </w:p>
    <w:p>
      <w:pPr>
        <w:jc w:val="both"/>
        <w:ind w:left="660" w:right="2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June 30, 2022 and September 30, 2021.</w:t>
      </w:r>
    </w:p>
    <w:p>
      <w:pPr>
        <w:spacing w:after="0" w:line="53"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June 30, 2022 and September 30, 2021.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June 30, 2022 and September 30,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4"/>
                <w:szCs w:val="14"/>
                <w:color w:val="auto"/>
              </w:rPr>
            </w:pPr>
          </w:p>
        </w:tc>
        <w:tc>
          <w:tcPr>
            <w:tcW w:w="1360" w:type="dxa"/>
            <w:vAlign w:val="bottom"/>
            <w:vMerge w:val="restart"/>
          </w:tcPr>
          <w:p>
            <w:pPr>
              <w:jc w:val="center"/>
              <w:ind w:right="276"/>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35"/>
        </w:trPr>
        <w:tc>
          <w:tcPr>
            <w:tcW w:w="7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Identical Instruments</w:t>
            </w:r>
          </w:p>
        </w:tc>
        <w:tc>
          <w:tcPr>
            <w:tcW w:w="3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2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30,718</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30,718</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56,065</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Fair Value as of September</w:t>
            </w:r>
          </w:p>
        </w:tc>
        <w:tc>
          <w:tcPr>
            <w:tcW w:w="0" w:type="dxa"/>
            <w:vAlign w:val="bottom"/>
          </w:tcPr>
          <w:p>
            <w:pPr>
              <w:spacing w:after="0"/>
              <w:rPr>
                <w:sz w:val="1"/>
                <w:szCs w:val="1"/>
                <w:color w:val="auto"/>
              </w:rPr>
            </w:pPr>
          </w:p>
        </w:tc>
      </w:tr>
      <w:tr>
        <w:trPr>
          <w:trHeight w:val="135"/>
        </w:trPr>
        <w:tc>
          <w:tcPr>
            <w:tcW w:w="7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2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 at June 30, 2022 and September 30, 2021. Not included in these tables are cash deposits of $124.3 million and $195.2 million at June 30, 2022 and September 30, 2021, respectively.</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June 30, 2022 and September 30, 2021.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for the fair value of our senior notes.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quarters and nine-month periods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Foreign 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June 30, 2022 and September 30,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15,800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16,372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8,100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4,315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5"/>
        </w:trPr>
        <w:tc>
          <w:tcPr>
            <w:tcW w:w="6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17,100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11,467</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6,650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June 30, 2022 and September 30, 2021, respectively; therefore, their fair value was $0 on each of these dates.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Gains (losses) on derivative financial instruments were recorded in our condensed consolidated statements of income and comprehensive income as a component of other income (expense), net, and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187"/>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183"/>
        </w:trPr>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foreign currency forward contracts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(1,272)</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(1,286)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6"/>
          <w:szCs w:val="16"/>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w:t>
      </w:r>
    </w:p>
    <w:p>
      <w:pPr>
        <w:spacing w:after="0"/>
        <w:rPr>
          <w:sz w:val="20"/>
          <w:szCs w:val="20"/>
          <w:color w:val="auto"/>
        </w:rPr>
      </w:pPr>
      <w:r>
        <w:rPr>
          <w:rFonts w:ascii="Arial" w:cs="Arial" w:eastAsia="Arial" w:hAnsi="Arial"/>
          <w:sz w:val="18"/>
          <w:szCs w:val="18"/>
          <w:color w:val="auto"/>
        </w:rPr>
        <w:t>income and comprehensive income. Amortization expense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210"/>
        </w:trPr>
        <w:tc>
          <w:tcPr>
            <w:tcW w:w="522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10"/>
        </w:trPr>
        <w:tc>
          <w:tcPr>
            <w:tcW w:w="5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Customer contracts and relationships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r>
      <w:tr>
        <w:trPr>
          <w:trHeight w:val="21"/>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intangible asset amortization expense associated with intangible assets existing at June 30, 2022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394"/>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nine months ended June 30, 2022)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3"/>
        </w:trPr>
        <w:tc>
          <w:tcPr>
            <w:tcW w:w="93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r>
      <w:tr>
        <w:trPr>
          <w:trHeight w:val="21"/>
        </w:trPr>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summarizes changes to goodwill during the nine months ended June 30, 2022, both in total and as allocated to our segments. We have not recognized any goodwill impairment losses to date.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Software</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146,648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641,537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788,185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772,673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Composition of Certain Financial Statement Captions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5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380" w:type="dxa"/>
            <w:vAlign w:val="bottom"/>
            <w:gridSpan w:val="7"/>
          </w:tcPr>
          <w:p>
            <w:pPr>
              <w:ind w:left="460"/>
              <w:spacing w:after="0"/>
              <w:rPr>
                <w:sz w:val="20"/>
                <w:szCs w:val="20"/>
                <w:color w:val="auto"/>
              </w:rPr>
            </w:pPr>
            <w:r>
              <w:rPr>
                <w:rFonts w:ascii="Arial" w:cs="Arial" w:eastAsia="Arial" w:hAnsi="Arial"/>
                <w:sz w:val="18"/>
                <w:szCs w:val="18"/>
                <w:color w:val="auto"/>
                <w:w w:val="93"/>
              </w:rPr>
              <w:t>The following table presents the composition of property and equipment, net at June 30, 2022 and September 30, 2021:</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24"/>
                <w:szCs w:val="24"/>
                <w:color w:val="auto"/>
              </w:rPr>
            </w:pPr>
          </w:p>
        </w:tc>
        <w:tc>
          <w:tcPr>
            <w:tcW w:w="1420" w:type="dxa"/>
            <w:vAlign w:val="bottom"/>
          </w:tcPr>
          <w:p>
            <w:pPr>
              <w:jc w:val="center"/>
              <w:ind w:right="37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121,907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124,966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(97,053)</w:t>
            </w:r>
          </w:p>
        </w:tc>
        <w:tc>
          <w:tcPr>
            <w:tcW w:w="0" w:type="dxa"/>
            <w:vAlign w:val="bottom"/>
          </w:tcPr>
          <w:p>
            <w:pPr>
              <w:spacing w:after="0"/>
              <w:rPr>
                <w:sz w:val="1"/>
                <w:szCs w:val="1"/>
                <w:color w:val="auto"/>
              </w:rPr>
            </w:pPr>
          </w:p>
        </w:tc>
      </w:tr>
      <w:tr>
        <w:trPr>
          <w:trHeight w:val="223"/>
        </w:trPr>
        <w:tc>
          <w:tcPr>
            <w:tcW w:w="5440" w:type="dxa"/>
            <w:vAlign w:val="bottom"/>
          </w:tcPr>
          <w:p>
            <w:pPr>
              <w:ind w:left="5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 and Term Loan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have a $600 million unsecured revolving line of credit with a syndicate of banks that expires on August 19, 2026. Borrowings under the credit facility can be used for working capital and general corporate purposes and may also be used for the refinancing of existing debt, acquisitions, and the repurchase of our common stock. Interest on amounts borrowed under the credit facility is based on (i) an adjusted base rate, which is the greatest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a maximum consolidated leverage ratio of 3.50, subject to a step up to 4.00 following certain permitted acquisitions; and a minimum interest coverage ratio of 3.00. The credit agreement also contains other covenants typical of unsecured facilities.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we have a term loan in an initial principal amount of $300 million. The term loan is subject to the same pricing and covenants as the revolving line of credit and matures at the expiration of the facility on August 19, 2026. The term loan requires principal payments in consecutive quarterly installments of $3.75 million on the last business day of each quarter.</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2022, we had $380.0 million in borrowings outstanding under the revolving credit facility at a weighted-average interest rate of 2.974%, and $292.5 million in outstanding balance of the term loan at an interest rate of 2.684%, of which $542.5 million was classified as a long-term liability and recorded in long-term debt within the accompanying condensed consolidated balance sheets. We were in compliance with all financial covenants under this credit facility as of June 30,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indentures for the Senior Notes contain certain covenants typical of unsecured obligations.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face values and fair values for the Senior Notes at June 30, 2022 and September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September 30, 2021</w:t>
            </w:r>
          </w:p>
        </w:tc>
      </w:tr>
      <w:tr>
        <w:trPr>
          <w:trHeight w:val="187"/>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7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The 2018</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The 2019</w:t>
            </w:r>
          </w:p>
        </w:tc>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 and the 2021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1,189,000</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9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7" w:lineRule="exact"/>
        <w:rPr>
          <w:sz w:val="20"/>
          <w:szCs w:val="20"/>
          <w:color w:val="auto"/>
        </w:rPr>
      </w:pPr>
    </w:p>
    <w:p>
      <w:pPr>
        <w:ind w:firstLine="8"/>
        <w:spacing w:after="0" w:line="277"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$15.0 million and $9.0 million at June 30, 2022 and September 30, 2021, respectively.</w:t>
      </w:r>
    </w:p>
    <w:p>
      <w:pPr>
        <w:spacing w:after="0" w:line="274" w:lineRule="exact"/>
        <w:rPr>
          <w:sz w:val="20"/>
          <w:szCs w:val="20"/>
          <w:color w:val="auto"/>
        </w:rPr>
      </w:pPr>
    </w:p>
    <w:p>
      <w:pPr>
        <w:ind w:left="240" w:right="7900" w:hanging="232"/>
        <w:spacing w:after="0" w:line="425" w:lineRule="auto"/>
        <w:tabs>
          <w:tab w:leader="none" w:pos="19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from Contracts with Customers </w:t>
      </w:r>
      <w:r>
        <w:rPr>
          <w:rFonts w:ascii="Arial" w:cs="Arial" w:eastAsia="Arial" w:hAnsi="Arial"/>
          <w:sz w:val="16"/>
          <w:szCs w:val="16"/>
          <w:b w:val="1"/>
          <w:bCs w:val="1"/>
          <w:i w:val="1"/>
          <w:iCs w:val="1"/>
          <w:color w:val="auto"/>
        </w:rPr>
        <w:t>Disaggregation of Revenue</w:t>
      </w: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information about disaggregated revenue by primary geographical market: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4"/>
              </w:rPr>
              <w:t>Quarter Ended June 30, 2022</w:t>
            </w:r>
          </w:p>
        </w:tc>
        <w:tc>
          <w:tcPr>
            <w:tcW w:w="1680" w:type="dxa"/>
            <w:vAlign w:val="bottom"/>
            <w:tcBorders>
              <w:bottom w:val="single" w:sz="8" w:color="auto"/>
            </w:tcBorders>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177,892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293,223</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37,375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179,355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348,966</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541"/>
        </w:trPr>
        <w:tc>
          <w:tcPr>
            <w:tcW w:w="40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4"/>
              </w:rPr>
              <w:t>Quarter Ended June 30, 2021</w:t>
            </w:r>
          </w:p>
        </w:tc>
        <w:tc>
          <w:tcPr>
            <w:tcW w:w="1680" w:type="dxa"/>
            <w:vAlign w:val="bottom"/>
            <w:tcBorders>
              <w:bottom w:val="single" w:sz="8" w:color="auto"/>
            </w:tcBorders>
          </w:tcPr>
          <w:p>
            <w:pPr>
              <w:spacing w:after="0"/>
              <w:rPr>
                <w:sz w:val="24"/>
                <w:szCs w:val="24"/>
                <w:color w:val="auto"/>
              </w:rPr>
            </w:pPr>
          </w:p>
        </w:tc>
      </w:tr>
      <w:tr>
        <w:trPr>
          <w:trHeight w:val="187"/>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165,539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269,166</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44,881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47,869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21,149</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172,202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165,982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338,184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3"/>
              </w:rPr>
              <w:t>Nine Months Ended June 30, 2022</w:t>
            </w:r>
          </w:p>
        </w:tc>
        <w:tc>
          <w:tcPr>
            <w:tcW w:w="1680" w:type="dxa"/>
            <w:vAlign w:val="bottom"/>
            <w:tcBorders>
              <w:bottom w:val="single" w:sz="8" w:color="auto"/>
            </w:tcBorders>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518,695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319,180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837,875</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107,850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111,646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79,001</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532,584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495,938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1,028,522</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06"/>
        </w:trPr>
        <w:tc>
          <w:tcPr>
            <w:tcW w:w="40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3"/>
              </w:rPr>
              <w:t>Nine Months Ended June 30, 2021</w:t>
            </w:r>
          </w:p>
        </w:tc>
        <w:tc>
          <w:tcPr>
            <w:tcW w:w="1680" w:type="dxa"/>
            <w:vAlign w:val="bottom"/>
            <w:tcBorders>
              <w:bottom w:val="single" w:sz="8" w:color="auto"/>
            </w:tcBorders>
          </w:tcPr>
          <w:p>
            <w:pPr>
              <w:spacing w:after="0"/>
              <w:rPr>
                <w:sz w:val="24"/>
                <w:szCs w:val="24"/>
                <w:color w:val="auto"/>
              </w:rPr>
            </w:pPr>
          </w:p>
        </w:tc>
      </w:tr>
      <w:tr>
        <w:trPr>
          <w:trHeight w:val="187"/>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468,039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311,323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779,362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132,749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143,092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59,505</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485,572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496,387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981,959</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deployment method: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60"/>
              <w:spacing w:after="0"/>
              <w:rPr>
                <w:sz w:val="20"/>
                <w:szCs w:val="20"/>
                <w:color w:val="auto"/>
              </w:rPr>
            </w:pPr>
            <w:r>
              <w:rPr>
                <w:rFonts w:ascii="Arial" w:cs="Arial" w:eastAsia="Arial" w:hAnsi="Arial"/>
                <w:sz w:val="14"/>
                <w:szCs w:val="14"/>
                <w:b w:val="1"/>
                <w:bCs w:val="1"/>
                <w:color w:val="auto"/>
              </w:rPr>
              <w:t>Quarter Ended June 30,</w:t>
            </w:r>
          </w:p>
        </w:tc>
        <w:tc>
          <w:tcPr>
            <w:tcW w:w="212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Percentage of revenues</w:t>
            </w:r>
          </w:p>
        </w:tc>
        <w:tc>
          <w:tcPr>
            <w:tcW w:w="24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June 30,</w:t>
            </w:r>
          </w:p>
        </w:tc>
        <w:tc>
          <w:tcPr>
            <w:tcW w:w="202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Percentage of revenues</w:t>
            </w: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On-premises software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SaaS software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188,787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156"/>
        </w:trPr>
        <w:tc>
          <w:tcPr>
            <w:tcW w:w="18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Total on-premises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142,537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417,963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SaaS software</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product features: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 Ended June 30,</w:t>
            </w:r>
          </w:p>
        </w:tc>
        <w:tc>
          <w:tcPr>
            <w:tcW w:w="212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Percentage of revenues</w:t>
            </w:r>
          </w:p>
        </w:tc>
        <w:tc>
          <w:tcPr>
            <w:tcW w:w="24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June 30,</w:t>
            </w:r>
          </w:p>
        </w:tc>
        <w:tc>
          <w:tcPr>
            <w:tcW w:w="202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Percentage of revenues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software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Non-platform software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116,052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55"/>
        </w:trPr>
        <w:tc>
          <w:tcPr>
            <w:tcW w:w="1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Total on-premises and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142,537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417,963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SaaS software</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14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3" w:lineRule="exact"/>
        <w:rPr>
          <w:sz w:val="20"/>
          <w:szCs w:val="20"/>
          <w:color w:val="auto"/>
        </w:rPr>
      </w:pPr>
    </w:p>
    <w:p>
      <w:pPr>
        <w:jc w:val="both"/>
        <w:ind w:firstLine="8"/>
        <w:spacing w:after="0" w:line="26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timing of revenue recognition: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 Ended June 30,</w:t>
            </w: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Percentage of revenues</w:t>
            </w:r>
          </w:p>
        </w:tc>
        <w:tc>
          <w:tcPr>
            <w:tcW w:w="240" w:type="dxa"/>
            <w:vAlign w:val="bottom"/>
          </w:tcPr>
          <w:p>
            <w:pPr>
              <w:spacing w:after="0"/>
              <w:rPr>
                <w:sz w:val="16"/>
                <w:szCs w:val="16"/>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June 30,</w:t>
            </w:r>
          </w:p>
        </w:tc>
        <w:tc>
          <w:tcPr>
            <w:tcW w:w="202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Percentage of revenues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4"/>
              </w:rPr>
              <w:t>Software recognized at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12,566</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53,568</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37,304</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 point in time </w:t>
            </w:r>
            <w:r>
              <w:rPr>
                <w:rFonts w:ascii="Arial" w:cs="Arial" w:eastAsia="Arial" w:hAnsi="Arial"/>
                <w:sz w:val="23"/>
                <w:szCs w:val="23"/>
                <w:color w:val="auto"/>
                <w:vertAlign w:val="superscript"/>
              </w:rPr>
              <w:t>(1)</w:t>
            </w: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Software recognized</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122,668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117,664</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364,395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344,932</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over contract term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Total on-premises and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142,537</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417,963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SaaS software</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40" w:hanging="332"/>
        <w:spacing w:after="0" w:line="244"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license portion of our on-premises subscription software and perpetual license, both of which are recognized when the software is made available to the customer, or at the start of the subscription.</w:t>
      </w:r>
    </w:p>
    <w:p>
      <w:pPr>
        <w:ind w:left="340" w:hanging="332"/>
        <w:spacing w:after="0" w:line="258"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maintenance portion and usage-based fees of our on-premises subscription software, maintenance revenue on perpetual licenses, as well as SaaS revenue.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Scores segment by distribution method: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 Ended June 30,</w:t>
            </w:r>
          </w:p>
        </w:tc>
        <w:tc>
          <w:tcPr>
            <w:tcW w:w="2100" w:type="dxa"/>
            <w:vAlign w:val="bottom"/>
            <w:gridSpan w:val="4"/>
          </w:tcPr>
          <w:p>
            <w:pPr>
              <w:ind w:left="300"/>
              <w:spacing w:after="0"/>
              <w:rPr>
                <w:sz w:val="20"/>
                <w:szCs w:val="20"/>
                <w:color w:val="auto"/>
              </w:rPr>
            </w:pPr>
            <w:r>
              <w:rPr>
                <w:rFonts w:ascii="Arial" w:cs="Arial" w:eastAsia="Arial" w:hAnsi="Arial"/>
                <w:sz w:val="14"/>
                <w:szCs w:val="14"/>
                <w:b w:val="1"/>
                <w:bCs w:val="1"/>
                <w:color w:val="auto"/>
              </w:rPr>
              <w:t>Percentage of revenues</w:t>
            </w:r>
          </w:p>
        </w:tc>
        <w:tc>
          <w:tcPr>
            <w:tcW w:w="26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June 30,</w:t>
            </w:r>
          </w:p>
        </w:tc>
        <w:tc>
          <w:tcPr>
            <w:tcW w:w="200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Percentage of revenues</w:t>
            </w: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Business-to-business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119,010</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115,862</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357,221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335,325</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Scores</w:t>
            </w:r>
          </w:p>
        </w:tc>
        <w:tc>
          <w:tcPr>
            <w:tcW w:w="3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w w:val="96"/>
              </w:rPr>
              <w:t>Business-to-consumer</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60,345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56,340</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175,363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150,247</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Scores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485,572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derive a substantial portion of revenues from our contracts with the three major consumer reporting agencies, TransUnion, Equifax and Experian. Revenues collectively generated by agreements with these customers accounted for 41% and 38% of our total revenues in the quarters ended June 30, 2022 and 2021, respectively, with all three consumer reporting agencies each contributing more than 10% of our total revenues in each of the quarters ended June 30, 2022 and 2021. Revenues collectively generated by agreements with these customers accounted for 39% and 37% of our total revenues in the nine months ended June 30, 2022 and 2021, respectively, with two and three consumer reporting agencies each contributing more than 10% of our total revenues in the nine months ended June 30, 2022 and 2021, respectively.</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June 30, 2022 and September 30, 2021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7"/>
              </w:rPr>
              <w:t>September 30, 2021</w:t>
            </w:r>
          </w:p>
        </w:tc>
      </w:tr>
      <w:tr>
        <w:trPr>
          <w:trHeight w:val="187"/>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gridSpan w:val="4"/>
          </w:tcPr>
          <w:p>
            <w:pPr>
              <w:jc w:val="right"/>
              <w:ind w:right="139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198,305</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155,408</w:t>
            </w:r>
          </w:p>
        </w:tc>
      </w:tr>
      <w:tr>
        <w:trPr>
          <w:trHeight w:val="223"/>
        </w:trPr>
        <w:tc>
          <w:tcPr>
            <w:tcW w:w="164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353,713</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349,559</w:t>
            </w:r>
          </w:p>
        </w:tc>
      </w:tr>
      <w:tr>
        <w:trPr>
          <w:trHeight w:val="223"/>
        </w:trPr>
        <w:tc>
          <w:tcPr>
            <w:tcW w:w="7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long-term receivables (*)</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(37,452)</w:t>
            </w:r>
          </w:p>
        </w:tc>
      </w:tr>
      <w:tr>
        <w:trPr>
          <w:trHeight w:val="248"/>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Short-term receivables (*)</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312,107</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640" w:type="dxa"/>
            <w:vAlign w:val="bottom"/>
            <w:tcBorders>
              <w:bottom w:val="single" w:sz="8" w:color="auto"/>
            </w:tcBorders>
          </w:tcPr>
          <w:p>
            <w:pPr>
              <w:spacing w:after="0"/>
              <w:rPr>
                <w:sz w:val="13"/>
                <w:szCs w:val="13"/>
                <w:color w:val="auto"/>
              </w:rPr>
            </w:pPr>
          </w:p>
        </w:tc>
        <w:tc>
          <w:tcPr>
            <w:tcW w:w="5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88" w:lineRule="exact"/>
        <w:rPr>
          <w:sz w:val="20"/>
          <w:szCs w:val="20"/>
          <w:color w:val="auto"/>
        </w:rPr>
      </w:pPr>
    </w:p>
    <w:p>
      <w:pPr>
        <w:ind w:firstLine="8"/>
        <w:spacing w:after="0" w:line="277"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 June 30,</w:t>
            </w:r>
          </w:p>
        </w:tc>
        <w:tc>
          <w:tcPr>
            <w:tcW w:w="700" w:type="dxa"/>
            <w:vAlign w:val="bottom"/>
            <w:tcBorders>
              <w:bottom w:val="single" w:sz="8" w:color="auto"/>
            </w:tcBorders>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7"/>
        </w:trPr>
        <w:tc>
          <w:tcPr>
            <w:tcW w:w="16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revenues, beginning balance (*)</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110,763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122,141</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w w:val="91"/>
              </w:rPr>
              <w:t>Revenue recognized that was included in the deferred revenues balance at the beginning of the period</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(85,377)</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(78,551)</w:t>
            </w:r>
          </w:p>
        </w:tc>
      </w:tr>
      <w:tr>
        <w:trPr>
          <w:trHeight w:val="22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79,516</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78,658</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Reclassified as liabilities related to assets held for sale</w:t>
            </w:r>
          </w:p>
        </w:tc>
        <w:tc>
          <w:tcPr>
            <w:tcW w:w="10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(16,671)</w:t>
            </w:r>
          </w:p>
        </w:tc>
      </w:tr>
      <w:tr>
        <w:trPr>
          <w:trHeight w:val="248"/>
        </w:trPr>
        <w:tc>
          <w:tcPr>
            <w:tcW w:w="7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revenues, ending balance (*)</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104,902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105,577</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640" w:type="dxa"/>
            <w:vAlign w:val="bottom"/>
            <w:tcBorders>
              <w:bottom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88" w:lineRule="exact"/>
        <w:rPr>
          <w:sz w:val="20"/>
          <w:szCs w:val="20"/>
          <w:color w:val="auto"/>
        </w:rPr>
      </w:pPr>
    </w:p>
    <w:p>
      <w:pPr>
        <w:jc w:val="both"/>
        <w:ind w:firstLine="8"/>
        <w:spacing w:after="0" w:line="259" w:lineRule="auto"/>
        <w:tabs>
          <w:tab w:leader="none" w:pos="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revenues at June 30, 2022 included current portion of $98.5 million and long-term portion of $6.4 million that were recorded in deferred revenue and other liabilities, respectively, within the condensed consolidated balance sheets. Deferred revenues at September 30, 2021 included current portion of $105.4 million and long-term portion of $5.4 million that were recorded in deferred revenue and other liabilities, respectively, within the condensed consolidated balance sheets.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Usage-based revenue that will be recognized in future periods from on-premises software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Consumption-based variable fees from SaaS software that will be recognized in the distinct service period during which it is earned; and</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allocated to remaining performance obligations was $283.7 million as of June 30, 2022, approximately 50% of which we expect to recognize over the next 15 months and the remainder thereafter. Revenue allocated to remaining performance obligations was $289.0 million as of September 30, 2021.</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Tax Rate</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income tax rate was 22.7% and 19.5% during the quarters ended June 30, 2022 and 2021, respectively, and 21.0% and 16.7% during the nine months ended June 30, 2022 and 2021,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tax rates for the nine months ended June 30, 2022 and 2021 were both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2021 has resulted in a decreased net excess tax benefit for the nine months ended June 30, 2022, as compared to the nine months ended June 30, 2021.</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total unrecognized tax benefit for uncertain tax positions was estimated to be $14.0 million and $10.9 million at June 30, 2022 and September 30, 2021, respectively. We recognize interest expense related to unrecognized tax benefits and penalties as part of the provision for income taxes in our condensed consolidated statements of income and comprehensive income. We accrued interest of $0.7 million and $0.4 million related to unrecognized tax benefits as of June 30, 2022 and September 30, 2021,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nine-month periods ended June 30,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60" w:type="dxa"/>
            <w:vAlign w:val="bottom"/>
            <w:gridSpan w:val="6"/>
          </w:tcPr>
          <w:p>
            <w:pPr>
              <w:ind w:left="74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52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82"/>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and basic earnings per share:</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93,500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306,364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 — share: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Basic weighted-average shares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28,967</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Diluted weighted-average shares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25,867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exclude the options to purchase shares of common stock in the computation of the diluted EPS where the exercise price of the options exceeds the average market price of our common stock as their inclusion would be antidilutive. There were approximately 43,000 and 12,000 options excluded for the quarters ended June 30, 2022 and 2021, respectively. There were approximately 32,000 and 12,000 options excluded for nine months ended June 30, 2022 and 2021,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fourth quarter of our fiscal 2021, we reevaluated our operating segments to better align with how our chief operating decision maker (“CODM”), who is our Chief Executive Officer, evaluates performance and allocates resources. The key factors evaluated included our evolving platform strategies, our go-to market considerations, and sales of our product lines and businesses during fiscal 2021, and in particular the divestiture of our Collections and Recovery (“C&amp;R”) business in June 2021, among others. As a result, we consolidated our operating segment structure from three to two by merging Applications and Decision Management Software segments into the new Software segment. Based on this change, we determined we have two reportable segments and revised prior comparative periods to conform to the current period segment presentation. The new segments are as follows:</w:t>
      </w:r>
    </w:p>
    <w:p>
      <w:pPr>
        <w:spacing w:after="0" w:line="110"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(“B2B”) scoring solutions and services which give our clients access to predictive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scores that can be easily integrated into their transaction streams and decision-making processes. This segment also includes our business-to-consumer (“B2C”) scoring solutions, including our myFICO.com subscription offerings.</w:t>
      </w:r>
    </w:p>
    <w:p>
      <w:pPr>
        <w:spacing w:after="0" w:line="75"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Software</w:t>
      </w:r>
      <w:r>
        <w:rPr>
          <w:rFonts w:ascii="Arial" w:cs="Arial" w:eastAsia="Arial" w:hAnsi="Arial"/>
          <w:sz w:val="16"/>
          <w:szCs w:val="16"/>
          <w:color w:val="auto"/>
        </w:rPr>
        <w:t>. This segment includes pre-configured analytic and decision management solutions designed for a specific type of business need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 such as account origination, customer management, customer engagement, fraud detection, financial crimes compliance, and marketing</w:t>
      </w:r>
    </w:p>
    <w:p>
      <w:pPr>
        <w:jc w:val="both"/>
        <w:ind w:left="660"/>
        <w:spacing w:after="0" w:line="242" w:lineRule="auto"/>
        <w:rPr>
          <w:rFonts w:ascii="Arial" w:cs="Arial" w:eastAsia="Arial" w:hAnsi="Arial"/>
          <w:sz w:val="16"/>
          <w:szCs w:val="16"/>
          <w:color w:val="auto"/>
        </w:rPr>
      </w:pPr>
      <w:r>
        <w:rPr>
          <w:rFonts w:ascii="Arial" w:cs="Arial" w:eastAsia="Arial" w:hAnsi="Arial"/>
          <w:sz w:val="17"/>
          <w:szCs w:val="17"/>
          <w:color w:val="auto"/>
        </w:rPr>
        <w:t>— as well as associated professional services. This segment also includes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14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CODM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segment information for the quarters and nine-month periods ended June 30, 2022 and 2021:</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Quarter Ended June 30, 2022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6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2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142,537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142,537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0" w:type="dxa"/>
            <w:vAlign w:val="bottom"/>
          </w:tcPr>
          <w:p>
            <w:pPr>
              <w:spacing w:after="0"/>
              <w:rPr>
                <w:sz w:val="1"/>
                <w:szCs w:val="1"/>
                <w:color w:val="auto"/>
              </w:rPr>
            </w:pPr>
          </w:p>
        </w:tc>
      </w:tr>
      <w:tr>
        <w:trPr>
          <w:trHeight w:val="229"/>
        </w:trPr>
        <w:tc>
          <w:tcPr>
            <w:tcW w:w="4920" w:type="dxa"/>
            <w:vAlign w:val="bottom"/>
          </w:tcPr>
          <w:p>
            <w:pPr>
              <w:ind w:left="340"/>
              <w:spacing w:after="0"/>
              <w:rPr>
                <w:sz w:val="20"/>
                <w:szCs w:val="20"/>
                <w:color w:val="auto"/>
              </w:rPr>
            </w:pPr>
            <w:r>
              <w:rPr>
                <w:rFonts w:ascii="Arial" w:cs="Arial" w:eastAsia="Arial" w:hAnsi="Arial"/>
                <w:sz w:val="18"/>
                <w:szCs w:val="18"/>
                <w:color w:val="auto"/>
              </w:rPr>
              <w:t>Scores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179,355</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segment revenues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operating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2"/>
              </w:rPr>
              <w:t>(38,015)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(179,270)</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2"/>
              </w:rPr>
              <w:t>(38,015)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169,696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Unallocated share-based compensation expense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(28,549)</w:t>
            </w:r>
          </w:p>
        </w:tc>
        <w:tc>
          <w:tcPr>
            <w:tcW w:w="0" w:type="dxa"/>
            <w:vAlign w:val="bottom"/>
          </w:tcPr>
          <w:p>
            <w:pPr>
              <w:spacing w:after="0" w:line="20" w:lineRule="exact"/>
              <w:rPr>
                <w:sz w:val="1"/>
                <w:szCs w:val="1"/>
                <w:color w:val="auto"/>
              </w:rPr>
            </w:pPr>
          </w:p>
        </w:tc>
      </w:tr>
      <w:tr>
        <w:trPr>
          <w:trHeight w:val="177"/>
        </w:trPr>
        <w:tc>
          <w:tcPr>
            <w:tcW w:w="4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140,615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other expense, net</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120,894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Quarter Ended June 30, 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Scores</w:t>
            </w:r>
          </w:p>
        </w:tc>
        <w:tc>
          <w:tcPr>
            <w:tcW w:w="26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On-premises and SaaS software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130,230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130,230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35,752</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Scores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172,202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172,202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338,184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(205,034)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share-based compensation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Unallocated gains on product line asset sales and business divestiture</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(10,018)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other income,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187,892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 June 30, 2022</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Scores</w:t>
            </w:r>
          </w:p>
        </w:tc>
        <w:tc>
          <w:tcPr>
            <w:tcW w:w="26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00" w:type="dxa"/>
            <w:vAlign w:val="bottom"/>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On-premises and SaaS software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417,963</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77,975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Scores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532,584</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532,584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495,938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1,028,522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(532,282)</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496,240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Unallocated share-based compensation expense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(86,363)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408,258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(48,127)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other expense,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358,199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June 30, 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6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00" w:type="dxa"/>
            <w:vAlign w:val="bottom"/>
          </w:tcPr>
          <w:p>
            <w:pPr>
              <w:ind w:left="20"/>
              <w:spacing w:after="0"/>
              <w:rPr>
                <w:sz w:val="20"/>
                <w:szCs w:val="20"/>
                <w:color w:val="auto"/>
              </w:rPr>
            </w:pPr>
            <w:r>
              <w:rPr>
                <w:rFonts w:ascii="Arial" w:cs="Arial" w:eastAsia="Arial" w:hAnsi="Arial"/>
                <w:sz w:val="18"/>
                <w:szCs w:val="18"/>
                <w:color w:val="auto"/>
              </w:rPr>
              <w:t>Segment revenues: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On-premises and SaaS software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114,151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Scores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485,572</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Arial" w:cs="Arial" w:eastAsia="Arial" w:hAnsi="Arial"/>
                <w:sz w:val="18"/>
                <w:szCs w:val="18"/>
                <w:color w:val="auto"/>
              </w:rPr>
              <w:t>Total segment revenues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485,572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496,387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981,959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(605,003)</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376,956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Unallocated share-based compensation expense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(84,099)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Unallocated amortization expense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Unallocated gains on product line asset sales and business divestiture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390,304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other income, net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367,676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15,224</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84" w:lineRule="auto"/>
        <w:tabs>
          <w:tab w:leader="none" w:pos="24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their characteristics, performance, sales potential or effect in the hands of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of this Quarterly Report on Form 10-Q.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5"/>
        <w:spacing w:after="0" w:line="242" w:lineRule="auto"/>
        <w:rPr>
          <w:sz w:val="20"/>
          <w:szCs w:val="20"/>
          <w:color w:val="auto"/>
        </w:rPr>
      </w:pPr>
      <w:r>
        <w:rPr>
          <w:rFonts w:ascii="Arial" w:cs="Arial" w:eastAsia="Arial" w:hAnsi="Arial"/>
          <w:sz w:val="18"/>
          <w:szCs w:val="18"/>
          <w:color w:val="auto"/>
        </w:rPr>
        <w:t>We were founded in 1956 on the premise that data, used intelligently, can improve business decisions. Today, FICO’s software and the widely used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companies,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consists of two operating segments: Scores and Software.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Scores segment includes our business-to-business (“B2B”) scoring solutions and services which give our clients access to predictive credit and other scores that can be easily integrated into their transaction workflows and decision-making processes. This segment also includes our business-to-consumer (“B2C”) scoring solutions, including our myFICO.com subscription offerings.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Software segment includes pre-configured analytic and decision management solutions designed for a specific type of business need or process</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such as account origination, customer management, customer engagement, fraud detection, financial crimes compliance, and marketing — as well as associated professional services. This segment also includes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Due to the COVID-19 pandemic, we continue to conduct business with substantial modifications to employee travel and work locations. We expect these modifications to remain in place throughout calendar year 2022, along with substantially modified interactions with customers and suppliers, among other adjustments. We have maintained a “Remote Work Policy” providing our employees with valued flexibility. While we have not experienced material disruptions to our operations from the COVID-19 pandemic, we are unable to predict the full impact that the COVID-19 pandemic will have on our operations and future financial performance, including demand for our offerings, impact to our customers and partners, actions that may be taken by governmental authorities, and other factors identified in “Risk Factors” in Part II, Item 1A of this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the quarter and nine months ended June 30, 2022</w:t>
      </w:r>
    </w:p>
    <w:p>
      <w:pPr>
        <w:spacing w:after="0" w:line="121" w:lineRule="exact"/>
        <w:rPr>
          <w:sz w:val="20"/>
          <w:szCs w:val="20"/>
          <w:color w:val="auto"/>
        </w:rPr>
      </w:pPr>
    </w:p>
    <w:p>
      <w:pPr>
        <w:jc w:val="both"/>
        <w:ind w:left="660" w:hanging="328"/>
        <w:spacing w:after="0" w:line="305"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revenue was $349.0 million during the quarter ended June 30, 2022, a 3% increase from the quarter ended June 30, 2021, and $1.03 billion during the nine months ended June 30, 2022, a 5% increase from the nine months ended June 30, 2021. Excluding our business divestiture in the prior year, revenue increased 7% from the quarter ended June 30, 2021, and 10% from the nine months ended June 30, 2021.</w:t>
      </w:r>
    </w:p>
    <w:p>
      <w:pPr>
        <w:ind w:left="660" w:right="20" w:hanging="328"/>
        <w:spacing w:after="0" w:line="316"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revenue for our Scores segment was $179.4 million during the quarter ended June 30, 2022, a 4% increase from the quarter ended June 30, 2021, and $532.6 million during the nine months ended June 30, 2022, a 10% increase from the nine months ended June 30, 2021.</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Recurring Revenue for our Software segment as of June 30, 2022 was $560.9 million, a 9% increase from June 30, 2021, excluding divestitures.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Dollar-Based Net Retention Rate for our Software segment was 108% during the quarter ended June 30, 2022, excluding divestitures.</w:t>
      </w:r>
    </w:p>
    <w:p>
      <w:pPr>
        <w:spacing w:after="0" w:line="74"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was $140.6 million during the quarter ended June 30, 2022, a 28% decrease from the quarter ended June 30, 2021, and $408.3 million during the nine months ended June 30, 2022, a 5% increase from the nine months ended June 30, 2021. Operating income during the quarter and nine months ended June 30, 2021 included gains on product line asset sales and a business divestiture of $92.8 million and $100.1 million, respectively.</w:t>
      </w:r>
    </w:p>
    <w:p>
      <w:pPr>
        <w:spacing w:after="0" w:line="2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was $93.5 million during the quarter ended June 30, 2022, a 38% decrease from the quarter ended June 30, 2021, and $282.8 million during the nine months ended June 30, 2022, an 8% decrease from the nine months ended June 30, 2021. Net income during the quarter and nine months ended June 30, 2021 included pre-tax gains on product line asset sales and a business divestiture of $92.8 million and $100.1 million, respectively.</w:t>
      </w:r>
    </w:p>
    <w:p>
      <w:pPr>
        <w:spacing w:after="0" w:line="2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Diluted EPS was $3.61 during the quarter ended June 30, 2022, a 30% decrease from the quarter ended June 30, 2021, and $10.63 during the nine months ended June 30, 2022, a 2% increase from the nine months ended June 30, 2021. Diluted EPS during the quarter and nine months ended June 30, 2021 included pre-tax gains on product line asset sales and a business divestiture of $92.8 million and $100.1 million, or $2.52 and $2.68 after tax, respectively.</w:t>
      </w:r>
    </w:p>
    <w:p>
      <w:pPr>
        <w:spacing w:after="0" w:line="2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flows from operations were $364.6 million during the nine months ended June 30, 2022, compared with $332.1 million during the nine months ended June 30, 2021.</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and cash equivalents were $155.1 million as of June 30, 2022, compared with $195.4 million as of September 30,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debt balance was $1.96 billion as of June 30, 2022, compared with $1.26 billion as of September 30, 2021.</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share repurchases during the quarter ended June 30, 2022 were $282.4 million, compared with $286.0 million during the quarter ended June 30, 2021, and during the nine months ended June 30, 2022 were $1.04 billion, compared with $541.2 million during the nine months ended June 30,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 for Software segment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Contract Value Bookings (“ACV Bookings”)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Management regards ACV Bookings as an important indicator of future revenues, but they are not comparable to, nor are they a substitute for, an analysis of our revenues and other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revenues that are non-recurring in nature. For renewals of existing software subscription contracts, we count only incremental annual revenue expected over the current contract as ACV Bookings.</w:t>
      </w:r>
    </w:p>
    <w:p>
      <w:pPr>
        <w:spacing w:after="0" w:line="12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ACV Bookings is calculated by dividing the total expected contract value by the contract term in years. The expected contract value equals the fixed amount — including guaranteed minimums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disclose estimated revenue expected to be recognized in the future related to remaining performance obligations in Note 8 to the accompanying condensed consolidated financial statements. However, we believe ACV Bookings is a more meaningful measure of our business as it includes estimated revenues and future billings excluded from Note 8, such as usage-based fees and guaranteed minimums derived from our on-premises software licenses, among others.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ACV Bookings during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Quarter Ended 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4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r>
      <w:tr>
        <w:trPr>
          <w:trHeight w:val="183"/>
        </w:trPr>
        <w:tc>
          <w:tcPr>
            <w:tcW w:w="4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on-premises and SaaS software *</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19.0</w:t>
            </w:r>
          </w:p>
        </w:tc>
        <w:tc>
          <w:tcPr>
            <w:tcW w:w="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56.2</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0" w:lineRule="exact"/>
        <w:rPr>
          <w:sz w:val="20"/>
          <w:szCs w:val="20"/>
          <w:color w:val="auto"/>
        </w:rPr>
      </w:pPr>
    </w:p>
    <w:p>
      <w:pPr>
        <w:jc w:val="both"/>
        <w:ind w:firstLine="8"/>
        <w:spacing w:after="0" w:line="263"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fiscal 2021, we sold all assets related to our cyber risk score operations, sold certain assets related to our Software segment to an affiliated joint venture in China, and divested our Collections and Recovery (“C&amp;R”) business. The amounts for the quarter and nine months ended June 30, 2021 excluded these divested product lines and businesses.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 xml:space="preserve">Accounting Standards Codification Topic 606, </w:t>
      </w:r>
      <w:r>
        <w:rPr>
          <w:rFonts w:ascii="Arial" w:cs="Arial" w:eastAsia="Arial" w:hAnsi="Arial"/>
          <w:sz w:val="16"/>
          <w:szCs w:val="16"/>
          <w:i w:val="1"/>
          <w:iCs w:val="1"/>
          <w:color w:val="auto"/>
        </w:rPr>
        <w:t>Revenue from Contacts with Customers</w:t>
      </w:r>
      <w:r>
        <w:rPr>
          <w:rFonts w:ascii="Arial" w:cs="Arial" w:eastAsia="Arial" w:hAnsi="Arial"/>
          <w:sz w:val="16"/>
          <w:szCs w:val="16"/>
          <w:color w:val="auto"/>
        </w:rPr>
        <w:t>, requires us to recognize a significant portion of revenue from our on-premises software subscriptions at the point in time when the software is first made available to the customer, or at the beginning of the subscription</w:t>
      </w:r>
    </w:p>
    <w:p>
      <w:pPr>
        <w:jc w:val="both"/>
        <w:spacing w:after="0" w:line="289" w:lineRule="auto"/>
        <w:rPr>
          <w:sz w:val="20"/>
          <w:szCs w:val="20"/>
          <w:color w:val="auto"/>
        </w:rPr>
      </w:pPr>
      <w:r>
        <w:rPr>
          <w:rFonts w:ascii="Arial" w:cs="Arial" w:eastAsia="Arial" w:hAnsi="Arial"/>
          <w:sz w:val="16"/>
          <w:szCs w:val="16"/>
          <w:color w:val="auto"/>
        </w:rPr>
        <w:t>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licensing and subscription arrangements that are not expected to recur (primarily perpetual licenses) are excluded. We calculate ARR as the quarterly recurring revenue run-rate multiplied by four.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ARR for on-premises and SaaS software at each of the dates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w:t>
            </w:r>
          </w:p>
        </w:tc>
      </w:tr>
      <w:tr>
        <w:trPr>
          <w:trHeight w:val="186"/>
        </w:trPr>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r>
      <w:tr>
        <w:trPr>
          <w:trHeight w:val="212"/>
        </w:trPr>
        <w:tc>
          <w:tcPr>
            <w:tcW w:w="1240" w:type="dxa"/>
            <w:vAlign w:val="bottom"/>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ARR</w:t>
            </w:r>
            <w:r>
              <w:rPr>
                <w:rFonts w:ascii="Arial" w:cs="Arial" w:eastAsia="Arial" w:hAnsi="Arial"/>
                <w:sz w:val="10"/>
                <w:szCs w:val="10"/>
                <w:b w:val="1"/>
                <w:bCs w:val="1"/>
                <w:color w:val="auto"/>
              </w:rPr>
              <w:t xml:space="preserve"> (*)</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Platform </w:t>
            </w:r>
            <w:r>
              <w:rPr>
                <w:rFonts w:ascii="Arial" w:cs="Arial" w:eastAsia="Arial" w:hAnsi="Arial"/>
                <w:sz w:val="23"/>
                <w:szCs w:val="23"/>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108.4</w:t>
            </w:r>
          </w:p>
        </w:tc>
      </w:tr>
      <w:tr>
        <w:trPr>
          <w:trHeight w:val="229"/>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Non-platform</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439.9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437.1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445.9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448.8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454.4</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452.5</w:t>
            </w:r>
          </w:p>
        </w:tc>
      </w:tr>
      <w:tr>
        <w:trPr>
          <w:trHeight w:val="248"/>
        </w:trPr>
        <w:tc>
          <w:tcPr>
            <w:tcW w:w="1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495.0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497.3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524.0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546.6</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560.9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Platform</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Non-platform</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YoY Change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176"/>
        </w:trPr>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8"/>
        <w:spacing w:after="0" w:line="263"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fiscal 2021, we sold all assets related to our cyber risk score operations, sold certain assets related to our Software segment to an affiliated joint venture in China, and divested our C&amp;R business. The amounts and percentages above excluded these divested product lines and businesses at all dates presented.</w:t>
      </w:r>
    </w:p>
    <w:p>
      <w:pPr>
        <w:spacing w:after="0" w:line="22" w:lineRule="exact"/>
        <w:rPr>
          <w:sz w:val="20"/>
          <w:szCs w:val="20"/>
          <w:color w:val="auto"/>
        </w:rPr>
      </w:pPr>
    </w:p>
    <w:p>
      <w:pPr>
        <w:jc w:val="both"/>
        <w:ind w:firstLine="8"/>
        <w:spacing w:after="0" w:line="263" w:lineRule="auto"/>
        <w:tabs>
          <w:tab w:leader="none" w:pos="3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Retention Rate (“DBNRR”)</w:t>
      </w:r>
    </w:p>
    <w:p>
      <w:pPr>
        <w:spacing w:after="0" w:line="11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DBNRR for on-premises and SaaS software for each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737"/>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34"/>
        </w:trPr>
        <w:tc>
          <w:tcPr>
            <w:tcW w:w="12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240" w:type="dxa"/>
            <w:vAlign w:val="bottom"/>
          </w:tcPr>
          <w:p>
            <w:pPr>
              <w:jc w:val="right"/>
              <w:ind w:right="177"/>
              <w:spacing w:after="0" w:line="135" w:lineRule="exact"/>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March 31, 2021</w:t>
            </w:r>
          </w:p>
        </w:tc>
        <w:tc>
          <w:tcPr>
            <w:tcW w:w="1160" w:type="dxa"/>
            <w:vAlign w:val="bottom"/>
          </w:tcPr>
          <w:p>
            <w:pPr>
              <w:jc w:val="right"/>
              <w:ind w:right="379"/>
              <w:spacing w:after="0" w:line="135" w:lineRule="exact"/>
              <w:rPr>
                <w:sz w:val="20"/>
                <w:szCs w:val="20"/>
                <w:color w:val="auto"/>
              </w:rPr>
            </w:pPr>
            <w:r>
              <w:rPr>
                <w:rFonts w:ascii="Arial" w:cs="Arial" w:eastAsia="Arial" w:hAnsi="Arial"/>
                <w:sz w:val="14"/>
                <w:szCs w:val="14"/>
                <w:b w:val="1"/>
                <w:bCs w:val="1"/>
                <w:color w:val="auto"/>
              </w:rPr>
              <w:t>June 30,</w:t>
            </w:r>
          </w:p>
        </w:tc>
        <w:tc>
          <w:tcPr>
            <w:tcW w:w="124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w w:val="99"/>
              </w:rPr>
              <w:t>December 31, 2021</w:t>
            </w:r>
          </w:p>
        </w:tc>
        <w:tc>
          <w:tcPr>
            <w:tcW w:w="12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March 31, 2022</w:t>
            </w:r>
          </w:p>
        </w:tc>
        <w:tc>
          <w:tcPr>
            <w:tcW w:w="1140" w:type="dxa"/>
            <w:vAlign w:val="bottom"/>
          </w:tcPr>
          <w:p>
            <w:pPr>
              <w:jc w:val="right"/>
              <w:ind w:right="237"/>
              <w:spacing w:after="0" w:line="135" w:lineRule="exact"/>
              <w:rPr>
                <w:sz w:val="20"/>
                <w:szCs w:val="20"/>
                <w:color w:val="auto"/>
              </w:rPr>
            </w:pPr>
            <w:r>
              <w:rPr>
                <w:rFonts w:ascii="Arial" w:cs="Arial" w:eastAsia="Arial" w:hAnsi="Arial"/>
                <w:sz w:val="14"/>
                <w:szCs w:val="14"/>
                <w:b w:val="1"/>
                <w:bCs w:val="1"/>
                <w:color w:val="auto"/>
              </w:rPr>
              <w:t>June 30,</w:t>
            </w:r>
          </w:p>
        </w:tc>
      </w:tr>
      <w:tr>
        <w:trPr>
          <w:trHeight w:val="186"/>
        </w:trPr>
        <w:tc>
          <w:tcPr>
            <w:tcW w:w="1220" w:type="dxa"/>
            <w:vAlign w:val="bottom"/>
          </w:tcPr>
          <w:p>
            <w:pPr>
              <w:spacing w:after="0"/>
              <w:rPr>
                <w:sz w:val="16"/>
                <w:szCs w:val="16"/>
                <w:color w:val="auto"/>
              </w:rPr>
            </w:pP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r>
      <w:tr>
        <w:trPr>
          <w:trHeight w:val="212"/>
        </w:trPr>
        <w:tc>
          <w:tcPr>
            <w:tcW w:w="1220" w:type="dxa"/>
            <w:vAlign w:val="bottom"/>
          </w:tcPr>
          <w:p>
            <w:pPr>
              <w:ind w:left="20"/>
              <w:spacing w:after="0" w:line="212" w:lineRule="exact"/>
              <w:rPr>
                <w:sz w:val="20"/>
                <w:szCs w:val="20"/>
                <w:color w:val="auto"/>
              </w:rPr>
            </w:pPr>
            <w:r>
              <w:rPr>
                <w:rFonts w:ascii="Arial" w:cs="Arial" w:eastAsia="Arial" w:hAnsi="Arial"/>
                <w:sz w:val="18"/>
                <w:szCs w:val="18"/>
                <w:b w:val="1"/>
                <w:bCs w:val="1"/>
                <w:i w:val="1"/>
                <w:iCs w:val="1"/>
                <w:color w:val="auto"/>
              </w:rPr>
              <w:t xml:space="preserve">DBNRR </w:t>
            </w:r>
            <w:r>
              <w:rPr>
                <w:rFonts w:ascii="Arial" w:cs="Arial" w:eastAsia="Arial" w:hAnsi="Arial"/>
                <w:sz w:val="23"/>
                <w:szCs w:val="23"/>
                <w:b w:val="1"/>
                <w:bCs w:val="1"/>
                <w:color w:val="auto"/>
                <w:vertAlign w:val="superscript"/>
              </w:rPr>
              <w: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116 %</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123 %</w:t>
            </w:r>
          </w:p>
        </w:tc>
        <w:tc>
          <w:tcPr>
            <w:tcW w:w="1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130 %</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137 %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96 %</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97 %</w:t>
            </w: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96 %</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26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103 %</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99 %</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100 %</w:t>
            </w:r>
          </w:p>
        </w:tc>
        <w:tc>
          <w:tcPr>
            <w:tcW w:w="1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100 %</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176"/>
        </w:trPr>
        <w:tc>
          <w:tcPr>
            <w:tcW w:w="1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21" w:lineRule="exact"/>
        <w:rPr>
          <w:sz w:val="20"/>
          <w:szCs w:val="20"/>
          <w:color w:val="auto"/>
        </w:rPr>
      </w:pPr>
    </w:p>
    <w:p>
      <w:pPr>
        <w:ind w:firstLine="8"/>
        <w:spacing w:after="0" w:line="342" w:lineRule="auto"/>
        <w:tabs>
          <w:tab w:leader="none" w:pos="25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fiscal 2021, we sold all assets related to our cyber risk score operations, sold certain assets related to our Software segment to an affiliated joint venture in China, and divested our C&amp;R business. The percentages above excluded these divested product lines and businesses for all periods presented.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Segment revenues, operating income, and related financial information, including disaggregation of revenue are set forth in Note 8 and Note 11 to the accompanying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Quarter Ended June 30,</w:t>
            </w:r>
          </w:p>
        </w:tc>
        <w:tc>
          <w:tcPr>
            <w:tcW w:w="25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179,355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165,982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348,966</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338,184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 June 30,</w:t>
            </w:r>
          </w:p>
        </w:tc>
        <w:tc>
          <w:tcPr>
            <w:tcW w:w="25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122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Period-to-Period</w:t>
            </w:r>
          </w:p>
        </w:tc>
        <w:tc>
          <w:tcPr>
            <w:tcW w:w="14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47,012</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496,387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Quarter Ended June 30, 2022 Compared to Quarter Ended June 30, 2021</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04"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7"/>
          <w:szCs w:val="17"/>
          <w:color w:val="auto"/>
        </w:rPr>
        <w:t>Scores segment revenues increased $7.2 million due to an increase of $3.2 million in our business-to-business scores revenue and $4.0 million in our business-to-consumer revenue. The increase in business-to-business scores revenue was primarily attributable to a higher unit price across several business-to-business offerings and an increase in unsecured credit originations volume, partially offset by a decrease in mortgage originations volume during the quarter ended June 30, 2022. The increase in business-to-consumer revenue was primarily attributable to an increase in royalties derived from scores and subscription services sold indirectly to consumers through credit reporting agencies.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Software segment revenues increased $3.6 million due to a $12.3 million increase in our on-premises and SaaS software revenue, partially offset by a $8.7 million decrease in services revenue. The increase in our on-premises and SaaS software revenue was primarily attributable to an increase in our platform software revenue, partially offset by the C&amp;R business divestiture. The decrease in services revenue was primarily attributable to the C&amp;R business divestiture in June 2021, as well as our strategic shift to emphasize software over services. The total revenue impact from the divestiture was $13.2 million — a $6.0 million decrease from on-premises and SaaS software and a $7.2 million decrease from professional services.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2022 Compared to Nine Months Ended June 30, 2021</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1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Scores segment revenues increased $47.0 million due to an increase of $21.9 million in our business-to-business scores revenue and $25.1 million in our business-to-consumer revenue. The increase in business-to-business scores revenue was primarily attributable to a higher unit price across several business-to-business offerings and an increase in unsecured credit originations volume, partially offset by a decrease in mortgage originations volume during the nine months ended June 30, 2022. The increase in business-to-consumer revenue was attributable to an increase in both royalties derived from scores and subscription services sold indirectly to consumers through credit reporting agencies and direct sales generated from the myFICO.com website.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Software segment revenues decreased $0.4 million due to a $36.2 million decrease in services revenue, partially offset by a $35.7 million increase in our on-premises and SaaS software revenue. The decrease in services revenue was primarily attributable to the C&amp;R business divestiture in June 2021, as well as our strategic shift to emphasize software over services. The increase in our on-premises and SaaS software revenue was primarily attributable to an increase in our platform software revenue, partially offset by the C&amp;R business divestiture. The total revenue impact from the divestiture was $45.3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a $22.3 million decrease from on-premises and SaaS software and a $23.0 million decrease from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nine-month periods ended June 30,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Quarter Ended June 30,</w:t>
            </w: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Percentage of Revenues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Period-to-Period</w:t>
            </w:r>
          </w:p>
        </w:tc>
        <w:tc>
          <w:tcPr>
            <w:tcW w:w="1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3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4"/>
          </w:tcPr>
          <w:p>
            <w:pPr>
              <w:jc w:val="center"/>
              <w:ind w:right="231"/>
              <w:spacing w:after="0" w:line="130" w:lineRule="exact"/>
              <w:rPr>
                <w:sz w:val="20"/>
                <w:szCs w:val="20"/>
                <w:color w:val="auto"/>
              </w:rPr>
            </w:pPr>
            <w:r>
              <w:rPr>
                <w:rFonts w:ascii="Arial" w:cs="Arial" w:eastAsia="Arial" w:hAnsi="Arial"/>
                <w:sz w:val="14"/>
                <w:szCs w:val="14"/>
                <w:b w:val="1"/>
                <w:bCs w:val="1"/>
                <w:color w:val="auto"/>
                <w:w w:val="90"/>
              </w:rPr>
              <w:t>(In thousands, except</w:t>
            </w: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4"/>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8"/>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except employees)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338,184</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100 %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w w:val="96"/>
              </w:rPr>
              <w:t>Research and development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45,826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Selling, general and</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93,248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(14,481)</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rPr>
              <w:t>Amortization of intangible</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5"/>
                <w:szCs w:val="15"/>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Gains on product line asset</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sales and business divestiture</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208,351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143,800</w:t>
            </w:r>
          </w:p>
        </w:tc>
        <w:tc>
          <w:tcPr>
            <w:tcW w:w="1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64,551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120,894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187,892</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(66,998)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36,694</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(57,698)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Number of employees at quarter</w:t>
            </w:r>
          </w:p>
        </w:tc>
        <w:tc>
          <w:tcPr>
            <w:tcW w:w="3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June 30,</w:t>
            </w:r>
          </w:p>
        </w:tc>
        <w:tc>
          <w:tcPr>
            <w:tcW w:w="2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Percentage of Revenues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15"/>
        </w:trPr>
        <w:tc>
          <w:tcPr>
            <w:tcW w:w="25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Period-to-Period</w:t>
            </w:r>
          </w:p>
        </w:tc>
        <w:tc>
          <w:tcPr>
            <w:tcW w:w="13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1,028,522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981,959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100 %  $</w:t>
            </w:r>
          </w:p>
        </w:tc>
        <w:tc>
          <w:tcPr>
            <w:tcW w:w="1300" w:type="dxa"/>
            <w:vAlign w:val="bottom"/>
          </w:tcPr>
          <w:p>
            <w:pPr>
              <w:jc w:val="right"/>
              <w:spacing w:after="0"/>
              <w:rPr>
                <w:sz w:val="20"/>
                <w:szCs w:val="20"/>
                <w:color w:val="auto"/>
              </w:rPr>
            </w:pPr>
            <w:r>
              <w:rPr>
                <w:rFonts w:ascii="Arial" w:cs="Arial" w:eastAsia="Arial" w:hAnsi="Arial"/>
                <w:sz w:val="18"/>
                <w:szCs w:val="18"/>
                <w:color w:val="auto"/>
              </w:rPr>
              <w:t>46,563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219,688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260,101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(40,413)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rPr>
              <w:t>Selling, general and</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287,710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298,912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(11,202)</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Amortization of intangible</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960"/>
              <w:spacing w:after="0"/>
              <w:rPr>
                <w:sz w:val="20"/>
                <w:szCs w:val="20"/>
                <w:color w:val="auto"/>
              </w:rPr>
            </w:pPr>
            <w:r>
              <w:rPr>
                <w:rFonts w:ascii="Arial" w:cs="Arial" w:eastAsia="Arial" w:hAnsi="Arial"/>
                <w:sz w:val="18"/>
                <w:szCs w:val="18"/>
                <w:color w:val="auto"/>
              </w:rPr>
              <w:t>— %</w:t>
            </w:r>
          </w:p>
        </w:tc>
        <w:tc>
          <w:tcPr>
            <w:tcW w:w="7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w w:val="97"/>
              </w:rPr>
              <w:t>Gains on product line asset</w:t>
            </w:r>
          </w:p>
        </w:tc>
        <w:tc>
          <w:tcPr>
            <w:tcW w:w="3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gridSpan w:val="3"/>
            <w:vMerge w:val="restart"/>
          </w:tcPr>
          <w:p>
            <w:pPr>
              <w:jc w:val="right"/>
              <w:ind w:right="960"/>
              <w:spacing w:after="0"/>
              <w:rPr>
                <w:sz w:val="20"/>
                <w:szCs w:val="20"/>
                <w:color w:val="auto"/>
              </w:rPr>
            </w:pPr>
            <w:r>
              <w:rPr>
                <w:rFonts w:ascii="Arial" w:cs="Arial" w:eastAsia="Arial" w:hAnsi="Arial"/>
                <w:sz w:val="18"/>
                <w:szCs w:val="18"/>
                <w:color w:val="auto"/>
              </w:rPr>
              <w:t>— %</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w w:val="88"/>
              </w:rPr>
              <w:t>sales and business divestiture</w:t>
            </w: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620,264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591,655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408,258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390,304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3"/>
          </w:tcPr>
          <w:p>
            <w:pPr>
              <w:jc w:val="right"/>
              <w:ind w:right="960"/>
              <w:spacing w:after="0"/>
              <w:rPr>
                <w:sz w:val="20"/>
                <w:szCs w:val="20"/>
                <w:color w:val="auto"/>
              </w:rPr>
            </w:pPr>
            <w:r>
              <w:rPr>
                <w:rFonts w:ascii="Arial" w:cs="Arial" w:eastAsia="Arial" w:hAnsi="Arial"/>
                <w:sz w:val="18"/>
                <w:szCs w:val="18"/>
                <w:color w:val="auto"/>
              </w:rPr>
              <w:t>— %</w:t>
            </w:r>
          </w:p>
        </w:tc>
        <w:tc>
          <w:tcPr>
            <w:tcW w:w="5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358,199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367,676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1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quarter-over-prior year quarter decrease in cost of revenues of $3.5 million was primarily attributable to a $1.9 million decrease in allocated facilities and infrastructure costs, and a $1.7 million decrease in personnel and labor costs. Both were largely driven by a decrease in our headcount as a result of the divestiture of our C&amp;R business in June 2021, as well as reduced resource requirements associated with decreased services revenue. Cost of revenues as a percentage of revenues decreased to 23% during the quarter ended June 30, 2022 from 24% during the quarter ended June 30, 2021, primarily due to an increase in license revenue recognized at a point in time, increased sales of our higher-margin Scores products and decreased sales of lower-margin professional services.</w:t>
      </w:r>
    </w:p>
    <w:p>
      <w:pPr>
        <w:spacing w:after="0" w:line="13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year-to-date period over period decrease in cost of revenues of $40.4 million was primarily attributable to a $32.4 million decrease in personnel and labor costs and a $10.3 million decrease in allocated facilities and infrastructure costs, partially offset by a $3.0 million increase in direct materials. The decrease in personnel and labor costs and allocated facilities and infrastructure costs were largely driven by a decrease in our headcount as a result of the divestiture of our C&amp;R business in June 2021, as well as reduced resource requirements associated with decreased services revenue. The increase in direct materials was primarily attributable to an increase in telecommunication cost. Cost of revenues as a percentage of revenues decreased to 21% during the nine months ended June 30, 2022 from 27% during the nine months ended June 30, 2021, primarily due to an increase in license revenue recognized at a point in time, increased sales of our higher-margin Scores products and decreased sales of lower-margin professional services.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decrease in research and development expenses of $9.9 million was primarily attributable to an $8.9 million decrease in personnel and labor costs as a result of decreased headcount and a $0.8 million decrease in third-party cloud computing costs. Research and development expenses as a percentage of revenues decreased to 10% during the quarter ended June 30, 2022 from 14% during the quarter ended June 30, 2021.</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year-to-date period over period decrease in research and development expenses of $18.8 million was primarily attributable to a $13.9 million decrease in personnel and labor costs as a result of decreased headcount and a $2.6 million decrease in third-party cloud computing costs. Research and development expenses as a percentage of revenues decreased to 11% during the nine months ended June 30, 2022 from 13% during the nine months ended June 30, 2021.</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spacing w:after="0" w:line="9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quarter-over-prior year quarter decrease in selling, general and administrative expenses of $14.5 million was primarily attributable to a $20.7 million decrease in personnel and labor costs, partially offset by a $4.4 million increase in marketing costs and a $2.1 million increase in travel costs. The decrease in personnel and labor costs was primarily a result of decreased headcount, decreased fringe benefit costs related to our supplemental retirement and savings plan, lower non-capitalizable commission cost, and lower share-based compensation. The increase in marketing and travel costs was primarily driven by a company-wide marketing event held during the third quarter of fiscal 2022. In addition, travel costs increased as certain COVID-19 related restrictions have been reduced. Selling, general and administrative expenses as a percentage of revenues decreased to 27% during the quarter ended June 30, 2022 from 32% during the quarter ended June 30, 2021.</w:t>
      </w:r>
    </w:p>
    <w:p>
      <w:pPr>
        <w:spacing w:after="0" w:line="12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year-to-date period over period decrease in selling, general and administrative expenses of $11.2 million was primarily attributable to a $24.1 million decrease in personnel and labor costs, partially offset by a $4.1 million increase in marketing costs, a $3.3 million increase in travel costs, a $2.5 million increase in insurance costs, and a $0.8 million increase in third-party cloud computing costs. The decrease in personnel and labor costs was primarily a result of decreased headcount, decreased fringe benefit costs related to our supplemental retirement and savings plan, and lower non-capitalizable commission cost, partially offset by higher share-based compensation. The increase in marketing and travel costs was primarily driven by a company-wide marketing event held during the third quarter of fiscal 2022. In addition, travel costs increased as certain COVID-19 related restrictions have been reduced. Selling, general and administrative expenses as a percentage of revenues decreased to 28% during the nine months ended June 30, 2022 from 31% during the nine months ended June 30, 2021.</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five to ten years.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$0.5 million during the quarter ended June 30, 2022 compared to $0.8 million during the quarter ended June 30, 2021.</w:t>
      </w:r>
    </w:p>
    <w:p>
      <w:pPr>
        <w:spacing w:after="0" w:line="248"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Amortization expense was $1.6 million during the nine months ended June 30, 2022 compared to $2.7 million during the nine months ended June 30, 2021. The decrease was primarily attributable to certain assets associated with the divestiture of our C&amp;R business in June 2021.</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on Product Line Asset Sales and Business Divestiture</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$92.8 million gain on product line asset sales and business divestiture during the quarter ended June 30, 2021 was attributable to the sale of the C&amp;R business in June 2021. The $100.1 million gain during the nine months ended June 30, 2021 also included a $7.3 million gain on the sale of all assets related to our cyber risk score operations in October 2020, and the sale of certain assets related to our Software operations to an affiliated joint venture in China in December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Interest expense includes interest on the senior notes issued in December 2021, December 2019 and May 2018, as well as interest and credit facility fees on the revolving line of credit and term loan. Our condensed consolidated statements of income and comprehensive income include interest expense netted with interest income, which is derived primarily from the investment of funds in excess of our immediate operating requirements.</w:t>
      </w:r>
    </w:p>
    <w:p>
      <w:pPr>
        <w:spacing w:after="0" w:line="9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quarter-over-prior year quarter increase in interest expense of $8.7 million was primarily attributable to a higher average outstanding debt balance during the quarter ended June 30, 2022.</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year-to-date period over period increase in interest expense of $18.5 million was primarily attributable to a higher average outstanding debt balance during the nine months ended June 30, 2022.</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Other income (expense), net consists primarily of realized investment gains/losses and unrealized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change in other income (expense), net of $4.5 million was primarily attributable to net unrealized losses on investments classified as trading securities in our supplemental retirement and savings plan in the current year period compared to gains in the prior year period, partially offset by an increase in foreign currency exchange gains.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year-to-date period over period change in other income (expense), net of $8.9 million was primarily attributable to net unrealized losses on investments classified as trading securities in our supplemental retirement and savings plan in the current year period compared to gains in the prior year period, partially offset by an increase in foreign currency exchange gains.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income tax rate was 22.7% and 19.5% during the quarters ended June 30, 2022 and 2021, respectively, and 21.0% and 16.7% during</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nine months ended June 30, 2022 and 2021,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tax rates for the nine months ended June 30, 2022 and 2021 were both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2021 has resulted in a decreased net excess tax benefit for the nine months ended June 30, 2022, as compared to the nine months ended June 30,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set forth certain summary information on a segment basis related to our operating income for the quarters and nine-month periods ended June 30, 2022 and 2021:</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Quarter Ended June 30,</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ind w:left="28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75"/>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160,148</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146,784</w:t>
            </w:r>
          </w:p>
        </w:tc>
        <w:tc>
          <w:tcPr>
            <w:tcW w:w="4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13,364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27,377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Unallocated corporate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(33,820)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5"/>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133,150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36,546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w w:val="90"/>
              </w:rPr>
              <w:t>Unallocated amortization expense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Unallocated gains on product line asset sales and business divestiture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140,615</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194,384</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(53,769)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Scores</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Software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3"/>
          </w:tcPr>
          <w:p>
            <w:pPr>
              <w:ind w:left="260"/>
              <w:spacing w:after="0" w:line="129" w:lineRule="exact"/>
              <w:rPr>
                <w:sz w:val="20"/>
                <w:szCs w:val="20"/>
                <w:color w:val="auto"/>
              </w:rPr>
            </w:pPr>
            <w:r>
              <w:rPr>
                <w:rFonts w:ascii="Arial" w:cs="Arial" w:eastAsia="Arial" w:hAnsi="Arial"/>
                <w:sz w:val="14"/>
                <w:szCs w:val="14"/>
                <w:b w:val="1"/>
                <w:bCs w:val="1"/>
                <w:color w:val="auto"/>
                <w:w w:val="98"/>
              </w:rPr>
              <w:t>Quarter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4"/>
          </w:tcPr>
          <w:p>
            <w:pPr>
              <w:jc w:val="right"/>
              <w:ind w:right="600"/>
              <w:spacing w:after="0" w:line="129" w:lineRule="exact"/>
              <w:rPr>
                <w:sz w:val="20"/>
                <w:szCs w:val="20"/>
                <w:color w:val="auto"/>
              </w:rPr>
            </w:pPr>
            <w:r>
              <w:rPr>
                <w:rFonts w:ascii="Arial" w:cs="Arial" w:eastAsia="Arial" w:hAnsi="Arial"/>
                <w:sz w:val="14"/>
                <w:szCs w:val="14"/>
                <w:b w:val="1"/>
                <w:bCs w:val="1"/>
                <w:color w:val="auto"/>
                <w:w w:val="97"/>
              </w:rPr>
              <w:t>Percentage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600"/>
              <w:spacing w:after="0" w:line="12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296"/>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Revenues</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5"/>
          </w:tcPr>
          <w:p>
            <w:pPr>
              <w:jc w:val="center"/>
              <w:ind w:left="29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179,355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172,202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169,611</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165,982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0"/>
              </w:rPr>
              <w:t>Segment operating expense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(19,207)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(25,418)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(122,048)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(145,796)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Segment operating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160,148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146,784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quarter-over-prior year quarter $53.8 million decrease in operating income was primarily attributable to a $92.8 million gain on business divestiture during the quarter ended June 30, 2021 and a $4.2 million increase in corporate expenses, partially offset by a $30.0 million decrease in segment operating expenses, a $10.7 million increase in segment revenues, and a $2.2 million decrease in share-based compensation cost.</w:t>
      </w:r>
    </w:p>
    <w:p>
      <w:pPr>
        <w:spacing w:after="0" w:line="11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the segment level, the quarter-over-prior year quarter $36.5 million increase in segment operating income was the result of a $27.4 million increase in our Software segment operating income and a $13.3 million increase in our Scores segment operating income, partially offset by a $4.2 million increase in corporate expenses.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$13.3 million increase in Scores segment operating income was due to a $7.1 million increase in segment revenue and a $6.2 million decrease in segment operating expenses. Segment operating income as a percentage of segment revenue for Scores increased to 89% from 85%.</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$27.4 million increase in Software segment operating income was due to a $23.8 million decrease in segment operating expenses and a $3.6 million increase in segment revenue. Segment operating income as a percentage of segment revenue for Software increased to 28% from 12%, primarily attributable to the divestiture of our lower-margin C&amp;R business, an increase in higher-margin license revenue recognized at a point in time, and a decrease in sales of our lower-margin professional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3"/>
              </w:rPr>
              <w:t>Nine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ind w:left="28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75"/>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470,367</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416,351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54,016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58,070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Unallocated corporate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5"/>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376,956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119,284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w w:val="90"/>
              </w:rPr>
              <w:t>Unallocated amortization expense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Unallocated gains on product line asset sales and business divestiture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408,258</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390,304</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17,954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Scores</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Software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gridSpan w:val="6"/>
          </w:tcPr>
          <w:p>
            <w:pPr>
              <w:ind w:left="120"/>
              <w:spacing w:after="0" w:line="129" w:lineRule="exact"/>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1"/>
                <w:szCs w:val="11"/>
                <w:color w:val="auto"/>
              </w:rPr>
            </w:pPr>
          </w:p>
        </w:tc>
        <w:tc>
          <w:tcPr>
            <w:tcW w:w="1520" w:type="dxa"/>
            <w:vAlign w:val="bottom"/>
            <w:gridSpan w:val="4"/>
          </w:tcPr>
          <w:p>
            <w:pPr>
              <w:jc w:val="right"/>
              <w:ind w:right="600"/>
              <w:spacing w:after="0" w:line="129" w:lineRule="exact"/>
              <w:rPr>
                <w:sz w:val="20"/>
                <w:szCs w:val="20"/>
                <w:color w:val="auto"/>
              </w:rPr>
            </w:pPr>
            <w:r>
              <w:rPr>
                <w:rFonts w:ascii="Arial" w:cs="Arial" w:eastAsia="Arial" w:hAnsi="Arial"/>
                <w:sz w:val="14"/>
                <w:szCs w:val="14"/>
                <w:b w:val="1"/>
                <w:bCs w:val="1"/>
                <w:color w:val="auto"/>
                <w:w w:val="97"/>
              </w:rPr>
              <w:t>Percentage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60" w:type="dxa"/>
            <w:vAlign w:val="bottom"/>
            <w:gridSpan w:val="8"/>
          </w:tcPr>
          <w:p>
            <w:pPr>
              <w:jc w:val="right"/>
              <w:ind w:right="1040"/>
              <w:spacing w:after="0" w:line="129" w:lineRule="exact"/>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600"/>
              <w:spacing w:after="0" w:line="12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Revenues</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6"/>
          </w:tcPr>
          <w:p>
            <w:pPr>
              <w:jc w:val="right"/>
              <w:ind w:right="6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532,584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485,572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495,938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0"/>
              </w:rPr>
              <w:t>Segment operating expense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(62,217)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(69,221)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(360,582)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(438,317)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Segment operating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470,367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416,351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135,356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year-to-date period over period increase of $18.0 million in operating income was primarily attributable to an $84.7 million decrease in segment operating expenses and a $46.6 million increase in segment revenues, partially offset by $100.1 million in gains on product line asset sales and a business divestiture during the nine months ended June 30, 2021, a $12.0 million increase in corporate expenses, and a $2.3 million increase in share-based compensation cost.</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the segment level, the year-to-date period over period increase of $119.3 million in segment operating income was the result of a $77.3 million increase in our Software segment operating income and a $54.0 million increase in our Scores segment operating income, partially offset by a $12.0 million increase in corporate expenses.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year-to-date period over period $54.0 million increase in Scores segment operating income was attributable to a $47.0 million increase in segment revenue and a $7.0 million decrease in segment operating expenses. Segment operating income as a percentage of segment revenue for Scores increased to 88% from 86%.</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year-to-date period over period $77.3 million increase in Software segment operating income was due to a $77.7 million decrease in segment operating expenses, partially offset by a $0.4 million decrease in segment revenue. Segment operating income as a percentage of segment revenue for Software increased to 27% from 12%, primarily attributable to the divestiture of our lower-margin C&amp;R business, an increase in higher-margin license revenue recognized at a point in time, and a decrease in sales of our lower-margin professional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As of June 30, 2022, we had $155.1 million in cash and cash equivalents, which included $118.2 million held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$600 million revolving line of credit and anticipated cash flows from operating activities, will be sufficient to fund our working and other capital requirements as well as the $15.0 million principal payments on our term loan over the next twelve months. Under our current financing arrangements, we have no other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1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 June 30,</w:t>
            </w:r>
          </w:p>
        </w:tc>
        <w:tc>
          <w:tcPr>
            <w:tcW w:w="260" w:type="dxa"/>
            <w:vAlign w:val="bottom"/>
          </w:tcPr>
          <w:p>
            <w:pPr>
              <w:spacing w:after="0"/>
              <w:rPr>
                <w:sz w:val="16"/>
                <w:szCs w:val="16"/>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Period-to-Period</w:t>
            </w:r>
          </w:p>
        </w:tc>
      </w:tr>
      <w:tr>
        <w:trPr>
          <w:trHeight w:val="201"/>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364,624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332,062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32,562</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(142,021)</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(394,572)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80,218</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(120,510)</w:t>
            </w: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primary method for funding operations and growth has been through cash flows generated from operating activities. Net cash provided by operating activities increased to $364.6 million during the nine months ended June 30, 2022 from $332.1 million during the nine months ended June 30, 2021. The $32.6 million increase was attributable to a $124.3 million increase in non-cash items, including a $100.1 million gain on product line asset sales and business divestiture during the nine months ended June 30, 2021, partially offset by a $68.2 million decrease that resulted from timing of receipts and payments in our ordinary course of business and a $23.5 million decrease in net income.</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Net cash used in investing activities was $4.4 million for the nine months ended June 30, 2022 as compared to net cash provided of $137.6 million for the nine months ended June 30, 2021. The $142.0 million change was primarily attributable to $146.4 million cash proceeds from the product line asset sales and business divestiture during the nine months ended June 30, 2021.</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Net cash used in financing activities decreased to $390.3 million for the nine months ended June 30, 2022 from $394.6 million for the nine months ended June 30, 2021. The $4.3 million decrease was primarily attributable to a $550.0 million increase in proceeds from the issuance of senior notes and a $39.7 million decrease in taxes paid related to net share settlement of equity awards, partially offset by a $506.8 million increase in repurchases of common stock and a $66.5 million increase in payments, net of proceeds, on our revolving line of credit.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January 2022, our Board of Directors approved a new stock repurchase program following the completion of our previous program. This program is open-ended and authorizes repurchases of shares of our common stock up to an aggregate cost of $500.0 million in the open market or in negotiated transactions.</w:t>
      </w:r>
    </w:p>
    <w:p>
      <w:pPr>
        <w:spacing w:after="0" w:line="130"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Pursuant to our previously-authorized stock repurchase programs and the January 2022 program, we repurchased approximately 735,000 shares and 2,558,000 shares of our common stock at a total repurchase price of $282.4 million and $1.04 billion during the quarter and nine months ended June 30,</w:t>
      </w:r>
    </w:p>
    <w:p>
      <w:pPr>
        <w:spacing w:after="0"/>
        <w:rPr>
          <w:sz w:val="20"/>
          <w:szCs w:val="20"/>
          <w:color w:val="auto"/>
        </w:rPr>
      </w:pPr>
      <w:r>
        <w:rPr>
          <w:rFonts w:ascii="Arial" w:cs="Arial" w:eastAsia="Arial" w:hAnsi="Arial"/>
          <w:sz w:val="18"/>
          <w:szCs w:val="18"/>
          <w:color w:val="auto"/>
        </w:rPr>
        <w:t>2022, respectively. As of June 30, 2022, we had $118.8 million remaining under the January 2022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 and Term Loan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have a $600 million unsecured revolving line of credit with a syndicate of banks that expires on August 19, 2026. Borrowings under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greatest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a maximum consolidated leverage ratio of 3.50, subject to a step up to 4.00 following certain permitted acquisitions; and a minimum interest coverage ratio of 3.00. The credit agreement also contains other covenants typical of unsecured facilities.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we have a term loan in an initial principal amount of $300 million. The term loan is subject to the same pricing and covenants as the revolving line of credit and matures at the expiration of the facility on August 19, 2026. The term loan requires principal payments in consecutive quarterly installments of $3.75 million on the last business day of each quarter.</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2022, we had $380.0 million in borrowings outstanding under the revolving credit facility at a weighted-average interest rate of 2.974%, and $292.5 million in outstanding balance of the term loan at an interest rate of 2.684%, of which $542.5 million was classified as a long-term liability and recorded in long-term debt within the accompanying condensed consolidated balance sheets. We were in compliance with all financial covenants under this credit facility as of June 30,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June 30, 2022, the carrying value of the Senior Notes was $1.30 billion and we were in compliance with all financial covenants under these obligations, and do not believe we are at material risk of not meeting these covenants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0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38"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71"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0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over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1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3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During the fourth quarter of fiscal 2021, we reevaluated our operating segments to better align with how our CODM evaluates performance and allocates resources, which resulted in a change from three operating segments — Applications, Decision Management Software and Scores — to two operating segments, Software and Scores. As part of this reevaluation, we determined our operating segments continue to represent our reporting units.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performed a step one quantitative impairment test on the Software and Scores reporting units before and immediately following the change in reporting units. There was a substantial excess of fair value over carrying value for the reporting units and we determined goodwill was not impaired for any of our reporting units before or after the change for fiscal 2021. For fiscal 2019 and 2020,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2019 and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 We did not recognize any impairment charges on intangible assets that have finite useful lives or other long-lived assets in fiscal 2021, 2020, and 2019.</w:t>
      </w:r>
    </w:p>
    <w:p>
      <w:pPr>
        <w:spacing w:after="0" w:line="1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3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1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0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October 2021, the Financial Accounting Standards Board (“FASB”) issued Accounting Standards Update (“ASU”) No. 2021-08,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(Topic 805): Accounting for Contract Assets and Contract Liabilities from Contracts with Customers</w:t>
      </w:r>
      <w:r>
        <w:rPr>
          <w:rFonts w:ascii="Arial" w:cs="Arial" w:eastAsia="Arial" w:hAnsi="Arial"/>
          <w:sz w:val="17"/>
          <w:szCs w:val="17"/>
          <w:color w:val="auto"/>
        </w:rPr>
        <w:t>” (“ASU 2021-08”). ASU 2021-08</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requires an acquirer in a business combination to recognize and measure contract assets and contract liabilities from acquired contracts using the revenue recognition guidance under Accounting Standards Codification Topic 606, </w:t>
      </w:r>
      <w:r>
        <w:rPr>
          <w:rFonts w:ascii="Arial" w:cs="Arial" w:eastAsia="Arial" w:hAnsi="Arial"/>
          <w:sz w:val="17"/>
          <w:szCs w:val="17"/>
          <w:i w:val="1"/>
          <w:iCs w:val="1"/>
          <w:color w:val="auto"/>
        </w:rPr>
        <w:t>Revenue from Contacts with Customers</w:t>
      </w:r>
      <w:r>
        <w:rPr>
          <w:rFonts w:ascii="Arial" w:cs="Arial" w:eastAsia="Arial" w:hAnsi="Arial"/>
          <w:sz w:val="17"/>
          <w:szCs w:val="17"/>
          <w:color w:val="auto"/>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consolidated financial statements.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June 30, 2022 and September 30,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June 30, 2022</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1"/>
              </w:rPr>
              <w:t>September 30, 2021</w:t>
            </w:r>
          </w:p>
        </w:tc>
        <w:tc>
          <w:tcPr>
            <w:tcW w:w="1340" w:type="dxa"/>
            <w:vAlign w:val="bottom"/>
            <w:tcBorders>
              <w:bottom w:val="single" w:sz="8" w:color="auto"/>
            </w:tcBorders>
          </w:tcPr>
          <w:p>
            <w:pPr>
              <w:spacing w:after="0"/>
              <w:rPr>
                <w:sz w:val="16"/>
                <w:szCs w:val="16"/>
                <w:color w:val="auto"/>
              </w:rPr>
            </w:pPr>
          </w:p>
        </w:tc>
      </w:tr>
      <w:tr>
        <w:trPr>
          <w:trHeight w:val="135"/>
        </w:trPr>
        <w:tc>
          <w:tcPr>
            <w:tcW w:w="2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20"/>
              <w:spacing w:after="0" w:line="135"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1"/>
                <w:szCs w:val="11"/>
                <w:color w:val="auto"/>
              </w:rPr>
            </w:pPr>
          </w:p>
        </w:tc>
        <w:tc>
          <w:tcPr>
            <w:tcW w:w="1420" w:type="dxa"/>
            <w:vAlign w:val="bottom"/>
          </w:tcPr>
          <w:p>
            <w:pPr>
              <w:jc w:val="center"/>
              <w:ind w:right="404"/>
              <w:spacing w:after="0" w:line="135" w:lineRule="exact"/>
              <w:rPr>
                <w:sz w:val="20"/>
                <w:szCs w:val="20"/>
                <w:color w:val="auto"/>
              </w:rPr>
            </w:pPr>
            <w:r>
              <w:rPr>
                <w:rFonts w:ascii="Arial" w:cs="Arial" w:eastAsia="Arial" w:hAnsi="Arial"/>
                <w:sz w:val="14"/>
                <w:szCs w:val="14"/>
                <w:b w:val="1"/>
                <w:bCs w:val="1"/>
                <w:color w:val="auto"/>
              </w:rPr>
              <w:t>Carrying</w:t>
            </w:r>
          </w:p>
        </w:tc>
        <w:tc>
          <w:tcPr>
            <w:tcW w:w="136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240"/>
              <w:spacing w:after="0" w:line="135"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540" w:type="dxa"/>
            <w:vAlign w:val="bottom"/>
          </w:tcPr>
          <w:p>
            <w:pPr>
              <w:jc w:val="center"/>
              <w:ind w:right="344"/>
              <w:spacing w:after="0" w:line="135"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88"/>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Basis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04"/>
              <w:spacing w:after="0"/>
              <w:rPr>
                <w:sz w:val="20"/>
                <w:szCs w:val="20"/>
                <w:color w:val="auto"/>
              </w:rPr>
            </w:pPr>
            <w:r>
              <w:rPr>
                <w:rFonts w:ascii="Arial" w:cs="Arial" w:eastAsia="Arial" w:hAnsi="Arial"/>
                <w:sz w:val="14"/>
                <w:szCs w:val="14"/>
                <w:b w:val="1"/>
                <w:bCs w:val="1"/>
                <w:color w:val="auto"/>
                <w:w w:val="94"/>
              </w:rPr>
              <w:t>Amount</w:t>
            </w:r>
          </w:p>
        </w:tc>
        <w:tc>
          <w:tcPr>
            <w:tcW w:w="178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5"/>
              </w:rPr>
              <w:t>Yield</w:t>
            </w: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64"/>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5"/>
              </w:rPr>
              <w:t>Yield</w:t>
            </w:r>
          </w:p>
        </w:tc>
      </w:tr>
      <w:tr>
        <w:trPr>
          <w:trHeight w:val="183"/>
        </w:trPr>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8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1"/>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  $</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155,062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155,062</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0.67 %  $</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195,354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195,354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2022 and September 30,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September 30, 2021</w:t>
            </w:r>
          </w:p>
        </w:tc>
      </w:tr>
      <w:tr>
        <w:trPr>
          <w:trHeight w:val="187"/>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Face Value (*)</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The 2018</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The 2019</w:t>
            </w:r>
          </w:p>
        </w:tc>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 and the 2021 Senior Notes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188" w:lineRule="exact"/>
        <w:rPr>
          <w:sz w:val="20"/>
          <w:szCs w:val="20"/>
          <w:color w:val="auto"/>
        </w:rPr>
      </w:pPr>
    </w:p>
    <w:p>
      <w:pPr>
        <w:ind w:firstLine="413"/>
        <w:spacing w:after="0" w:line="277" w:lineRule="auto"/>
        <w:tabs>
          <w:tab w:leader="none" w:pos="653"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$15.0 million and $9.0 million at June 30, 2022 and September 30, 2021, respectively.</w:t>
      </w:r>
    </w:p>
    <w:p>
      <w:pPr>
        <w:spacing w:after="0" w:line="11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have interest rate risk with respect to our unsecured revolving line of credit and term loan. Interest on amounts borrowed under the credit facility is based on (i) a base rate, which is the greatest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A change in interest rates on this variable rate debt impacts the interest incurred and cash flows, but does not impact the fair value of the instrument. As of June 30, 2022, we had $380.0 million in borrowings outstanding under the revolving credit facility at a weighted-average interest rate of 2.974% and $292.5 million in outstanding balance of the term loan at an interest rate of 2.684%.</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June 30, 2022 and September 30,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480" w:type="dxa"/>
            <w:vAlign w:val="bottom"/>
          </w:tcPr>
          <w:p>
            <w:pPr>
              <w:jc w:val="center"/>
              <w:ind w:left="599"/>
              <w:spacing w:after="0" w:line="130"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15,800</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16,372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8,100</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5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480" w:type="dxa"/>
            <w:vAlign w:val="bottom"/>
          </w:tcPr>
          <w:p>
            <w:pPr>
              <w:jc w:val="center"/>
              <w:ind w:left="599"/>
              <w:spacing w:after="0" w:line="130"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17,100</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11,467</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June 30, 2022 and September 30, 2021, respectively; therefore, their fair value was $0 on each of these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June 30, 2022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Market and Strategy Risks</w:t>
      </w:r>
    </w:p>
    <w:p>
      <w:pPr>
        <w:spacing w:after="0" w:line="175"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COVID-19 pandemic has resulted in a widespread health crisis that has adversely affected the global economy, leading to reduced consumer spending and lending activities and disruptions and volatility in the global capital markets. COVID-19 has caused shutdowns to businesses and cities worldwide and has disrupted supply chains, business operations, travel, and consumer confidence.</w:t>
      </w:r>
    </w:p>
    <w:p>
      <w:pPr>
        <w:spacing w:after="0" w:line="130"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a result of the COVID-19 pandemic, we temporarily closed the majority of our offices (including our corporate headquarters in the United States), but are in the process of re-opening them. Although our company-wide voluntary work from home policy expired on March 31, 2022, we continue to allow the majority of our workforce the flexibility to work remotely on an ongoing basis. In addition, we continue to impose certain travel restrictions where applicable. Both of these actions have disrupted how we operate our business. Due in part to anticipated post-pandemic workforce patterns, in late fiscal 2020 and early fiscal 2021, we permanently closed certain non-core offices, reduced certain other office space and reduced our global workforce. Our operations may be further negatively affected by a range of external factors related to the COVID-19 pandemic that are not within our control. For example, many cities, counties, states, and countries may impose or continue to impose requirements and restrictions related to COVID-19 that affect us, including a wide range of restrictions on our employees’, partners’ and customers’ physical movement to limit the spread of COVID-19. We postponed, canceled or shifted certain of our customer, employee or industry events to virtual-only experiences and may decide to do so in the future. If the COVID-19 pandemic has a substantial impact on our employees’, partners’ or customers’ productivity or ability to collaborate, our results of operations and overall financial performance may be harmed.</w:t>
      </w:r>
    </w:p>
    <w:p>
      <w:pPr>
        <w:spacing w:after="0" w:line="12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situation surrounding the COVID-19 pandemic is constantly evolving and both the short-term and long-term effects remain unknown. 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 We are unable to accurately predict the complete impact that COVID-19 will have on our future results of operations, financial condition, liquidity and cash flows due to numerous uncertainties, including the severity and transmission rate of the virus and its variants, the duration and any resurgence of the outbreak, the extent and effectiveness of containment actions, the effectiveness and acceptance of any medical treatment and prevention options, and the impact of these and other factors on us, our employees, customers, partners and vendors, and on worldwide and U.S. economic conditions. If we are not able to respond to and manage these impacts effectively, our business may be harmed to a material extent.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may not be successful in executing our business strategy, which could cause our growth prospects and results of operations to suffer.</w:t>
      </w:r>
    </w:p>
    <w:p>
      <w:pPr>
        <w:spacing w:after="0" w:line="19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7"/>
          <w:szCs w:val="17"/>
          <w:color w:val="auto"/>
        </w:rPr>
        <w:t>We have increasingly focused our business strategy on investing significant development resources to enable substantially all of our software to run on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our modular software offering designed to enable advanced analytics and decisioning use cases. Our business strategy is designed to enable us to increase our business by selling multiple connectable and extensible products to clients, as well as to enable the development of custom client solutions and to allow our clients to more easily expand their usage and the use cases they enable over time. The market may be unreceptive to our general business approach, including being unreceptive to our cloud-based offerings, unreceptive to purchasing multiple products from us, or unreceptive to our customized solutions. As we continue to pursue our business strategy, we may experience volatility in our revenues and operating results caused by various factors, including differences in revenue recognition treatment between our cloud-based offerings and on-premises software licenses, the timing of investments and other expenditures necessary to develop and operate our cloud-based offerings, and the adoption of new sales and delivery methods. If our business strategy is not successful, we may not be able to grow our business, growth may occur more slowly than we anticipate, or our revenues and profits may decline.</w:t>
      </w:r>
    </w:p>
    <w:p>
      <w:pPr>
        <w:spacing w:after="0" w:line="21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16"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7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regulatory approvals for our products and services, including credit score models;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increasing availability of free or relatively inexpensive consumer credit, credit score and other information from public or commercial sources;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5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1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fiscal 2021, 89%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the COVID-19 pandemic, rising inflation and rising interest rates,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the rate of account growth in the U.S. banking industry has been slow and many of our large institutional customers have consolidated in recent years, we have generated most of our revenue growth in the banking industry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0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While we are attempting to expand our sales into international markets, the risks are greater as these markets are also experiencing substantial disruption and we are less well-known in them.</w:t>
      </w:r>
    </w:p>
    <w:p>
      <w:pPr>
        <w:spacing w:after="0" w:line="197" w:lineRule="exact"/>
        <w:rPr>
          <w:sz w:val="20"/>
          <w:szCs w:val="20"/>
          <w:color w:val="auto"/>
        </w:rPr>
      </w:pPr>
    </w:p>
    <w:p>
      <w:pPr>
        <w:jc w:val="both"/>
        <w:ind w:firstLine="162"/>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consumer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Most of our customers are relatively large enterprises, such as banks, credit card issuers, insurers, retailers, telecommunications providers, automotive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public agencies, and organizations in other industries. As a result, many of our customers and potential customers are significantly larger than we are and may have sufficient bargaining power to demand reduced prices and favorable nonstandard terms.</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addition, the U.S. and other key international economies are experiencing and have experienced in the past a downturn in which economic activity was impacted by falling demand for a variety of goods and services, the level and volatility of interest rates, the level of inflation,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 whether arising in connection with the current COVID-19 pandemic and military conflict or otherwise, could result in a decline in the volume of transactions that we execute for our customers.</w:t>
      </w:r>
    </w:p>
    <w:p>
      <w:pPr>
        <w:spacing w:after="0" w:line="205"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We also derive a substantial portion of our revenues and operating income from our contracts with the three major consumer reporting agencies in the U.S., Experian, TransUnion and Equifax, and other parties that distribute our products to certain markets. The loss of or a significant change in a relationship with one of the three consumer reporting agencies with respect to their distribution of our products or with respect to our myFICO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loss of or delay of significant revenues from these sources, could have a material adverse effect on our revenues and results of operations.</w:t>
      </w:r>
    </w:p>
    <w:p>
      <w:pPr>
        <w:spacing w:after="0" w:line="224" w:lineRule="exact"/>
        <w:rPr>
          <w:sz w:val="20"/>
          <w:szCs w:val="20"/>
          <w:color w:val="auto"/>
        </w:rPr>
      </w:pPr>
    </w:p>
    <w:p>
      <w:pPr>
        <w:jc w:val="both"/>
        <w:ind w:right="20" w:firstLine="162"/>
        <w:spacing w:after="0" w:line="229" w:lineRule="auto"/>
        <w:rPr>
          <w:sz w:val="20"/>
          <w:szCs w:val="20"/>
          <w:color w:val="auto"/>
        </w:rPr>
      </w:pPr>
      <w:r>
        <w:rPr>
          <w:rFonts w:ascii="Arial" w:cs="Arial" w:eastAsia="Arial" w:hAnsi="Arial"/>
          <w:sz w:val="18"/>
          <w:szCs w:val="18"/>
          <w:b w:val="1"/>
          <w:bCs w:val="1"/>
          <w:i w:val="1"/>
          <w:iCs w:val="1"/>
          <w:color w:val="auto"/>
        </w:rPr>
        <w:t xml:space="preserve">If use of the </w:t>
      </w:r>
      <w:r>
        <w:rPr>
          <w:rFonts w:ascii="Arial" w:cs="Arial" w:eastAsia="Arial" w:hAnsi="Arial"/>
          <w:sz w:val="18"/>
          <w:szCs w:val="18"/>
          <w:b w:val="1"/>
          <w:bCs w:val="1"/>
          <w:color w:val="auto"/>
        </w:rPr>
        <w:t>FICO</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Score by Fannie Mae and Freddie Mac were to cease or decline, it could have a material adverse effect on our revenues, results of operations and stock price.</w:t>
      </w:r>
    </w:p>
    <w:p>
      <w:pPr>
        <w:spacing w:after="0" w:line="2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A significant portion of our revenues in our Scores segment is attributable to the U.S. mortgage market, which includes, for mortgages eligible for purchase by The Federal National Mortgage Association (“Fannie Mae”) and The Federal Home Loan Mortgage Corporation (“Freddie Mac”), a requirement by those enterprises that U.S. lenders provide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Scores for each mortgage delivered to them. However, their continued use of the FICO Score is currently subject to validation and approval by those enterprises and the Federal Housing Finance Agency. If </w:t>
      </w:r>
      <w:r>
        <w:rPr>
          <w:rFonts w:ascii="Arial" w:cs="Arial" w:eastAsia="Arial" w:hAnsi="Arial"/>
          <w:sz w:val="17"/>
          <w:szCs w:val="17"/>
          <w:color w:val="121212"/>
        </w:rPr>
        <w:t>other credit score models are</w:t>
      </w:r>
      <w:r>
        <w:rPr>
          <w:rFonts w:ascii="Arial" w:cs="Arial" w:eastAsia="Arial" w:hAnsi="Arial"/>
          <w:sz w:val="17"/>
          <w:szCs w:val="17"/>
          <w:color w:val="auto"/>
        </w:rPr>
        <w:t xml:space="preserve"> </w:t>
      </w:r>
      <w:r>
        <w:rPr>
          <w:rFonts w:ascii="Arial" w:cs="Arial" w:eastAsia="Arial" w:hAnsi="Arial"/>
          <w:sz w:val="17"/>
          <w:szCs w:val="17"/>
          <w:color w:val="121212"/>
        </w:rPr>
        <w:t>approved for use with mortgages delivered to Fannie Mae and Freddie Mac, or the FICO Score is not approved for continued use with those mortgages, it could have a material adverse effect on our revenues, results of operations and stock price.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39"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expect that part of the growth that we seek to achieve through our business strategy will be derived from the sale of products and service solutions in industries and markets we do not currently serve. We also expect to grow our business by delivering our solutions through additional distribution channels. If we fail to penetrate these industries and markets to the degree we anticipate utilizing our business strategy, or if we fail to develop additional distribution channels, we may not be able to grow our business, growth may occur more slowly than we anticipate, or our revenues and profits may decline.</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9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growth and the success of our business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20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9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business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3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7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our solutions is intensely competitive and is constantly changing, and we expect competition to persist and intensify. Our regional and global competitors vary in size and in the scope of the products and services they offer, and include:</w:t>
      </w:r>
    </w:p>
    <w:p>
      <w:pPr>
        <w:spacing w:after="0" w:line="12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fraud and compliance solutions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providers of credit reports and credit scores;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software companies supplying predictive analytic modeling, rules, or analytic development tools;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entity resolution and social network analysis solutions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providers of customer engagement and risk management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providers of account/workflow management software;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enterprise resource planning and customer relationship management solutions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providers of automated application processing services;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25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We expect to experience additional competition from other established and emerging companies. This could include customers of ours that develop their own scoring models or other products, and as a result no longer purchase or reduce their purchases from us. We also expect to experience competition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w:t>
      </w:r>
    </w:p>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selling the product. Competition from distributors or other sales and marketing partners could significantly harm sales of our products and services.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25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As part of our management approach, we pursue ongoing reengineering efforts designed to grow revenues through strategic resource allocation and improve profitability through cost reductions. In addition, we have implemented a Remote Work Policy which allows a portion of our workforce to partially or fully work from home. Our reengineering efforts may not be successful over the long term should we fail to reduce expenses at the anticipated level, should we fail to increase revenues to anticipated levels or at all, or should productivity decline or employees’ ability to collaborate fall as a result of the Remote Work Policy. If our reengineering efforts are not successful over the long term, our revenues, results of operations and business may suffer.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strategic divestitures will provide business benefits.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our strategy, we continuously evaluate our portfolio of businesses. We have previously and may in the future make other changes to our portfolio as well, which may be material. Divestitures involve risks, including:</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of our operations or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the separation of operations, services, products and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finding a suitable purchaser;</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disposing of businesses or assets at a price or on terms that are less favorable than we had anticipated, or with purchase price adjustments or the exclusion of assets or liabilities that must be divested, managed or run off separately;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relationships with our customers, suppliers or their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erosion of employee morale or customer confidence;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retention of contingent liabilities related to the divested business.</w:t>
      </w:r>
    </w:p>
    <w:p>
      <w:pPr>
        <w:spacing w:after="0" w:line="17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16"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74"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incur material charges in connection with the impairment of goodwill or other assets that we acquire;</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company that we acquire may have experienced a security incident that it has yet to discover, investigate and remediate which we might not be identify in a timely manner and which could spread more broadly to other parts of our company during the integration effort;</w:t>
      </w: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incur material charges as a result of acquisition costs, costs incurred in combining and/or operating the acquired business, or liabilities assumed in the acquisition that are greater than anticipated;</w:t>
      </w:r>
    </w:p>
    <w:p>
      <w:pPr>
        <w:spacing w:after="0" w:line="8"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w:t>
      </w:r>
    </w:p>
    <w:p>
      <w:pPr>
        <w:spacing w:after="0" w:line="19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will continue to rely upon proprietary technology rights, and if we are unable to protect them, our business could be harmed.</w:t>
      </w:r>
    </w:p>
    <w:p>
      <w:pPr>
        <w:spacing w:after="0" w:line="26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1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Because our business requires the storage, transmission and utilization of sensitive consumer and customer information, we will continue to routinely be the target of attempted cybersecurity and other security threats by outside third parties, including technically sophisticated and well-resourced bad actors attempting to access or steal the data we store. Many of our products are provided by us through the Internet. We may be exposed to additional cybersecurity threats as we migrate our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These threats include phishing attacks on our email systems and other cyber-attacks, including state-sponsored cyber-attacks, industrial espionage, insider threats, denial-of-service attacks, computer viruses, ransomware and other malware, payment fraud or other cyber incidents. As a software and technology vendor, we may incorporate or distribute software or other materials from third parties. Attacks or other threats to our supply chain for such software and materials may render us unable to provide assurances of the origin of such software and materials, and could put us at risk of distributing software or other materials that may cause harm to ourselves, our customers or other third parties.</w:t>
      </w:r>
    </w:p>
    <w:p>
      <w:pPr>
        <w:spacing w:after="0" w:line="19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20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Malicious third parties may also conduct attacks designed to temporarily deny customers, distributors and vendors access to our systems and services. Cybersecurity breaches experienced by our vendors, by our distributors, by our customers, by companies that we acquire, or by us may trigger governmental notice requirements and public disclosures, which may lead to widespread negative publicity. Any such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 including remote working arrangements. Further, the military conflict between Russia and Ukraine could result in cyberattacks that could directly or indirectly impact us, including retaliatory acts of cyberwarfare from Russia against U.S. companies, or the potential proliferation of malware from the conflict into systems unrelated to the conflict.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19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ability to provide reliable service in our businesses depends on the efficient and uninterrupted operation of our data centers, information technology and communication systems, and increasingly those of our external service providers, including Amazon Web Services. As we continue to grow our SaaS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fires, floods, earthquakes, pandemics (including the COVID-19 pandemic), war, terrorist acts or civil unrest, power losses, equipment failures, computer viruses, denial-of-service or other cybersecurity attacks, employee or insider malfeasance, human error and other events beyond our control. Although we have taken steps to prevent system failures and we have installed back-up systems and procedures to prevent or reduce disruption, such steps may not be sufficient to prevent an interruption of services and our disaster recovery planning may not account for all eventualities.</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business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competition or regulatory concerns, prohibitions or a lack of permission from their customers or partners, we could lose access to required data and our products, and the development of new products, might become less effective. We could also become subject to increased legislative, regulatory or judicial restrictions or mandates on the collection, disclosure, transfer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Operational Risks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in the past, and currently as a result of the COVID-19 pandemic, has produced substantial stress, volatility, illiquidity and disruption of global credit and other financial markets. The COVID-19 pandemic has adversely affected the global economy, leading to reduced consumer spending and lending activities and disruptions and volatility in the global capital markets. The pandemic has also caused shutdowns to businesses and cities worldwide and has disrupted supply chains, business operations, travel, and consumer confidence. In addition, the consequences of the conflict between Russia and Ukraine, including related sanctions and countermeasures, are difficult to predict, and could adversely impact geopolitical and macroeconomic conditions.</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such as that between Russia and Ukraine,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20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subject to risks and uncertainties associated with the United Kingdom’s withdrawal from the European Union (“E.U.”), commonly referred to as “Brexit,” including implications for the free flow of labor and goods in the United Kingdom (“U.K.”) and the E.U. and other economic, financial, legal, tax and trade implications. The post-Brexit relationship between the U.K. and the E.U. continues to evolve, which could cause disruptions to and create uncertainty surrounding our business in the U.K., including affecting our relationships with our existing and future customers, suppliers and employees, and could contribute to long-term instability in financial, stock and currency exchange markets, any of which could have an adverse effect on our business, financial results and operations. Further, any continuing legal or economic disruptions resulting from Brexit may negatively impact our clients with operations in the U.K., which may cause them to reduce their spending budget on our products and services.</w:t>
      </w:r>
    </w:p>
    <w:p>
      <w:pPr>
        <w:spacing w:after="0" w:line="204"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 operations outside the U.S., we are subject to additional risks that may harm our business, financial condition or results of operations.</w:t>
      </w:r>
    </w:p>
    <w:p>
      <w:pPr>
        <w:spacing w:after="0" w:line="275"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A large portion of our revenues is derived from international sales. During fiscal 2021, 28%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0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data privacy and consumer protection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enforcing contracts and collecting accounts receivable;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tax rules or changes in tariffs and other trade barriers;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presence and acceptance of varying levels of business corruption in international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terrorism, war, natural disasters and pandemics, including the COVID-19 pandemic;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There can be no assurance that we will be able to successfully address each of these challenges.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56" w:lineRule="exact"/>
        <w:rPr>
          <w:sz w:val="20"/>
          <w:szCs w:val="20"/>
          <w:color w:val="auto"/>
        </w:rPr>
      </w:pPr>
    </w:p>
    <w:p>
      <w:pPr>
        <w:jc w:val="both"/>
        <w:ind w:firstLine="162"/>
        <w:spacing w:after="0" w:line="327"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6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117" w:lineRule="exact"/>
        <w:rPr>
          <w:sz w:val="20"/>
          <w:szCs w:val="20"/>
          <w:color w:val="auto"/>
        </w:rPr>
      </w:pPr>
    </w:p>
    <w:p>
      <w:pPr>
        <w:jc w:val="both"/>
        <w:ind w:left="660" w:hanging="328"/>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and identity theft, file freezing, security breach notification and similar state privacy laws);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86"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212529"/>
        </w:rPr>
        <w:t xml:space="preserve">Laws and regulations </w:t>
      </w:r>
      <w:r>
        <w:rPr>
          <w:rFonts w:ascii="Arial" w:cs="Arial" w:eastAsia="Arial" w:hAnsi="Arial"/>
          <w:sz w:val="17"/>
          <w:szCs w:val="17"/>
          <w:color w:val="000000"/>
        </w:rPr>
        <w:t>relating to the privacy, security and transmission of individually identifiable health information, including t</w:t>
      </w:r>
      <w:r>
        <w:rPr>
          <w:rFonts w:ascii="Arial" w:cs="Arial" w:eastAsia="Arial" w:hAnsi="Arial"/>
          <w:sz w:val="17"/>
          <w:szCs w:val="17"/>
          <w:color w:val="212529"/>
        </w:rPr>
        <w:t xml:space="preserve">he Health Insurance Portability and Accountability Act of </w:t>
      </w:r>
      <w:r>
        <w:rPr>
          <w:rFonts w:ascii="Arial" w:cs="Arial" w:eastAsia="Arial" w:hAnsi="Arial"/>
          <w:sz w:val="17"/>
          <w:szCs w:val="17"/>
          <w:color w:val="000000"/>
        </w:rPr>
        <w:t>1996, as amended by the American Recovery and Reinvestment Act of 2009 (“HIPAA”) and the</w:t>
      </w:r>
      <w:r>
        <w:rPr>
          <w:rFonts w:ascii="Arial" w:cs="Arial" w:eastAsia="Arial" w:hAnsi="Arial"/>
          <w:sz w:val="17"/>
          <w:szCs w:val="17"/>
          <w:color w:val="212529"/>
        </w:rPr>
        <w:t xml:space="preserve"> </w:t>
      </w:r>
      <w:r>
        <w:rPr>
          <w:rFonts w:ascii="Arial" w:cs="Arial" w:eastAsia="Arial" w:hAnsi="Arial"/>
          <w:sz w:val="17"/>
          <w:szCs w:val="17"/>
          <w:color w:val="000000"/>
        </w:rPr>
        <w:t>Health Information Technology for Economic and Clinical Health Act (“HITECH”) and their respective implementing regulations;</w:t>
      </w:r>
    </w:p>
    <w:p>
      <w:pPr>
        <w:spacing w:after="0" w:line="3" w:lineRule="exact"/>
        <w:rPr>
          <w:rFonts w:ascii="Arial" w:cs="Arial" w:eastAsia="Arial" w:hAnsi="Arial"/>
          <w:sz w:val="17"/>
          <w:szCs w:val="17"/>
          <w:color w:val="auto"/>
        </w:rPr>
      </w:pPr>
    </w:p>
    <w:p>
      <w:pPr>
        <w:ind w:left="660" w:right="20" w:hanging="328"/>
        <w:spacing w:after="0" w:line="316"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w:t>
      </w:r>
    </w:p>
    <w:p>
      <w:pPr>
        <w:spacing w:after="0" w:line="1" w:lineRule="exact"/>
        <w:rPr>
          <w:rFonts w:ascii="Arial" w:cs="Arial" w:eastAsia="Arial" w:hAnsi="Arial"/>
          <w:sz w:val="16"/>
          <w:szCs w:val="16"/>
          <w:color w:val="auto"/>
        </w:rPr>
      </w:pPr>
    </w:p>
    <w:p>
      <w:pPr>
        <w:jc w:val="both"/>
        <w:ind w:left="660" w:right="2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 and similar state laws);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requirements that may apply when we provide services directly or indirectly to U.S. federal, state and local government agencies (e.g., the Privacy Act of 1974, the Internal Revenue Service’s Publication 4812 and the Federal Acquisition Regulation);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Cybersecurity Act of 2015; the U.S. Department of Commerce’s National Institute of Standards and Technology’s Cybersecurity Framework; the Clarifying Lawful Overseas Use of Data Act; and identity theft, file freezing, and similar state privacy laws;</w:t>
      </w:r>
    </w:p>
    <w:p>
      <w:pPr>
        <w:spacing w:after="0" w:line="8" w:lineRule="exact"/>
        <w:rPr>
          <w:rFonts w:ascii="Arial" w:cs="Arial" w:eastAsia="Arial" w:hAnsi="Arial"/>
          <w:sz w:val="18"/>
          <w:szCs w:val="18"/>
          <w:color w:val="auto"/>
        </w:rPr>
      </w:pPr>
    </w:p>
    <w:p>
      <w:pPr>
        <w:ind w:left="660" w:hanging="328"/>
        <w:spacing w:after="0" w:line="223" w:lineRule="exact"/>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spacing w:after="0" w:line="4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24" w:lineRule="exact"/>
        <w:rPr>
          <w:rFonts w:ascii="Arial" w:cs="Arial" w:eastAsia="Arial" w:hAnsi="Arial"/>
          <w:sz w:val="18"/>
          <w:szCs w:val="18"/>
          <w:color w:val="auto"/>
        </w:rPr>
      </w:pPr>
    </w:p>
    <w:p>
      <w:pPr>
        <w:jc w:val="both"/>
        <w:ind w:left="660" w:hanging="328"/>
        <w:spacing w:after="0" w:line="316"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Laws and regulations applicable to our customer communication clients and their use of our products and services (e.g., the Telemarketing Sales Rule, Telephone Consumer Protection Act, the CAN-SPAM Act, the Fair Debt Collection Practices Act, and regulations promulgated thereunder);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6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regulations restricting transactions with sanctioned parties and regarding export controls as they apply to FICO products delivered in non-U.S. countries (e.g., Office of Foreign Asset Control sanctions and Export Administration Regulations);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U.K and E.U. GDPR impose, among other things, strict obligations and restrictions on the ability to collect, analyze and transfer U.K. and E.U. personal data, a requirement for prompt notice of data breaches in certain circumstances, and possible substantial fines for any violations (including possible fines for certain violations of up to the greater of 20 million Euros or 4% of total worldwide annual revenue under the E.U. GDPR and up to the greater of 17.5 million Pounds or 4% of annual global turnover under the U.K. GDPR). A decision in July 2020 by the Court of Justice of the European Union (</w:t>
      </w:r>
      <w:r>
        <w:rPr>
          <w:rFonts w:ascii="Arial" w:cs="Arial" w:eastAsia="Arial" w:hAnsi="Arial"/>
          <w:sz w:val="16"/>
          <w:szCs w:val="16"/>
          <w:i w:val="1"/>
          <w:iCs w:val="1"/>
          <w:color w:val="auto"/>
        </w:rPr>
        <w:t>i.e.</w:t>
      </w:r>
      <w:r>
        <w:rPr>
          <w:rFonts w:ascii="Arial" w:cs="Arial" w:eastAsia="Arial" w:hAnsi="Arial"/>
          <w:sz w:val="16"/>
          <w:szCs w:val="16"/>
          <w:color w:val="auto"/>
        </w:rPr>
        <w:t>, Schrems II), called into question certain data transfer mechanisms between the E.U. and the U.S. In June 2021, the European Commission issued new standard contractual clauses (“SCCs”) governing cross-border data transfers and data exchanges among controllers and processors, which reflect more recent data protection laws, such as the GDPR, and account for the analysis in the Schrems II decision. The European Data Protection Board (the pan-E.U. data protection regulator) has issued authoritative guidance on the requirements for cross-border transfers which, in accordance with Schrems II, include carrying out a data transfer impact assessment in respect of all cross-border data flows to evaluate whether adequate protection will be afforded to the data transferred in the destination territory. The U.K. Information Commissioner’s Office has also issued its own set of SCCs and authoritative guidance to account for the decision in Schrems II. Our transition to the new SCCs, which may involve interpretive issues and may have an adverse impact on cross-border transfers of personal data, may subject us to additional scrutiny from E.U. or U.K. regulators or may increase our costs of compliance.</w:t>
      </w:r>
    </w:p>
    <w:p>
      <w:pPr>
        <w:spacing w:after="0" w:line="1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Brazil, India, South Africa, Japan, China, Israel, Canada, and several other countries have introduced and, in some cases, enacted, similar privacy and data security laws.</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starting January 1, 2023, the California Privacy Rights Act (the “CPRA”) will revise and significantly expand the scope of the CCPA. The CPRA also creates a new California data protection agency authorized to implement and enforce the CCPA and the CPRA, which could result in increased privacy and information security enforcement. Other U.S. states have considered and/or enacted similar privacy laws.</w:t>
      </w:r>
    </w:p>
    <w:p>
      <w:pPr>
        <w:spacing w:after="0" w:line="20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20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3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97" w:lineRule="exact"/>
        <w:rPr>
          <w:sz w:val="20"/>
          <w:szCs w:val="20"/>
          <w:color w:val="auto"/>
        </w:rPr>
      </w:pPr>
    </w:p>
    <w:p>
      <w:pPr>
        <w:jc w:val="both"/>
        <w:ind w:firstLine="243"/>
        <w:spacing w:after="0" w:line="299" w:lineRule="auto"/>
        <w:rPr>
          <w:sz w:val="20"/>
          <w:szCs w:val="20"/>
          <w:color w:val="auto"/>
        </w:rPr>
      </w:pPr>
      <w:r>
        <w:rPr>
          <w:rFonts w:ascii="Arial" w:cs="Arial" w:eastAsia="Arial" w:hAnsi="Arial"/>
          <w:sz w:val="16"/>
          <w:szCs w:val="16"/>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For example, the sales cycle of our products can extend to greater than a year and as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result, revenues and operating results may vary significantly from period to period.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22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financial results and key metrics fluctuate within each quarter and from quarter to quarter, making our future revenue, annual recurring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revenue (“ARR”), and financial results difficult to predict, which may cause us to miss analyst expectations and may cause the price of our common stock to decline.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quarterly financial results and key metrics have fluctuated in the past and will continue to do so in the future, and therefore period-to-period comparisons should not be relied upon as an indication of future performance. These fluctuations could cause our stock price to change significantly or experience declines. We also may provide investors with quarterly and annual financial forward-looking guidance that could prove to be inaccurate as a result of these fluctuations and other factors. In addition to the other risks described in these risk factors, some of the factors that could cause our financial results and key metrics to fluctuate include:</w:t>
      </w:r>
    </w:p>
    <w:p>
      <w:pPr>
        <w:spacing w:after="0" w:line="13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demand and competitive and other conditions in the consumer credit, banking and insurance industries;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and volatility of interest rates and the level of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fluctuations in domestic and international economic conditions, such as those which have occurred as a result of the COVID-19 pandemic;</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litigation or regulatory matters;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52"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Our operating expenses are based in part on our expectations for future revenue and many are fixed and cannot be quickly adjusted as revenue changes. Accordingly, any revenue shortfall below expectations has had, and in the future could have, an immediate and significant adverse effect on our operating results and profitability. Greater than anticipated expenses or a failure to maintain rigorous cost controls would also negatively affect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stock price has been subject to fluctuations, and will likely continue to be subject to fluctuations, or may decline, regardless of our operating performance.</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stock price has been subject to fluctuations due to a number of factors, including variations in our revenues and operating results.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9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(including any changes that result from the comprehensive corporate tax reform proposed by the current administration),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Price Paid</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 xml:space="preserve">Purchased </w:t>
            </w:r>
            <w:r>
              <w:rPr>
                <w:rFonts w:ascii="Arial" w:cs="Arial" w:eastAsia="Arial" w:hAnsi="Arial"/>
                <w:sz w:val="17"/>
                <w:szCs w:val="17"/>
                <w:b w:val="1"/>
                <w:bCs w:val="1"/>
                <w:color w:val="auto"/>
                <w:w w:val="8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per Share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xml:space="preserve">or Programs </w:t>
            </w:r>
            <w:r>
              <w:rPr>
                <w:rFonts w:ascii="Arial" w:cs="Arial" w:eastAsia="Arial" w:hAnsi="Arial"/>
                <w:sz w:val="17"/>
                <w:szCs w:val="17"/>
                <w:b w:val="1"/>
                <w:bCs w:val="1"/>
                <w:color w:val="auto"/>
                <w:w w:val="89"/>
                <w:vertAlign w:val="superscript"/>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7"/>
                <w:szCs w:val="17"/>
                <w:b w:val="1"/>
                <w:bCs w:val="1"/>
                <w:color w:val="auto"/>
                <w:w w:val="88"/>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2022 through April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368,768,515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May 1, 2022 through May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456,755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371.82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456,700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198,960,256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2022 through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204,493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118,768,694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737,818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384.39</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118,768,694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line="258"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2,906 shares delivered in satisfaction of the tax withholding obligations resulting from the vesting of restricted stock units held by employees during the quarter ended June 30, 2022.</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January 2022, our Board of Directors approved a stock repurchase program following the completion of our previous program. This program is open-ended and authorizes repurchases of shares of our common stock up to an aggregate cost of $500.0 million in the open market or in negotiated transactions.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60" w:type="dxa"/>
            <w:vAlign w:val="bottom"/>
            <w:gridSpan w:val="6"/>
            <w:vMerge w:val="restart"/>
          </w:tcPr>
          <w:p>
            <w:pPr>
              <w:ind w:left="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restart"/>
          </w:tcPr>
          <w:p>
            <w:pPr>
              <w:spacing w:after="0"/>
              <w:rPr>
                <w:sz w:val="18"/>
                <w:szCs w:val="18"/>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spacing w:after="0"/>
              <w:rPr>
                <w:sz w:val="18"/>
                <w:szCs w:val="18"/>
                <w:color w:val="auto"/>
              </w:rPr>
            </w:pPr>
          </w:p>
        </w:tc>
        <w:tc>
          <w:tcPr>
            <w:tcW w:w="9680" w:type="dxa"/>
            <w:vAlign w:val="bottom"/>
            <w:gridSpan w:val="12"/>
          </w:tcPr>
          <w:p>
            <w:pPr>
              <w:spacing w:after="0"/>
              <w:rPr>
                <w:rFonts w:ascii="Arial" w:cs="Arial" w:eastAsia="Arial" w:hAnsi="Arial"/>
                <w:sz w:val="18"/>
                <w:szCs w:val="18"/>
                <w:color w:val="0000FF"/>
              </w:rPr>
            </w:pPr>
            <w:hyperlink r:id="rId79">
              <w:r>
                <w:rPr>
                  <w:rFonts w:ascii="Arial" w:cs="Arial" w:eastAsia="Arial" w:hAnsi="Arial"/>
                  <w:sz w:val="18"/>
                  <w:szCs w:val="18"/>
                  <w:color w:val="0000FF"/>
                </w:rPr>
                <w:t>Composite Restated Certificate of Incorporation of Fair Isaac Corporation. (Incorporated by reference to Exhibit 3.2 to the</w:t>
              </w:r>
            </w:hyperlink>
          </w:p>
        </w:tc>
        <w:tc>
          <w:tcPr>
            <w:tcW w:w="0" w:type="dxa"/>
            <w:vAlign w:val="bottom"/>
          </w:tcPr>
          <w:p>
            <w:pPr>
              <w:spacing w:after="0"/>
              <w:rPr>
                <w:sz w:val="1"/>
                <w:szCs w:val="1"/>
                <w:color w:val="auto"/>
              </w:rPr>
            </w:pPr>
          </w:p>
        </w:tc>
      </w:tr>
      <w:tr>
        <w:trPr>
          <w:trHeight w:val="102"/>
        </w:trPr>
        <w:tc>
          <w:tcPr>
            <w:tcW w:w="4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780" w:type="dxa"/>
            <w:vAlign w:val="bottom"/>
            <w:tcBorders>
              <w:top w:val="single" w:sz="8" w:color="0000FF"/>
            </w:tcBorders>
            <w:gridSpan w:val="8"/>
            <w:vMerge w:val="restart"/>
          </w:tcPr>
          <w:p>
            <w:pPr>
              <w:spacing w:after="0" w:line="15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Company’s Form 10-Q for the quarter ended December 31, 2009).</w:t>
              </w:r>
            </w:hyperlink>
          </w:p>
        </w:tc>
        <w:tc>
          <w:tcPr>
            <w:tcW w:w="4020" w:type="dxa"/>
            <w:vAlign w:val="bottom"/>
            <w:tcBorders>
              <w:top w:val="single" w:sz="8" w:color="0000FF"/>
            </w:tcBorders>
            <w:gridSpan w:val="2"/>
            <w:vMerge w:val="restart"/>
          </w:tcPr>
          <w:p>
            <w:pPr>
              <w:spacing w:after="0"/>
              <w:rPr>
                <w:sz w:val="8"/>
                <w:szCs w:val="8"/>
                <w:color w:val="auto"/>
              </w:rPr>
            </w:pPr>
          </w:p>
        </w:tc>
        <w:tc>
          <w:tcPr>
            <w:tcW w:w="88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780" w:type="dxa"/>
            <w:vAlign w:val="bottom"/>
            <w:tcBorders>
              <w:bottom w:val="single" w:sz="8" w:color="0000FF"/>
            </w:tcBorders>
            <w:gridSpan w:val="8"/>
            <w:vMerge w:val="continue"/>
          </w:tcPr>
          <w:p>
            <w:pPr>
              <w:spacing w:after="0"/>
              <w:rPr>
                <w:sz w:val="4"/>
                <w:szCs w:val="4"/>
                <w:color w:val="auto"/>
              </w:rPr>
            </w:pPr>
          </w:p>
        </w:tc>
        <w:tc>
          <w:tcPr>
            <w:tcW w:w="40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80" w:type="dxa"/>
            <w:vAlign w:val="bottom"/>
            <w:gridSpan w:val="2"/>
            <w:vMerge w:val="restart"/>
          </w:tcPr>
          <w:p>
            <w:pPr>
              <w:jc w:val="center"/>
              <w:ind w:left="350"/>
              <w:spacing w:after="0"/>
              <w:rPr>
                <w:sz w:val="20"/>
                <w:szCs w:val="20"/>
                <w:color w:val="auto"/>
              </w:rPr>
            </w:pPr>
            <w:r>
              <w:rPr>
                <w:rFonts w:ascii="Arial" w:cs="Arial" w:eastAsia="Arial" w:hAnsi="Arial"/>
                <w:sz w:val="18"/>
                <w:szCs w:val="18"/>
                <w:color w:val="auto"/>
                <w:w w:val="87"/>
              </w:rPr>
              <w:t>3.2</w:t>
            </w:r>
          </w:p>
        </w:tc>
        <w:tc>
          <w:tcPr>
            <w:tcW w:w="580" w:type="dxa"/>
            <w:vAlign w:val="bottom"/>
          </w:tcPr>
          <w:p>
            <w:pPr>
              <w:spacing w:after="0"/>
              <w:rPr>
                <w:sz w:val="22"/>
                <w:szCs w:val="22"/>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By-laws of Fair Isaac Corporation. (Incorporated by reference to Exhibit 3.1 to the Company’s Form 10-Q for the quarter ended</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9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gridSpan w:val="2"/>
            <w:vMerge w:val="restart"/>
          </w:tcPr>
          <w:p>
            <w:pPr>
              <w:spacing w:after="0" w:line="156" w:lineRule="exact"/>
              <w:rPr>
                <w:rFonts w:ascii="Arial" w:cs="Arial" w:eastAsia="Arial" w:hAnsi="Arial"/>
                <w:sz w:val="18"/>
                <w:szCs w:val="18"/>
                <w:color w:val="0000FF"/>
                <w:w w:val="88"/>
              </w:rPr>
            </w:pPr>
            <w:hyperlink r:id="rId80">
              <w:r>
                <w:rPr>
                  <w:rFonts w:ascii="Arial" w:cs="Arial" w:eastAsia="Arial" w:hAnsi="Arial"/>
                  <w:sz w:val="18"/>
                  <w:szCs w:val="18"/>
                  <w:color w:val="0000FF"/>
                  <w:w w:val="88"/>
                </w:rPr>
                <w:t>December 31, 2009).</w:t>
              </w:r>
            </w:hyperlink>
          </w:p>
        </w:tc>
        <w:tc>
          <w:tcPr>
            <w:tcW w:w="8160" w:type="dxa"/>
            <w:vAlign w:val="bottom"/>
            <w:gridSpan w:val="10"/>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20" w:type="dxa"/>
            <w:vAlign w:val="bottom"/>
            <w:tcBorders>
              <w:bottom w:val="single" w:sz="8" w:color="0000FF"/>
            </w:tcBorders>
            <w:gridSpan w:val="2"/>
            <w:vMerge w:val="continue"/>
          </w:tcPr>
          <w:p>
            <w:pPr>
              <w:spacing w:after="0"/>
              <w:rPr>
                <w:sz w:val="4"/>
                <w:szCs w:val="4"/>
                <w:color w:val="auto"/>
              </w:rPr>
            </w:pPr>
          </w:p>
        </w:tc>
        <w:tc>
          <w:tcPr>
            <w:tcW w:w="816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31.1 *</w:t>
            </w:r>
          </w:p>
        </w:tc>
        <w:tc>
          <w:tcPr>
            <w:tcW w:w="580" w:type="dxa"/>
            <w:vAlign w:val="bottom"/>
          </w:tcPr>
          <w:p>
            <w:pPr>
              <w:spacing w:after="0"/>
              <w:rPr>
                <w:sz w:val="22"/>
                <w:szCs w:val="22"/>
                <w:color w:val="auto"/>
              </w:rPr>
            </w:pPr>
          </w:p>
        </w:tc>
        <w:tc>
          <w:tcPr>
            <w:tcW w:w="35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Rule 13a-14(a)/15d-14(a) Certifications of CEO.</w:t>
              </w:r>
            </w:hyperlink>
          </w:p>
        </w:tc>
        <w:tc>
          <w:tcPr>
            <w:tcW w:w="61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31.2 *</w:t>
            </w:r>
          </w:p>
        </w:tc>
        <w:tc>
          <w:tcPr>
            <w:tcW w:w="580" w:type="dxa"/>
            <w:vAlign w:val="bottom"/>
          </w:tcPr>
          <w:p>
            <w:pPr>
              <w:spacing w:after="0"/>
              <w:rPr>
                <w:sz w:val="22"/>
                <w:szCs w:val="22"/>
                <w:color w:val="auto"/>
              </w:rPr>
            </w:pPr>
          </w:p>
        </w:tc>
        <w:tc>
          <w:tcPr>
            <w:tcW w:w="35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Rule 13a-14(a)/15d-14(a) Certifications of CFO.</w:t>
              </w:r>
            </w:hyperlink>
          </w:p>
        </w:tc>
        <w:tc>
          <w:tcPr>
            <w:tcW w:w="61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32.1 *</w:t>
            </w:r>
          </w:p>
        </w:tc>
        <w:tc>
          <w:tcPr>
            <w:tcW w:w="580" w:type="dxa"/>
            <w:vAlign w:val="bottom"/>
          </w:tcPr>
          <w:p>
            <w:pPr>
              <w:spacing w:after="0"/>
              <w:rPr>
                <w:sz w:val="22"/>
                <w:szCs w:val="22"/>
                <w:color w:val="auto"/>
              </w:rPr>
            </w:pPr>
          </w:p>
        </w:tc>
        <w:tc>
          <w:tcPr>
            <w:tcW w:w="25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Section 1350 Certification of CEO.</w:t>
              </w:r>
            </w:hyperlink>
          </w:p>
        </w:tc>
        <w:tc>
          <w:tcPr>
            <w:tcW w:w="71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32.2 *</w:t>
            </w:r>
          </w:p>
        </w:tc>
        <w:tc>
          <w:tcPr>
            <w:tcW w:w="580" w:type="dxa"/>
            <w:vAlign w:val="bottom"/>
          </w:tcPr>
          <w:p>
            <w:pPr>
              <w:spacing w:after="0"/>
              <w:rPr>
                <w:sz w:val="22"/>
                <w:szCs w:val="22"/>
                <w:color w:val="auto"/>
              </w:rPr>
            </w:pPr>
          </w:p>
        </w:tc>
        <w:tc>
          <w:tcPr>
            <w:tcW w:w="9680" w:type="dxa"/>
            <w:vAlign w:val="bottom"/>
            <w:gridSpan w:val="12"/>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Section 1350 Certification of CFO.</w:t>
              </w:r>
            </w:hyperlink>
          </w:p>
        </w:tc>
        <w:tc>
          <w:tcPr>
            <w:tcW w:w="0" w:type="dxa"/>
            <w:vAlign w:val="bottom"/>
          </w:tcPr>
          <w:p>
            <w:pPr>
              <w:spacing w:after="0"/>
              <w:rPr>
                <w:sz w:val="1"/>
                <w:szCs w:val="1"/>
                <w:color w:val="auto"/>
              </w:rPr>
            </w:pPr>
          </w:p>
        </w:tc>
      </w:tr>
      <w:tr>
        <w:trPr>
          <w:trHeight w:val="304"/>
        </w:trPr>
        <w:tc>
          <w:tcPr>
            <w:tcW w:w="15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101.INS *</w:t>
            </w:r>
          </w:p>
        </w:tc>
        <w:tc>
          <w:tcPr>
            <w:tcW w:w="25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6"/>
              </w:rPr>
              <w:t>Inline XBRL Instance Document.</w:t>
            </w:r>
          </w:p>
        </w:tc>
        <w:tc>
          <w:tcPr>
            <w:tcW w:w="71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101.SCH *</w:t>
            </w:r>
          </w:p>
        </w:tc>
        <w:tc>
          <w:tcPr>
            <w:tcW w:w="96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101.CAL *</w:t>
            </w:r>
          </w:p>
        </w:tc>
        <w:tc>
          <w:tcPr>
            <w:tcW w:w="96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101.DEF *</w:t>
            </w:r>
          </w:p>
        </w:tc>
        <w:tc>
          <w:tcPr>
            <w:tcW w:w="96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101.LAB *</w:t>
            </w:r>
          </w:p>
        </w:tc>
        <w:tc>
          <w:tcPr>
            <w:tcW w:w="96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101.PRE *</w:t>
            </w:r>
          </w:p>
        </w:tc>
        <w:tc>
          <w:tcPr>
            <w:tcW w:w="96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980" w:type="dxa"/>
            <w:vAlign w:val="bottom"/>
            <w:gridSpan w:val="2"/>
          </w:tcPr>
          <w:p>
            <w:pPr>
              <w:jc w:val="center"/>
              <w:ind w:left="370"/>
              <w:spacing w:after="0"/>
              <w:rPr>
                <w:sz w:val="20"/>
                <w:szCs w:val="20"/>
                <w:color w:val="auto"/>
              </w:rPr>
            </w:pPr>
            <w:r>
              <w:rPr>
                <w:rFonts w:ascii="Arial" w:cs="Arial" w:eastAsia="Arial" w:hAnsi="Arial"/>
                <w:sz w:val="18"/>
                <w:szCs w:val="18"/>
                <w:color w:val="auto"/>
                <w:w w:val="95"/>
              </w:rPr>
              <w:t>104 *</w:t>
            </w:r>
          </w:p>
        </w:tc>
        <w:tc>
          <w:tcPr>
            <w:tcW w:w="580" w:type="dxa"/>
            <w:vAlign w:val="bottom"/>
          </w:tcPr>
          <w:p>
            <w:pPr>
              <w:spacing w:after="0"/>
              <w:rPr>
                <w:sz w:val="24"/>
                <w:szCs w:val="24"/>
                <w:color w:val="auto"/>
              </w:rPr>
            </w:pPr>
          </w:p>
        </w:tc>
        <w:tc>
          <w:tcPr>
            <w:tcW w:w="968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29"/>
        </w:trPr>
        <w:tc>
          <w:tcPr>
            <w:tcW w:w="1560" w:type="dxa"/>
            <w:vAlign w:val="bottom"/>
            <w:tcBorders>
              <w:bottom w:val="single" w:sz="8" w:color="auto"/>
            </w:tcBorders>
            <w:gridSpan w:val="3"/>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560" w:type="dxa"/>
            <w:vAlign w:val="bottom"/>
            <w:gridSpan w:val="3"/>
          </w:tcPr>
          <w:p>
            <w:pPr>
              <w:jc w:val="center"/>
              <w:ind w:right="160"/>
              <w:spacing w:after="0"/>
              <w:rPr>
                <w:sz w:val="20"/>
                <w:szCs w:val="20"/>
                <w:color w:val="auto"/>
              </w:rPr>
            </w:pPr>
            <w:r>
              <w:rPr>
                <w:rFonts w:ascii="Arial" w:cs="Arial" w:eastAsia="Arial" w:hAnsi="Arial"/>
                <w:sz w:val="18"/>
                <w:szCs w:val="18"/>
                <w:color w:val="auto"/>
              </w:rPr>
              <w:t>*  Filed herewith.</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60" w:type="dxa"/>
            <w:vAlign w:val="bottom"/>
            <w:gridSpan w:val="7"/>
          </w:tcPr>
          <w:p>
            <w:pPr>
              <w:ind w:left="398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2022</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I. MCLAUGHLIN</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Michael I. McLaughlin</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bl>
    <w:p>
      <w:pPr>
        <w:spacing w:after="0" w:line="269"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2022</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176"/>
        </w:trPr>
        <w:tc>
          <w:tcPr>
            <w:tcW w:w="520" w:type="dxa"/>
            <w:vAlign w:val="bottom"/>
          </w:tcPr>
          <w:p>
            <w:pPr>
              <w:spacing w:after="0"/>
              <w:rPr>
                <w:sz w:val="15"/>
                <w:szCs w:val="15"/>
                <w:color w:val="auto"/>
              </w:rPr>
            </w:pPr>
          </w:p>
        </w:tc>
        <w:tc>
          <w:tcPr>
            <w:tcW w:w="538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5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I. McLaughlin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   August 3, 2022</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LANSING</w:t>
            </w:r>
          </w:p>
        </w:tc>
      </w:tr>
      <w:tr>
        <w:trPr>
          <w:trHeight w:val="222"/>
        </w:trPr>
        <w:tc>
          <w:tcPr>
            <w:tcW w:w="502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William J. Lansing</w:t>
            </w:r>
          </w:p>
        </w:tc>
      </w:tr>
      <w:tr>
        <w:trPr>
          <w:trHeight w:val="230"/>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3, 2022</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I. MCLAUGHLIN</w:t>
            </w:r>
          </w:p>
        </w:tc>
      </w:tr>
      <w:tr>
        <w:trPr>
          <w:trHeight w:val="222"/>
        </w:trPr>
        <w:tc>
          <w:tcPr>
            <w:tcW w:w="49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Michael I. McLaughlin</w:t>
            </w:r>
          </w:p>
        </w:tc>
      </w:tr>
      <w:tr>
        <w:trPr>
          <w:trHeight w:val="230"/>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8"/>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emdash "/>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emdash "/>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9" Type="http://schemas.openxmlformats.org/officeDocument/2006/relationships/hyperlink" Target="http://www.sec.gov/Archives/edgar/data/814547/000095012310009970/c56194exv3w2.htm" TargetMode="External"/><Relationship Id="rId80" Type="http://schemas.openxmlformats.org/officeDocument/2006/relationships/hyperlink" Target="http://www.sec.gov/Archives/edgar/data/814547/000095012310009970/c56194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2022-08-03T15:37:13Z</dcterms:created>
  <dcterms:modified xsi:type="dcterms:W3CDTF">2022-08-03T15:37:13Z</dcterms:modified>
</cp:coreProperties>
</file>