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6220d8k.htm"/>
      <w:bookmarkStart w:id="1" w:name="ksd5622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March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FAIR ISAAC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001-11689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94-1499887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 West Mendenhall, Suite 105</w:t>
            </w:r>
          </w:p>
          <w:p>
            <w:pPr>
              <w:pStyle w:val="TableContents"/>
              <w:bidi w:val="0"/>
              <w:spacing w:before="0" w:after="20"/>
              <w:jc w:val="center"/>
              <w:rPr>
                <w:rFonts w:ascii="Times New Roman" w:hAnsi="Times New Roman"/>
                <w:b/>
                <w:sz w:val="20"/>
              </w:rPr>
            </w:pPr>
            <w:r>
              <w:rPr>
                <w:rFonts w:ascii="Times New Roman" w:hAnsi="Times New Roman"/>
                <w:b/>
                <w:sz w:val="20"/>
              </w:rPr>
              <w:t>Bozeman, Montana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59715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406-982-7276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FICO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Offering of Senior Notes </w:t>
      </w:r>
    </w:p>
    <w:p>
      <w:pPr>
        <w:pStyle w:val="TextBody"/>
        <w:bidi w:val="0"/>
        <w:spacing w:before="120" w:after="0"/>
        <w:jc w:val="left"/>
        <w:rPr>
          <w:rFonts w:ascii="Times New Roman" w:hAnsi="Times New Roman"/>
          <w:sz w:val="20"/>
        </w:rPr>
      </w:pPr>
      <w:r>
        <w:rPr>
          <w:rFonts w:ascii="Times New Roman" w:hAnsi="Times New Roman"/>
          <w:sz w:val="20"/>
        </w:rPr>
        <w:t xml:space="preserve">On March 20, 2026, Fair Isaac Corporation (the “Company”) closed its previously announced private offering to eligible purchasers of $1.0 billion aggregate principal amount of 6.250% Senior Notes due 2034 (the “Notes”). The Notes were issued pursuant to the Indenture dated as of March 20, 2026 (the “Indenture”), by and between the Company and U.S. Bank Trust Company, National Association, as trustee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the offering of the Notes (i) to repay certain indebtedness outstanding under its Third Amended and Restated Credit Agreement among the Company, the lenders party thereto, Wells Fargo Bank, National Association, Wells Fargo Securities, LLC and BofA Securities, Inc., dated May 13, 2025, (ii) to fund the redemption in full of $400 million aggregate principal amount of the 5.25% Senior Notes due 2026 that were issued on May 8, 2018 (the “2018 Senior Notes”), (iii) to pay related fees and expenses, and (iv) for general corporate purposes, which may include repurchases of its common stock. This Current Report on Form 8-K does not constitute a notice of redemption of the 2018 Senior Notes.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does not constitute an offer to sell, or the solicitation of an offer to buy, the Notes. Any offers of the Notes were made only by means of a private offering memorandum. The Notes have not been registered under the Securities Act of 1933, as amended (the “Securities Act”), or the securities laws of any other jurisdiction, and may not be offered or sold in the United States or to, or for the account or benefit of, U.S. persons absent registration or an applicable exemption from the registration requirements of the Securities Act. The Notes were sold to “qualified institutional buyers” as defined in Rule 144A under the Securities Act and to non-U.S. persons outside the United States under Regulation S under the Securities Act. </w:t>
      </w:r>
    </w:p>
    <w:p>
      <w:pPr>
        <w:pStyle w:val="TextBody"/>
        <w:bidi w:val="0"/>
        <w:spacing w:before="360" w:after="0"/>
        <w:jc w:val="left"/>
        <w:rPr>
          <w:rFonts w:ascii="Times New Roman" w:hAnsi="Times New Roman"/>
          <w:i/>
          <w:sz w:val="20"/>
        </w:rPr>
      </w:pPr>
      <w:r>
        <w:rPr>
          <w:rFonts w:ascii="Times New Roman" w:hAnsi="Times New Roman"/>
          <w:i/>
          <w:sz w:val="20"/>
        </w:rPr>
        <w:t xml:space="preserve">Indenture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the senior unsecured obligations of the Company. As of March 20, 2026, none of the Company’s subsidiaries will be guarantors and the Notes will not be guaranteed. The Notes will be guaranteed, jointly and severally, on a senior unsecured basis by each of the Company’s future significant domestic subsidiaries (as defined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interest on the Notes semi-annually on March 15 and September 15. Interest on the Notes will accrue from March 20, 2026 at a rate of 6.250% per annum, and the first interest payment date for the Notes will be September 15, 2026. The Notes will mature on September 15, 2034. The Company may redeem some or all of the Notes at any time prior to March 15, 2029, at a redemption price equal to 100% of the principal amount of the Notes to be redeemed, plus a make-whole premium and accrued and unpaid interest on the Notes to the redemption date. Prior to March 15, 2029, the Company may also redeem up to 40% of the Notes with the net proceeds from certain equity offerings at a redemption price of 106.250% of the principal amount of the Notes to be redeemed plus accrued and unpaid interest on the Notes to the redemption date. Thereafter, the Company may redeem the Notes in whole or in part at a redemption price equal to the percentage of the principal amount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covenants that limit the ability of the Company and its subsidiaries to, under certain circumstances, (i) enter into sale/leaseback transactions, (ii) sell all, or substantially all, of its assets, (iii) create or permit to exist liens on its assets, (iv) incur debt at subsidiaries or (v) effect a consolidation or merger. These covenants are subject to important exceptions and qualifications.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specific change of control events that result in the rating of the Notes being below an investment grade rating by at least one of the rating agencies, as described in the Indenture, each noteholder will have the right to require the Company to make an offer to repurchase the Notes at 101% of the principal amount, plus accrued and unpaid interest to, but excluding, the date of repurchase.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for certain events of default, including, among other things, (i) failure to pay interest on any Note when due and payable if such failure continues for 30 days; (ii) failure to pay any principal of,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premium, if any, on, any Note when due and payable at maturity, upon any redemption, required repurchase, upon declaration of acceleration or otherwise; (iii) failure by the Company to comply with its obligations under the Indenture with respect to consolidation with or merger with or into, or sale, transfer or lease of all or substantially all of the Company’s properties and assets to, another person; (iv) the failure by the Company or any future guarantor to comply for 45 days after notice with any of its obligations in the Indenture with respect to certain change of control events, limitations on liens, limitations on sale/leaseback transactions, limitations on subsidiary debt and addition of future guarantors; (v) the failure to comply with the other obligations or agreements in the Notes or the Indenture for a period of 60 days after written notice of noncompliance has been received by the Company; (vi) failure to pay debt of the Company or any guarantor or significant subsidiary within any applicable grace period after final maturity or acceleration thereof if such amount exceeds $100.0 million; (vii) certain events of bankruptcy, insolvency or reorganization; (viii) any final judgment or decree for the payment of money that is not covered by enforceable insurance policies in excess of $100.0 million is entered against the Company or any guarantor or significant subsidiary that remains outstanding for a period of 60 consecutive days after becoming final and is not discharged, waived or stayed within 30 days after notice; or (ix) a future guarantee ceases to be in full force and effect or a guarantor denies or disaffirms its obligations under its guarantee. The events of default are subject to important exceptions and qualifications,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Indenture and the Notes is a summary only and is qualified in its entirety by reference to the Indenture, and the form of Notes included therein, which are attached hereto as Exhibits 4.1 and 4.2, respectively, and are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above is hereby incorporated by reference into this Item 2.03.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56220dex41.htm">
              <w:r>
                <w:rPr>
                  <w:rStyle w:val="InternetLink"/>
                </w:rPr>
                <w:t xml:space="preserve">Indenture dated as of March 20, 2026, by and between the Company and U.S. Bank Trust Company, National Association, as trustee.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56220dex41.htm">
              <w:r>
                <w:rPr>
                  <w:rStyle w:val="InternetLink"/>
                </w:rPr>
                <w:t xml:space="preserve">Form of the Company’s 6.250% Senior Notes due 2034 (included in Exhibit 4.1 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320"/>
        <w:gridCol w:w="60"/>
        <w:gridCol w:w="5075"/>
      </w:tblGrid>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vAlign w:val="center"/>
          </w:tcPr>
          <w:p>
            <w:pPr>
              <w:pStyle w:val="TableContents"/>
              <w:bidi w:val="0"/>
              <w:spacing w:before="0" w:after="283"/>
              <w:jc w:val="left"/>
              <w:rPr/>
            </w:pPr>
            <w:r>
              <w:rPr/>
              <w:t>FAIR ISAAC CORPORATION</w:t>
            </w:r>
          </w:p>
        </w:tc>
      </w:tr>
      <w:tr>
        <w:trPr/>
        <w:tc>
          <w:tcPr>
            <w:tcW w:w="32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32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P. Weber</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Steven P. Weber</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March 20, 2026 </w:t>
      </w:r>
    </w:p>
    <w:p>
      <w:pPr>
        <w:pStyle w:val="TextBody"/>
        <w:bidi w:val="0"/>
        <w:spacing w:before="0" w:after="0"/>
        <w:jc w:val="right"/>
        <w:rPr>
          <w:rFonts w:ascii="Times New Roman" w:hAnsi="Times New Roman"/>
          <w:b/>
          <w:sz w:val="20"/>
        </w:rPr>
      </w:pPr>
      <w:bookmarkStart w:id="2" w:name="d56220dex41.htm"/>
      <w:bookmarkStart w:id="3" w:name="ksd56220dex41"/>
      <w:bookmarkEnd w:id="2"/>
      <w:bookmarkEnd w:id="3"/>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SENIOR NOTES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March 20, 2026 </w:t>
      </w:r>
    </w:p>
    <w:p>
      <w:pPr>
        <w:pStyle w:val="TextBody"/>
        <w:bidi w:val="0"/>
        <w:spacing w:before="240" w:after="0"/>
        <w:jc w:val="center"/>
        <w:rPr>
          <w:rFonts w:ascii="Times New Roman" w:hAnsi="Times New Roman"/>
          <w:sz w:val="20"/>
        </w:rPr>
      </w:pPr>
      <w:r>
        <w:rPr>
          <w:rFonts w:ascii="Times New Roman" w:hAnsi="Times New Roman"/>
          <w:sz w:val="20"/>
        </w:rPr>
        <w:t xml:space="preserve">FAIR ISAAC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6.250% SENIOR NOTES DUE 2034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9"/>
        <w:gridCol w:w="96"/>
        <w:gridCol w:w="7710"/>
        <w:gridCol w:w="150"/>
        <w:gridCol w:w="90"/>
        <w:gridCol w:w="397"/>
        <w:gridCol w:w="63"/>
      </w:tblGrid>
      <w:tr>
        <w:trPr/>
        <w:tc>
          <w:tcPr>
            <w:tcW w:w="1699"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71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9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87"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1</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 AND INCORPORATION BY REFERENCE</w:t>
            </w:r>
          </w:p>
        </w:tc>
        <w:tc>
          <w:tcPr>
            <w:tcW w:w="63" w:type="dxa"/>
            <w:tcBorders/>
          </w:tcPr>
          <w:p>
            <w:pPr>
              <w:pStyle w:val="TableContents"/>
              <w:bidi w:val="0"/>
              <w:spacing w:before="0" w:after="0"/>
              <w:jc w:val="left"/>
              <w:rPr/>
            </w:pPr>
            <w:r>
              <w:rPr/>
              <w:t> </w:t>
            </w:r>
          </w:p>
        </w:tc>
      </w:tr>
      <w:tr>
        <w:trPr>
          <w:trHeight w:val="120" w:hRule="atLeast"/>
        </w:trPr>
        <w:tc>
          <w:tcPr>
            <w:tcW w:w="1699" w:type="dxa"/>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Definitions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Other Definitions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Rules of Construction</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Acts of Holders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283"/>
              <w:jc w:val="center"/>
              <w:rPr/>
            </w:pPr>
            <w:r>
              <w:rPr/>
              <w:t>ARTICLE 2</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THE NOTES</w:t>
            </w:r>
          </w:p>
        </w:tc>
        <w:tc>
          <w:tcPr>
            <w:tcW w:w="63" w:type="dxa"/>
            <w:tcBorders/>
          </w:tcPr>
          <w:p>
            <w:pPr>
              <w:pStyle w:val="TableContents"/>
              <w:bidi w:val="0"/>
              <w:spacing w:before="0" w:after="0"/>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Form and Dating; Terms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Execution and Authentication</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Registrar and Paying Agent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Paying Agent to Hold Money in Trust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Holder Lists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Transfer and Exchange</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Replacement Notes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Outstanding Notes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Treasury Notes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Temporary Notes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Cancellation</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Defaulted Interest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CUSIP and ISIN Numbers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3</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REDEMPTION</w:t>
            </w:r>
          </w:p>
        </w:tc>
        <w:tc>
          <w:tcPr>
            <w:tcW w:w="63" w:type="dxa"/>
            <w:tcBorders/>
          </w:tcPr>
          <w:p>
            <w:pPr>
              <w:pStyle w:val="TableContents"/>
              <w:bidi w:val="0"/>
              <w:spacing w:before="0" w:after="0"/>
              <w:jc w:val="left"/>
              <w:rPr/>
            </w:pPr>
            <w:r>
              <w:rPr/>
              <w:t> </w:t>
            </w:r>
          </w:p>
        </w:tc>
      </w:tr>
      <w:tr>
        <w:trPr>
          <w:trHeight w:val="120" w:hRule="atLeast"/>
        </w:trPr>
        <w:tc>
          <w:tcPr>
            <w:tcW w:w="1699" w:type="dxa"/>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Notices to Trustee</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Selection of Notes to Be Redeemed or Purchased</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Notice of Redemption</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Effect of Notice of Redemption</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Deposit of Redemption or Purchase Price</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Notes Redeemed or Purchased in Part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Optional Redemption</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Mandatory Redemption</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Notice in Connection with a Transaction or Event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4</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COVENANTS</w:t>
            </w:r>
          </w:p>
        </w:tc>
        <w:tc>
          <w:tcPr>
            <w:tcW w:w="63" w:type="dxa"/>
            <w:tcBorders/>
          </w:tcPr>
          <w:p>
            <w:pPr>
              <w:pStyle w:val="TableContents"/>
              <w:bidi w:val="0"/>
              <w:spacing w:before="0" w:after="0"/>
              <w:jc w:val="left"/>
              <w:rPr/>
            </w:pPr>
            <w:r>
              <w:rPr/>
              <w:t> </w:t>
            </w:r>
          </w:p>
        </w:tc>
      </w:tr>
      <w:tr>
        <w:trPr>
          <w:trHeight w:val="120" w:hRule="atLeast"/>
        </w:trPr>
        <w:tc>
          <w:tcPr>
            <w:tcW w:w="1699" w:type="dxa"/>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Payment of Notes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Maintenance of Office or Agency</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Taxes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Stay, Extension and Usury Laws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Corporate Existence</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SEC Reports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Compliance Certificate; Notice of Default</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699"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96" w:type="dxa"/>
            <w:tcBorders/>
            <w:vAlign w:val="bottom"/>
          </w:tcPr>
          <w:p>
            <w:pPr>
              <w:pStyle w:val="TableContents"/>
              <w:bidi w:val="0"/>
              <w:spacing w:before="0" w:after="283"/>
              <w:jc w:val="left"/>
              <w:rPr/>
            </w:pPr>
            <w:r>
              <w:rPr/>
              <w:t> </w:t>
            </w:r>
          </w:p>
        </w:tc>
        <w:tc>
          <w:tcPr>
            <w:tcW w:w="7710" w:type="dxa"/>
            <w:tcBorders/>
            <w:vAlign w:val="bottom"/>
          </w:tcPr>
          <w:p>
            <w:pPr>
              <w:pStyle w:val="TableContents"/>
              <w:bidi w:val="0"/>
              <w:spacing w:before="0" w:after="283"/>
              <w:jc w:val="left"/>
              <w:rPr/>
            </w:pPr>
            <w:r>
              <w:rPr/>
              <w:t>Limitation on Liens</w:t>
            </w:r>
          </w:p>
        </w:tc>
        <w:tc>
          <w:tcPr>
            <w:tcW w:w="1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3"/>
        <w:gridCol w:w="127"/>
        <w:gridCol w:w="7570"/>
        <w:gridCol w:w="175"/>
        <w:gridCol w:w="90"/>
        <w:gridCol w:w="396"/>
        <w:gridCol w:w="64"/>
      </w:tblGrid>
      <w:tr>
        <w:trPr/>
        <w:tc>
          <w:tcPr>
            <w:tcW w:w="178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57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8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57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Future Guarantors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Offer to Repurchase Upon Change of Control Trigger Event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Sale/Leaseback Transactions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Subsidiary Debt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5</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SUCCESSORS</w:t>
            </w:r>
          </w:p>
        </w:tc>
        <w:tc>
          <w:tcPr>
            <w:tcW w:w="64" w:type="dxa"/>
            <w:tcBorders/>
          </w:tcPr>
          <w:p>
            <w:pPr>
              <w:pStyle w:val="TableContents"/>
              <w:bidi w:val="0"/>
              <w:spacing w:before="0" w:after="0"/>
              <w:jc w:val="left"/>
              <w:rPr/>
            </w:pPr>
            <w:r>
              <w:rPr/>
              <w:t> </w:t>
            </w:r>
          </w:p>
        </w:tc>
      </w:tr>
      <w:tr>
        <w:trPr>
          <w:trHeight w:val="120" w:hRule="atLeast"/>
        </w:trPr>
        <w:tc>
          <w:tcPr>
            <w:tcW w:w="1783" w:type="dxa"/>
            <w:tcBorders/>
            <w:vAlign w:val="center"/>
          </w:tcPr>
          <w:p>
            <w:pPr>
              <w:pStyle w:val="TableContents"/>
              <w:bidi w:val="0"/>
              <w:spacing w:before="0" w:after="283"/>
              <w:jc w:val="left"/>
              <w:rPr>
                <w:sz w:val="4"/>
                <w:szCs w:val="4"/>
              </w:rPr>
            </w:pPr>
            <w:r>
              <w:rPr>
                <w:sz w:val="4"/>
                <w:szCs w:val="4"/>
              </w:rPr>
            </w:r>
          </w:p>
        </w:tc>
        <w:tc>
          <w:tcPr>
            <w:tcW w:w="7697"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Amalgamation, Merger, Consolidation or Sale of All or Substantially All Assets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Successor Entity Substituted</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0141" w:type="dxa"/>
            <w:gridSpan w:val="6"/>
            <w:tcBorders/>
          </w:tcPr>
          <w:p>
            <w:pPr>
              <w:pStyle w:val="TableContents"/>
              <w:bidi w:val="0"/>
              <w:spacing w:before="0" w:after="283"/>
              <w:jc w:val="center"/>
              <w:rPr/>
            </w:pPr>
            <w:r>
              <w:rPr/>
              <w:t>ARTICLE 6</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DEFAULTS AND REMEDIES</w:t>
            </w:r>
          </w:p>
        </w:tc>
        <w:tc>
          <w:tcPr>
            <w:tcW w:w="64" w:type="dxa"/>
            <w:tcBorders/>
          </w:tcPr>
          <w:p>
            <w:pPr>
              <w:pStyle w:val="TableContents"/>
              <w:bidi w:val="0"/>
              <w:spacing w:before="0" w:after="0"/>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Other Remedies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Control by Majority</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Rights of Holders to Institute Certain Suits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Collection Suit by Trustee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Restoration of Rights and Remedies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Rights and Remedies Cumulative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Delay or Omission Not Waiver</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Trustee May File Proofs of Claim</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Priorities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for Costs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7</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TRUSTEE</w:t>
            </w:r>
          </w:p>
        </w:tc>
        <w:tc>
          <w:tcPr>
            <w:tcW w:w="64" w:type="dxa"/>
            <w:tcBorders/>
          </w:tcPr>
          <w:p>
            <w:pPr>
              <w:pStyle w:val="TableContents"/>
              <w:bidi w:val="0"/>
              <w:spacing w:before="0" w:after="0"/>
              <w:jc w:val="left"/>
              <w:rPr/>
            </w:pPr>
            <w:r>
              <w:rPr/>
              <w:t> </w:t>
            </w:r>
          </w:p>
        </w:tc>
      </w:tr>
      <w:tr>
        <w:trPr>
          <w:trHeight w:val="120" w:hRule="atLeast"/>
        </w:trPr>
        <w:tc>
          <w:tcPr>
            <w:tcW w:w="1783" w:type="dxa"/>
            <w:tcBorders/>
            <w:vAlign w:val="center"/>
          </w:tcPr>
          <w:p>
            <w:pPr>
              <w:pStyle w:val="TableContents"/>
              <w:bidi w:val="0"/>
              <w:spacing w:before="0" w:after="283"/>
              <w:jc w:val="left"/>
              <w:rPr>
                <w:sz w:val="4"/>
                <w:szCs w:val="4"/>
              </w:rPr>
            </w:pPr>
            <w:r>
              <w:rPr>
                <w:sz w:val="4"/>
                <w:szCs w:val="4"/>
              </w:rPr>
            </w:r>
          </w:p>
        </w:tc>
        <w:tc>
          <w:tcPr>
            <w:tcW w:w="7697"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Duties of Trustee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Rights of Trustee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Individual Rights of Trustee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Trustee’s Disclaimer</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Trustee to Holders of the Notes</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Indemnity</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Replacement of Trustee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Successor Trustee by Merger, etc.</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Eligibility; Disqualification</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8</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LEGAL DEFEASANCE AND COVENANT DEFEASANCE</w:t>
            </w:r>
          </w:p>
        </w:tc>
        <w:tc>
          <w:tcPr>
            <w:tcW w:w="64" w:type="dxa"/>
            <w:tcBorders/>
          </w:tcPr>
          <w:p>
            <w:pPr>
              <w:pStyle w:val="TableContents"/>
              <w:bidi w:val="0"/>
              <w:spacing w:before="0" w:after="0"/>
              <w:jc w:val="left"/>
              <w:rPr/>
            </w:pPr>
            <w:r>
              <w:rPr/>
              <w:t> </w:t>
            </w:r>
          </w:p>
        </w:tc>
      </w:tr>
      <w:tr>
        <w:trPr>
          <w:trHeight w:val="120" w:hRule="atLeast"/>
        </w:trPr>
        <w:tc>
          <w:tcPr>
            <w:tcW w:w="1783" w:type="dxa"/>
            <w:tcBorders/>
            <w:vAlign w:val="center"/>
          </w:tcPr>
          <w:p>
            <w:pPr>
              <w:pStyle w:val="TableContents"/>
              <w:bidi w:val="0"/>
              <w:spacing w:before="0" w:after="283"/>
              <w:jc w:val="left"/>
              <w:rPr>
                <w:sz w:val="4"/>
                <w:szCs w:val="4"/>
              </w:rPr>
            </w:pPr>
            <w:r>
              <w:rPr>
                <w:sz w:val="4"/>
                <w:szCs w:val="4"/>
              </w:rPr>
            </w:r>
          </w:p>
        </w:tc>
        <w:tc>
          <w:tcPr>
            <w:tcW w:w="7697"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Option to Effect Legal Defeasance or Covenant Defeasance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Legal Defeasance and Discharge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Covenant Defeasance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7" w:type="dxa"/>
            <w:tcBorders/>
            <w:vAlign w:val="bottom"/>
          </w:tcPr>
          <w:p>
            <w:pPr>
              <w:pStyle w:val="TableContents"/>
              <w:bidi w:val="0"/>
              <w:spacing w:before="0" w:after="283"/>
              <w:jc w:val="left"/>
              <w:rPr/>
            </w:pPr>
            <w:r>
              <w:rPr/>
              <w:t> </w:t>
            </w:r>
          </w:p>
        </w:tc>
        <w:tc>
          <w:tcPr>
            <w:tcW w:w="7570"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Legal or Covenant Defeasance</w:t>
            </w:r>
          </w:p>
        </w:tc>
        <w:tc>
          <w:tcPr>
            <w:tcW w:w="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78"/>
        <w:gridCol w:w="127"/>
        <w:gridCol w:w="7573"/>
        <w:gridCol w:w="176"/>
        <w:gridCol w:w="90"/>
        <w:gridCol w:w="398"/>
        <w:gridCol w:w="63"/>
      </w:tblGrid>
      <w:tr>
        <w:trPr/>
        <w:tc>
          <w:tcPr>
            <w:tcW w:w="177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57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78"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57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88"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Deposited Money and Government Securities to Be Held in Trust; Other Miscellaneous Provisions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Repayment to the Company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Reinstatement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9</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AMENDMENT, SUPPLEMENT AND WAIVER</w:t>
            </w:r>
          </w:p>
        </w:tc>
        <w:tc>
          <w:tcPr>
            <w:tcW w:w="63" w:type="dxa"/>
            <w:tcBorders/>
          </w:tcPr>
          <w:p>
            <w:pPr>
              <w:pStyle w:val="TableContents"/>
              <w:bidi w:val="0"/>
              <w:spacing w:before="0" w:after="0"/>
              <w:jc w:val="left"/>
              <w:rPr/>
            </w:pPr>
            <w:r>
              <w:rPr/>
              <w:t> </w:t>
            </w:r>
          </w:p>
        </w:tc>
      </w:tr>
      <w:tr>
        <w:trPr>
          <w:trHeight w:val="120" w:hRule="atLeast"/>
        </w:trPr>
        <w:tc>
          <w:tcPr>
            <w:tcW w:w="1778" w:type="dxa"/>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Without Consent of 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With Consent of 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Revocation and Effect of Consents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Notation on or Exchange of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Trustee to Sign Amendments, etc.</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10</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GUARANTEES</w:t>
            </w:r>
          </w:p>
        </w:tc>
        <w:tc>
          <w:tcPr>
            <w:tcW w:w="63" w:type="dxa"/>
            <w:tcBorders/>
          </w:tcPr>
          <w:p>
            <w:pPr>
              <w:pStyle w:val="TableContents"/>
              <w:bidi w:val="0"/>
              <w:spacing w:before="0" w:after="0"/>
              <w:jc w:val="left"/>
              <w:rPr/>
            </w:pPr>
            <w:r>
              <w:rPr/>
              <w:t> </w:t>
            </w:r>
          </w:p>
        </w:tc>
      </w:tr>
      <w:tr>
        <w:trPr>
          <w:trHeight w:val="120" w:hRule="atLeast"/>
        </w:trPr>
        <w:tc>
          <w:tcPr>
            <w:tcW w:w="1778" w:type="dxa"/>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Guarantor Liability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Execution and Delivery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Waiver of Subrogation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Benefits Acknowledged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Release of Guarantees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11</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SATISFACTION AND DISCHARGE</w:t>
            </w:r>
          </w:p>
        </w:tc>
        <w:tc>
          <w:tcPr>
            <w:tcW w:w="63" w:type="dxa"/>
            <w:tcBorders/>
          </w:tcPr>
          <w:p>
            <w:pPr>
              <w:pStyle w:val="TableContents"/>
              <w:bidi w:val="0"/>
              <w:spacing w:before="0" w:after="0"/>
              <w:jc w:val="left"/>
              <w:rPr/>
            </w:pPr>
            <w:r>
              <w:rPr/>
              <w:t> </w:t>
            </w:r>
          </w:p>
        </w:tc>
      </w:tr>
      <w:tr>
        <w:trPr>
          <w:trHeight w:val="120" w:hRule="atLeast"/>
        </w:trPr>
        <w:tc>
          <w:tcPr>
            <w:tcW w:w="1778" w:type="dxa"/>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Trust Money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12</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MISCELLANEOUS</w:t>
            </w:r>
          </w:p>
        </w:tc>
        <w:tc>
          <w:tcPr>
            <w:tcW w:w="63" w:type="dxa"/>
            <w:tcBorders/>
          </w:tcPr>
          <w:p>
            <w:pPr>
              <w:pStyle w:val="TableContents"/>
              <w:bidi w:val="0"/>
              <w:spacing w:before="0" w:after="0"/>
              <w:jc w:val="left"/>
              <w:rPr/>
            </w:pPr>
            <w:r>
              <w:rPr/>
              <w:t> </w:t>
            </w:r>
          </w:p>
        </w:tc>
      </w:tr>
      <w:tr>
        <w:trPr>
          <w:trHeight w:val="120" w:hRule="atLeast"/>
        </w:trPr>
        <w:tc>
          <w:tcPr>
            <w:tcW w:w="1778" w:type="dxa"/>
            <w:tcBorders/>
            <w:vAlign w:val="center"/>
          </w:tcPr>
          <w:p>
            <w:pPr>
              <w:pStyle w:val="TableContents"/>
              <w:bidi w:val="0"/>
              <w:spacing w:before="0" w:after="283"/>
              <w:jc w:val="left"/>
              <w:rPr>
                <w:sz w:val="4"/>
                <w:szCs w:val="4"/>
              </w:rPr>
            </w:pPr>
            <w:r>
              <w:rPr>
                <w:sz w:val="4"/>
                <w:szCs w:val="4"/>
              </w:rPr>
            </w:r>
          </w:p>
        </w:tc>
        <w:tc>
          <w:tcPr>
            <w:tcW w:w="770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No Qualification Under the Trust Indenture Act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Communication by Holders with Other 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and Opinion as to Conditions Precedent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Statements Required in Certificate or Opinion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Rules by Trustee and Agents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12.07</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No Personal Liability of Directors, Officers, Employees, Members, Partners and Stockholders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12.08</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12.09</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12.10</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12.11</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No Adverse Interpretation of Other Agreements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12.12</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12.13</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12.14</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Counterpart Originals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12.15</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 etc.</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7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12.16</w:t>
            </w:r>
          </w:p>
        </w:tc>
        <w:tc>
          <w:tcPr>
            <w:tcW w:w="127" w:type="dxa"/>
            <w:tcBorders/>
            <w:vAlign w:val="bottom"/>
          </w:tcPr>
          <w:p>
            <w:pPr>
              <w:pStyle w:val="TableContents"/>
              <w:bidi w:val="0"/>
              <w:spacing w:before="0" w:after="283"/>
              <w:jc w:val="left"/>
              <w:rPr/>
            </w:pPr>
            <w:r>
              <w:rPr/>
              <w:t> </w:t>
            </w:r>
          </w:p>
        </w:tc>
        <w:tc>
          <w:tcPr>
            <w:tcW w:w="7573" w:type="dxa"/>
            <w:tcBorders/>
          </w:tcPr>
          <w:p>
            <w:pPr>
              <w:pStyle w:val="TableContents"/>
              <w:bidi w:val="0"/>
              <w:spacing w:before="0" w:after="0"/>
              <w:jc w:val="left"/>
              <w:rPr>
                <w:rFonts w:ascii="Times New Roman" w:hAnsi="Times New Roman"/>
                <w:sz w:val="20"/>
              </w:rPr>
            </w:pPr>
            <w:r>
              <w:rPr>
                <w:rFonts w:ascii="Times New Roman" w:hAnsi="Times New Roman"/>
                <w:sz w:val="20"/>
              </w:rPr>
              <w:t>Facsimile and PDF Delivery of Signature Pages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19"/>
        <w:gridCol w:w="109"/>
        <w:gridCol w:w="7869"/>
        <w:gridCol w:w="160"/>
        <w:gridCol w:w="90"/>
        <w:gridCol w:w="395"/>
        <w:gridCol w:w="63"/>
      </w:tblGrid>
      <w:tr>
        <w:trPr/>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69"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1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6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151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12.17</w:t>
            </w:r>
          </w:p>
        </w:tc>
        <w:tc>
          <w:tcPr>
            <w:tcW w:w="109" w:type="dxa"/>
            <w:tcBorders/>
            <w:vAlign w:val="bottom"/>
          </w:tcPr>
          <w:p>
            <w:pPr>
              <w:pStyle w:val="TableContents"/>
              <w:bidi w:val="0"/>
              <w:spacing w:before="0" w:after="283"/>
              <w:jc w:val="left"/>
              <w:rPr/>
            </w:pPr>
            <w:r>
              <w:rPr/>
              <w:t> </w:t>
            </w:r>
          </w:p>
        </w:tc>
        <w:tc>
          <w:tcPr>
            <w:tcW w:w="7869" w:type="dxa"/>
            <w:tcBorders/>
            <w:vAlign w:val="bottom"/>
          </w:tcPr>
          <w:p>
            <w:pPr>
              <w:pStyle w:val="TableContents"/>
              <w:bidi w:val="0"/>
              <w:spacing w:before="0" w:after="283"/>
              <w:jc w:val="left"/>
              <w:rPr/>
            </w:pPr>
            <w:r>
              <w:rPr/>
              <w:t>U.S.A. PATRIOT Act</w:t>
            </w:r>
          </w:p>
        </w:tc>
        <w:tc>
          <w:tcPr>
            <w:tcW w:w="1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1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12.18</w:t>
            </w:r>
          </w:p>
        </w:tc>
        <w:tc>
          <w:tcPr>
            <w:tcW w:w="109" w:type="dxa"/>
            <w:tcBorders/>
            <w:vAlign w:val="bottom"/>
          </w:tcPr>
          <w:p>
            <w:pPr>
              <w:pStyle w:val="TableContents"/>
              <w:bidi w:val="0"/>
              <w:spacing w:before="0" w:after="283"/>
              <w:jc w:val="left"/>
              <w:rPr/>
            </w:pPr>
            <w:r>
              <w:rPr/>
              <w:t> </w:t>
            </w:r>
          </w:p>
        </w:tc>
        <w:tc>
          <w:tcPr>
            <w:tcW w:w="7869" w:type="dxa"/>
            <w:tcBorders/>
            <w:vAlign w:val="bottom"/>
          </w:tcPr>
          <w:p>
            <w:pPr>
              <w:pStyle w:val="TableContents"/>
              <w:bidi w:val="0"/>
              <w:spacing w:before="0" w:after="283"/>
              <w:jc w:val="left"/>
              <w:rPr/>
            </w:pPr>
            <w:r>
              <w:rPr/>
              <w:t>Payments Due on Non-Business Days</w:t>
            </w:r>
          </w:p>
        </w:tc>
        <w:tc>
          <w:tcPr>
            <w:tcW w:w="1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19" w:type="dxa"/>
            <w:tcBorders/>
          </w:tcPr>
          <w:p>
            <w:pPr>
              <w:pStyle w:val="TableContents"/>
              <w:bidi w:val="0"/>
              <w:spacing w:before="0" w:after="0"/>
              <w:jc w:val="left"/>
              <w:rPr>
                <w:rFonts w:ascii="Times New Roman" w:hAnsi="Times New Roman"/>
                <w:sz w:val="20"/>
              </w:rPr>
            </w:pPr>
            <w:r>
              <w:rPr>
                <w:rFonts w:ascii="Times New Roman" w:hAnsi="Times New Roman"/>
                <w:sz w:val="20"/>
              </w:rPr>
              <w:t>SECTION 12.19</w:t>
            </w:r>
          </w:p>
        </w:tc>
        <w:tc>
          <w:tcPr>
            <w:tcW w:w="109" w:type="dxa"/>
            <w:tcBorders/>
            <w:vAlign w:val="bottom"/>
          </w:tcPr>
          <w:p>
            <w:pPr>
              <w:pStyle w:val="TableContents"/>
              <w:bidi w:val="0"/>
              <w:spacing w:before="0" w:after="283"/>
              <w:jc w:val="left"/>
              <w:rPr/>
            </w:pPr>
            <w:r>
              <w:rPr/>
              <w:t> </w:t>
            </w:r>
          </w:p>
        </w:tc>
        <w:tc>
          <w:tcPr>
            <w:tcW w:w="7869" w:type="dxa"/>
            <w:tcBorders/>
            <w:vAlign w:val="bottom"/>
          </w:tcPr>
          <w:p>
            <w:pPr>
              <w:pStyle w:val="TableContents"/>
              <w:bidi w:val="0"/>
              <w:spacing w:before="0" w:after="283"/>
              <w:jc w:val="left"/>
              <w:rPr/>
            </w:pPr>
            <w:r>
              <w:rPr/>
              <w:t>[Reserved]</w:t>
            </w:r>
          </w:p>
        </w:tc>
        <w:tc>
          <w:tcPr>
            <w:tcW w:w="1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19" w:type="dxa"/>
            <w:tcBorders/>
          </w:tcPr>
          <w:p>
            <w:pPr>
              <w:pStyle w:val="TableContents"/>
              <w:bidi w:val="0"/>
              <w:spacing w:before="0" w:after="0"/>
              <w:jc w:val="left"/>
              <w:rPr>
                <w:rFonts w:ascii="Times New Roman" w:hAnsi="Times New Roman"/>
                <w:sz w:val="20"/>
              </w:rPr>
            </w:pPr>
            <w:r>
              <w:rPr>
                <w:rFonts w:ascii="Times New Roman" w:hAnsi="Times New Roman"/>
                <w:sz w:val="20"/>
              </w:rPr>
              <w:t>SECTION 12.20</w:t>
            </w:r>
          </w:p>
        </w:tc>
        <w:tc>
          <w:tcPr>
            <w:tcW w:w="109" w:type="dxa"/>
            <w:tcBorders/>
            <w:vAlign w:val="bottom"/>
          </w:tcPr>
          <w:p>
            <w:pPr>
              <w:pStyle w:val="TableContents"/>
              <w:bidi w:val="0"/>
              <w:spacing w:before="0" w:after="283"/>
              <w:jc w:val="left"/>
              <w:rPr/>
            </w:pPr>
            <w:r>
              <w:rPr/>
              <w:t> </w:t>
            </w:r>
          </w:p>
        </w:tc>
        <w:tc>
          <w:tcPr>
            <w:tcW w:w="7869" w:type="dxa"/>
            <w:tcBorders/>
            <w:vAlign w:val="bottom"/>
          </w:tcPr>
          <w:p>
            <w:pPr>
              <w:pStyle w:val="TableContents"/>
              <w:bidi w:val="0"/>
              <w:spacing w:before="0" w:after="283"/>
              <w:jc w:val="left"/>
              <w:rPr/>
            </w:pPr>
            <w:r>
              <w:rPr/>
              <w:t>Consent to Jurisdiction</w:t>
            </w:r>
          </w:p>
        </w:tc>
        <w:tc>
          <w:tcPr>
            <w:tcW w:w="1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6"/>
        <w:gridCol w:w="131"/>
        <w:gridCol w:w="8848"/>
      </w:tblGrid>
      <w:tr>
        <w:trPr/>
        <w:tc>
          <w:tcPr>
            <w:tcW w:w="122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848" w:type="dxa"/>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283"/>
              <w:jc w:val="left"/>
              <w:rPr/>
            </w:pPr>
            <w:r>
              <w:rPr/>
              <w:t>Appendix A</w:t>
            </w:r>
          </w:p>
        </w:tc>
        <w:tc>
          <w:tcPr>
            <w:tcW w:w="131" w:type="dxa"/>
            <w:tcBorders/>
            <w:vAlign w:val="bottom"/>
          </w:tcPr>
          <w:p>
            <w:pPr>
              <w:pStyle w:val="TableContents"/>
              <w:bidi w:val="0"/>
              <w:spacing w:before="0" w:after="283"/>
              <w:jc w:val="left"/>
              <w:rPr/>
            </w:pPr>
            <w:r>
              <w:rPr/>
              <w:t>  </w:t>
            </w:r>
          </w:p>
        </w:tc>
        <w:tc>
          <w:tcPr>
            <w:tcW w:w="8848" w:type="dxa"/>
            <w:tcBorders/>
          </w:tcPr>
          <w:p>
            <w:pPr>
              <w:pStyle w:val="TableContents"/>
              <w:bidi w:val="0"/>
              <w:spacing w:before="0" w:after="283"/>
              <w:jc w:val="left"/>
              <w:rPr/>
            </w:pPr>
            <w:r>
              <w:rPr/>
              <w:t>Provisions Relating to Initial Notes and Additional Notes</w:t>
            </w:r>
          </w:p>
        </w:tc>
      </w:tr>
      <w:tr>
        <w:trPr>
          <w:trHeight w:val="240" w:hRule="atLeast"/>
        </w:trPr>
        <w:tc>
          <w:tcPr>
            <w:tcW w:w="1226" w:type="dxa"/>
            <w:tcBorders/>
            <w:vAlign w:val="center"/>
          </w:tcPr>
          <w:p>
            <w:pPr>
              <w:pStyle w:val="TableContents"/>
              <w:bidi w:val="0"/>
              <w:spacing w:before="0" w:after="283"/>
              <w:jc w:val="left"/>
              <w:rPr>
                <w:sz w:val="4"/>
                <w:szCs w:val="4"/>
              </w:rPr>
            </w:pPr>
            <w:r>
              <w:rPr>
                <w:sz w:val="4"/>
                <w:szCs w:val="4"/>
              </w:rPr>
            </w:r>
          </w:p>
        </w:tc>
        <w:tc>
          <w:tcPr>
            <w:tcW w:w="8979" w:type="dxa"/>
            <w:gridSpan w:val="2"/>
            <w:tcBorders/>
            <w:vAlign w:val="center"/>
          </w:tcPr>
          <w:p>
            <w:pPr>
              <w:pStyle w:val="TableContents"/>
              <w:bidi w:val="0"/>
              <w:spacing w:before="0" w:after="283"/>
              <w:jc w:val="left"/>
              <w:rPr>
                <w:sz w:val="4"/>
                <w:szCs w:val="4"/>
              </w:rPr>
            </w:pPr>
            <w:r>
              <w:rPr>
                <w:sz w:val="4"/>
                <w:szCs w:val="4"/>
              </w:rPr>
            </w:r>
          </w:p>
        </w:tc>
      </w:tr>
      <w:tr>
        <w:trPr/>
        <w:tc>
          <w:tcPr>
            <w:tcW w:w="1226" w:type="dxa"/>
            <w:tcBorders/>
          </w:tcPr>
          <w:p>
            <w:pPr>
              <w:pStyle w:val="TableContents"/>
              <w:bidi w:val="0"/>
              <w:spacing w:before="0" w:after="283"/>
              <w:jc w:val="left"/>
              <w:rPr/>
            </w:pPr>
            <w:r>
              <w:rPr/>
              <w:t>Exhibit A</w:t>
            </w:r>
          </w:p>
        </w:tc>
        <w:tc>
          <w:tcPr>
            <w:tcW w:w="131" w:type="dxa"/>
            <w:tcBorders/>
            <w:vAlign w:val="bottom"/>
          </w:tcPr>
          <w:p>
            <w:pPr>
              <w:pStyle w:val="TableContents"/>
              <w:bidi w:val="0"/>
              <w:spacing w:before="0" w:after="283"/>
              <w:jc w:val="left"/>
              <w:rPr/>
            </w:pPr>
            <w:r>
              <w:rPr/>
              <w:t>  </w:t>
            </w:r>
          </w:p>
        </w:tc>
        <w:tc>
          <w:tcPr>
            <w:tcW w:w="8848" w:type="dxa"/>
            <w:tcBorders/>
          </w:tcPr>
          <w:p>
            <w:pPr>
              <w:pStyle w:val="TableContents"/>
              <w:bidi w:val="0"/>
              <w:spacing w:before="0" w:after="283"/>
              <w:jc w:val="left"/>
              <w:rPr/>
            </w:pPr>
            <w:r>
              <w:rPr/>
              <w:t>Form of Note</w:t>
            </w:r>
          </w:p>
        </w:tc>
      </w:tr>
      <w:tr>
        <w:trPr/>
        <w:tc>
          <w:tcPr>
            <w:tcW w:w="1226" w:type="dxa"/>
            <w:tcBorders/>
          </w:tcPr>
          <w:p>
            <w:pPr>
              <w:pStyle w:val="TableContents"/>
              <w:bidi w:val="0"/>
              <w:spacing w:before="0" w:after="283"/>
              <w:jc w:val="left"/>
              <w:rPr/>
            </w:pPr>
            <w:r>
              <w:rPr/>
              <w:t>Exhibit B</w:t>
            </w:r>
          </w:p>
        </w:tc>
        <w:tc>
          <w:tcPr>
            <w:tcW w:w="131" w:type="dxa"/>
            <w:tcBorders/>
            <w:vAlign w:val="bottom"/>
          </w:tcPr>
          <w:p>
            <w:pPr>
              <w:pStyle w:val="TableContents"/>
              <w:bidi w:val="0"/>
              <w:spacing w:before="0" w:after="283"/>
              <w:jc w:val="left"/>
              <w:rPr/>
            </w:pPr>
            <w:r>
              <w:rPr/>
              <w:t>  </w:t>
            </w:r>
          </w:p>
        </w:tc>
        <w:tc>
          <w:tcPr>
            <w:tcW w:w="8848" w:type="dxa"/>
            <w:tcBorders/>
          </w:tcPr>
          <w:p>
            <w:pPr>
              <w:pStyle w:val="TableContents"/>
              <w:bidi w:val="0"/>
              <w:spacing w:before="0" w:after="283"/>
              <w:jc w:val="left"/>
              <w:rPr/>
            </w:pPr>
            <w:r>
              <w:rPr/>
              <w:t>Form of Institutional Accredited Investor Transferee Letter of Representation</w:t>
            </w:r>
          </w:p>
        </w:tc>
      </w:tr>
      <w:tr>
        <w:trPr/>
        <w:tc>
          <w:tcPr>
            <w:tcW w:w="1226" w:type="dxa"/>
            <w:tcBorders/>
          </w:tcPr>
          <w:p>
            <w:pPr>
              <w:pStyle w:val="TableContents"/>
              <w:bidi w:val="0"/>
              <w:spacing w:before="0" w:after="283"/>
              <w:jc w:val="left"/>
              <w:rPr/>
            </w:pPr>
            <w:r>
              <w:rPr/>
              <w:t>Exhibit C</w:t>
            </w:r>
          </w:p>
        </w:tc>
        <w:tc>
          <w:tcPr>
            <w:tcW w:w="131" w:type="dxa"/>
            <w:tcBorders/>
            <w:vAlign w:val="bottom"/>
          </w:tcPr>
          <w:p>
            <w:pPr>
              <w:pStyle w:val="TableContents"/>
              <w:bidi w:val="0"/>
              <w:spacing w:before="0" w:after="283"/>
              <w:jc w:val="left"/>
              <w:rPr/>
            </w:pPr>
            <w:r>
              <w:rPr/>
              <w:t>  </w:t>
            </w:r>
          </w:p>
        </w:tc>
        <w:tc>
          <w:tcPr>
            <w:tcW w:w="8848" w:type="dxa"/>
            <w:tcBorders/>
          </w:tcPr>
          <w:p>
            <w:pPr>
              <w:pStyle w:val="TableContents"/>
              <w:bidi w:val="0"/>
              <w:spacing w:before="0" w:after="283"/>
              <w:jc w:val="left"/>
              <w:rPr/>
            </w:pPr>
            <w:r>
              <w:rPr/>
              <w:t>Form of Supplemental Indenture to Be Delivered by Subsequent Guarantors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March 20, 2026, between Fair Isaac Corporation, a Delaware corporation (the “</w:t>
      </w:r>
      <w:r>
        <w:rPr>
          <w:rFonts w:ascii="Times New Roman" w:hAnsi="Times New Roman"/>
          <w:i/>
          <w:sz w:val="20"/>
        </w:rPr>
        <w:t>Company</w:t>
      </w:r>
      <w:r>
        <w:rPr>
          <w:rFonts w:ascii="Times New Roman" w:hAnsi="Times New Roman"/>
          <w:sz w:val="20"/>
        </w:rPr>
        <w:t xml:space="preserve">”), and U.S. Bank Trust Company, National Association, as Trustee. </w:t>
      </w:r>
    </w:p>
    <w:p>
      <w:pPr>
        <w:pStyle w:val="TextBody"/>
        <w:bidi w:val="0"/>
        <w:spacing w:before="48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has duly authorized the creation of and issue of $1,000,000,000 aggregate principal amount of 6.250% Senior Notes due 2034 (the “</w:t>
      </w:r>
      <w:r>
        <w:rPr>
          <w:rFonts w:ascii="Times New Roman" w:hAnsi="Times New Roman"/>
          <w:i/>
          <w:sz w:val="20"/>
        </w:rPr>
        <w:t>Initial</w:t>
      </w:r>
      <w:r>
        <w:rPr>
          <w:rFonts w:ascii="Times New Roman" w:hAnsi="Times New Roman"/>
          <w:sz w:val="20"/>
        </w:rPr>
        <w:t xml:space="preserve"> </w:t>
      </w:r>
      <w:r>
        <w:rPr>
          <w:rFonts w:ascii="Times New Roman" w:hAnsi="Times New Roman"/>
          <w:i/>
          <w:sz w:val="20"/>
        </w:rPr>
        <w:t>Notes</w:t>
      </w:r>
      <w:r>
        <w:rPr>
          <w:rFonts w:ascii="Times New Roman" w:hAnsi="Times New Roman"/>
          <w:sz w:val="20"/>
        </w:rPr>
        <w:t xml:space="preserve">”) and the execution and delivery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Company and the Trustee agree as follows for the benefit of each other and for the equal and ratable benefit of the holders of the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24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Additional Notes</w:t>
      </w:r>
      <w:r>
        <w:rPr>
          <w:rFonts w:ascii="Times New Roman" w:hAnsi="Times New Roman"/>
          <w:sz w:val="20"/>
        </w:rPr>
        <w:t xml:space="preserve">” means additional Notes (other than the Initial Notes) issued from time to time under this Indenture in accordance with Section 2.01. </w:t>
      </w:r>
    </w:p>
    <w:p>
      <w:pPr>
        <w:pStyle w:val="TextBody"/>
        <w:bidi w:val="0"/>
        <w:spacing w:before="240" w:after="0"/>
        <w:jc w:val="left"/>
        <w:rPr/>
      </w:pPr>
      <w:r>
        <w:rPr/>
        <w:t>“</w:t>
      </w:r>
      <w:r>
        <w:rPr>
          <w:rFonts w:ascii="Times New Roman" w:hAnsi="Times New Roman"/>
          <w:i/>
          <w:sz w:val="20"/>
        </w:rPr>
        <w:t>Adjusted EBITDA</w:t>
      </w:r>
      <w:r>
        <w:rPr>
          <w:rFonts w:ascii="Times New Roman" w:hAnsi="Times New Roman"/>
          <w:sz w:val="20"/>
        </w:rPr>
        <w:t xml:space="preserve">” means for any Measurement Period, (a) the net income of the Company and its Subsidiaries for such period determined on a consolidated basis in accordance with GAAP, consistently applied for such period, </w:t>
      </w:r>
      <w:r>
        <w:rPr>
          <w:rFonts w:ascii="Times New Roman" w:hAnsi="Times New Roman"/>
          <w:i/>
          <w:sz w:val="20"/>
        </w:rPr>
        <w:t>plus</w:t>
      </w:r>
      <w:r>
        <w:rPr>
          <w:rFonts w:ascii="Times New Roman" w:hAnsi="Times New Roman"/>
          <w:sz w:val="20"/>
        </w:rPr>
        <w:t xml:space="preserve"> (b) to the extent deducted in determining such net income for such period, the sum of the following for such period: (i) Interest Expense for such period, (ii) income tax expense for such period, (iii) depreciation and amortization for such period and (iv) the aggregate amount of extraordinary, non-operating or non-cash charges for such period, </w:t>
      </w:r>
      <w:r>
        <w:rPr>
          <w:rFonts w:ascii="Times New Roman" w:hAnsi="Times New Roman"/>
          <w:i/>
          <w:sz w:val="20"/>
        </w:rPr>
        <w:t>minus</w:t>
      </w:r>
      <w:r>
        <w:rPr>
          <w:rFonts w:ascii="Times New Roman" w:hAnsi="Times New Roman"/>
          <w:sz w:val="20"/>
        </w:rPr>
        <w:t xml:space="preserve"> (c) the aggregate amount of extraordinary, non-operating or non-cash income during such period. Pro forma credit shall be given for the Adjusted EBITDA of any companies (or identifiable business units or divisions) (i) acquired by the Company or its Subsidiaries in accordance with the terms of this Indenture as if owned on the first day of the applicable period, and (ii) sold, transferred or otherwise disposed of in accordance with the terms of this Indenture during any period will be treated as if not owned during the entire applicable period. </w:t>
      </w:r>
    </w:p>
    <w:p>
      <w:pPr>
        <w:pStyle w:val="TextBody"/>
        <w:bidi w:val="0"/>
        <w:spacing w:before="240" w:after="0"/>
        <w:jc w:val="left"/>
        <w:rPr/>
      </w:pPr>
      <w:r>
        <w:rPr/>
        <w:t>“</w:t>
      </w:r>
      <w:r>
        <w:rPr>
          <w:rFonts w:ascii="Times New Roman" w:hAnsi="Times New Roman"/>
          <w:i/>
          <w:sz w:val="20"/>
        </w:rPr>
        <w:t>Adjusted Treasury Rate</w:t>
      </w:r>
      <w:r>
        <w:rPr>
          <w:rFonts w:ascii="Times New Roman" w:hAnsi="Times New Roman"/>
          <w:sz w:val="20"/>
        </w:rPr>
        <w:t xml:space="preserve">” means, with respect to any redemption date and as provided by the Company, the yield to maturity at the time of computation of United States Treasury securities with a constant maturity (as compiled and published in the most recent Federal Reserve Statistical Release H.15 which has become publicly available at least two Business Days prior to the redemption date or, if such statistical release is no longer published, any publicly available source or similar market data) most nearly equal to the period from the redemption date to March 15, 2029;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period from the redemption date to March 15, 2029 is not equal to the constant maturity of a United States Treasury security for which a weekly average yield is given, the Adjusted Treasury Rate shall be obtained by linear interpolation (calculated to the nearest one-twelfth of a year) from the weekly average yields of United States Treasury securities for which such yields are given, except that if the period from the redemption date to March 15, 2029 is less than one year, the weekly average yield on actually traded United States Treasury securities adjusted to a constant maturity of one year shall be used, in each case, </w:t>
      </w:r>
      <w:r>
        <w:rPr>
          <w:rFonts w:ascii="Times New Roman" w:hAnsi="Times New Roman"/>
          <w:i/>
          <w:sz w:val="20"/>
        </w:rPr>
        <w:t>plus</w:t>
      </w:r>
      <w:r>
        <w:rPr>
          <w:rFonts w:ascii="Times New Roman" w:hAnsi="Times New Roman"/>
          <w:sz w:val="20"/>
        </w:rPr>
        <w:t xml:space="preserve"> 50 basis points.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or Paying Agent or Custodian.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Applicable Premium</w:t>
      </w:r>
      <w:r>
        <w:rPr>
          <w:rFonts w:ascii="Times New Roman" w:hAnsi="Times New Roman"/>
          <w:sz w:val="20"/>
        </w:rPr>
        <w:t xml:space="preserve">” means with respect to a Note at any redemption date, as provided by the Company, the greater of (i) 1.0% of the principal amount of such Note or (ii) the excess of (A) the present value of (1) the redemption price of such Note at March 15, 2029 (such redemption price being set forth in the table in Section 3.07(b)) </w:t>
      </w:r>
      <w:r>
        <w:rPr>
          <w:rFonts w:ascii="Times New Roman" w:hAnsi="Times New Roman"/>
          <w:i/>
          <w:sz w:val="20"/>
        </w:rPr>
        <w:t>plus</w:t>
      </w:r>
      <w:r>
        <w:rPr>
          <w:rFonts w:ascii="Times New Roman" w:hAnsi="Times New Roman"/>
          <w:sz w:val="20"/>
        </w:rPr>
        <w:t xml:space="preserve"> (2) all required interest payments due on such Note through March 15, 2029 (but excluding accrued and unpaid interest, if any, to but excluding the redemption date), computed using a discount rate equal to the Adjusted Treasury Rate, </w:t>
      </w:r>
      <w:r>
        <w:rPr>
          <w:rFonts w:ascii="Times New Roman" w:hAnsi="Times New Roman"/>
          <w:i/>
          <w:sz w:val="20"/>
        </w:rPr>
        <w:t>over</w:t>
      </w:r>
      <w:r>
        <w:rPr>
          <w:rFonts w:ascii="Times New Roman" w:hAnsi="Times New Roman"/>
          <w:sz w:val="20"/>
        </w:rPr>
        <w:t xml:space="preserve"> (B) the principal amount of such Note on such redemption date. </w:t>
      </w:r>
    </w:p>
    <w:p>
      <w:pPr>
        <w:pStyle w:val="TextBody"/>
        <w:bidi w:val="0"/>
        <w:spacing w:before="240" w:after="0"/>
        <w:jc w:val="left"/>
        <w:rPr/>
      </w:pPr>
      <w:r>
        <w:rPr/>
        <w:t>“</w:t>
      </w:r>
      <w:r>
        <w:rPr>
          <w:rFonts w:ascii="Times New Roman" w:hAnsi="Times New Roman"/>
          <w:i/>
          <w:sz w:val="20"/>
        </w:rPr>
        <w:t>Attributable Debt</w:t>
      </w:r>
      <w:r>
        <w:rPr>
          <w:rFonts w:ascii="Times New Roman" w:hAnsi="Times New Roman"/>
          <w:sz w:val="20"/>
        </w:rPr>
        <w:t xml:space="preserve">” in respect of a Sale/Leaseback Transaction means, as at the time of determination, the present value (discounted at the interest rate set forth or implicit in the terms of such lease or, if not practicable to determine such rate, the interest rate per annum borne by the Notes, compounded semi-annually) of the total obligations of the lessee for rental payments during the remaining term of the lease included in such Sale/Leaseback Transaction (including any period for which such lease has been extended) (other than amounts required to be paid on account of property taxes, maintenance, repairs, insurance, water rates and other items which do not constitute payments for property rights);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Sale/Leaseback Transaction results in a Capital Lease Obligation, the amount of indebtedness represented thereby will be determined in accordance with the definition of “Capital Lease Obligation.”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means Title 11, U.S. Code, as amended, or any similar federal, state or foreign law for the relief of debtors. </w:t>
      </w:r>
    </w:p>
    <w:p>
      <w:pPr>
        <w:pStyle w:val="TextBody"/>
        <w:bidi w:val="0"/>
        <w:spacing w:before="240" w:after="0"/>
        <w:jc w:val="left"/>
        <w:rPr/>
      </w:pPr>
      <w:r>
        <w:rPr/>
        <w:t>“</w:t>
      </w:r>
      <w:r>
        <w:rPr>
          <w:rFonts w:ascii="Times New Roman" w:hAnsi="Times New Roman"/>
          <w:i/>
          <w:sz w:val="20"/>
        </w:rPr>
        <w:t>beneficial ownership</w:t>
      </w:r>
      <w:r>
        <w:rPr>
          <w:rFonts w:ascii="Times New Roman" w:hAnsi="Times New Roman"/>
          <w:sz w:val="20"/>
        </w:rPr>
        <w:t>” has the meaning assigned to such term in Rule 13d-3 and Rule 13d-5 under the Exchange Act, and “</w:t>
      </w:r>
      <w:r>
        <w:rPr>
          <w:rFonts w:ascii="Times New Roman" w:hAnsi="Times New Roman"/>
          <w:i/>
          <w:sz w:val="20"/>
        </w:rPr>
        <w:t>beneficial owner</w:t>
      </w:r>
      <w:r>
        <w:rPr>
          <w:rFonts w:ascii="Times New Roman" w:hAnsi="Times New Roman"/>
          <w:sz w:val="20"/>
        </w:rPr>
        <w:t xml:space="preserve">” has a corresponding meaning.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the Board of Directors of the Company or any committee thereof duly authorized to act on behalf of such Board.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each day other than a Saturday, Sunday or a day on which the Trustee or commercial banking institutions are authorized or required by law to close in New York City. </w:t>
      </w:r>
    </w:p>
    <w:p>
      <w:pPr>
        <w:pStyle w:val="TextBody"/>
        <w:bidi w:val="0"/>
        <w:spacing w:before="240" w:after="0"/>
        <w:jc w:val="left"/>
        <w:rPr/>
      </w:pPr>
      <w:r>
        <w:rPr/>
        <w:t>“</w:t>
      </w:r>
      <w:r>
        <w:rPr>
          <w:rFonts w:ascii="Times New Roman" w:hAnsi="Times New Roman"/>
          <w:i/>
          <w:sz w:val="20"/>
        </w:rPr>
        <w:t>Capital Lease Obligation</w:t>
      </w:r>
      <w:r>
        <w:rPr>
          <w:rFonts w:ascii="Times New Roman" w:hAnsi="Times New Roman"/>
          <w:sz w:val="20"/>
        </w:rPr>
        <w:t xml:space="preserve">” means at the time any determination thereof is to be made, the amount of the liability in respect of a finance lease that would at such time be required to be capitalized and reflected as a liability on a balance sheet (excluding the footnotes thereto) in accordance with GAAP; </w:t>
      </w:r>
      <w:r>
        <w:rPr>
          <w:rFonts w:ascii="Times New Roman" w:hAnsi="Times New Roman"/>
          <w:i/>
          <w:sz w:val="20"/>
        </w:rPr>
        <w:t xml:space="preserve">provided </w:t>
      </w:r>
      <w:r>
        <w:rPr>
          <w:rFonts w:ascii="Times New Roman" w:hAnsi="Times New Roman"/>
          <w:sz w:val="20"/>
        </w:rPr>
        <w:t xml:space="preserve">that obligations of the Company or its Subsidiaries, or of a special purpose or other entity not consolidated with the Company and its Subsidiaries, either existing on the Issue Date or created thereafter that (a) initially were not included on the consolidated balance sheet of the Company as finance lease obligations and were subsequently recharacterized as finance lease obligations or, in the case of such a special purpose or other entity becoming consolidated with the Company and its Subsidiaries, were required to be characterized as finance lease obligations upon such consolidation, in either case, due to a change in accounting treatment or otherwise, or (b) did not exist on the Issue Date and were required to be characterized as finance lease obligations but would not have been required to be treated as finance lease obligations under GAAP as in effect on September 30, 2018 had they existed at that time, shall for all purposes not be treated as Capital Lease Obligations or indebtedness. For the avoidance of doubt, with respect to the accounting for leases as either operating leases or finance leases and the impact of such accounting in accordance with FASB ASC 842 on the definitions and covenants herein, GAAP as in effect on September 30, 2018 shall be applied and any lease (whether entered into before or after the Issue Date) that would have been classified as an operating lease (including the amount of the liability in respect of the operating lease that would at such time be required to be reflected as a liability on a balance sheet) pursuant to GAAP as in effect on September 30, 2018 will be deemed not to represent a Capital Lease Obligation or indebtedness.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of any Person means any and all shares, interests, rights to purchase, warrants, options, participations or other equivalents of or interests in (however designated) equity of such Person, including any Preferred Stock, but excluding any debt securities convertible or exchangeable into such equity.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any “person” or “group” (as such terms are used in Sections 13(d) and 14(d) of the Exchange Act or any successor provision), is or becomes the beneficial owner (as such term is used in Rules 13d-3 and 13d-5 under the Exchange Act or any successor provision), directly or indirectly, of more than 50% of the total voting power of the Voting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adoption of a plan relating to the liquidation or dissolution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(3) the merger or consolidation of the Company with or into another Person or the merger of another Person with or into the Company or the sale of all or substantially all the assets of the Company (determined on a consolidated basis) to another Person, other than a transaction following which in the case of a merger or consolidation transaction, holders of securities that represented 100% of the Voting Stock of the Company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to involve a Change of Control if (a) the Company becomes a direct Subsidiary of a holding company, (b) such holding company owns no assets other than the Capital Stock of the Company and (c) upon completion of such transaction, the ultimate beneficial ownership of the Company has not been modified by such transaction. </w:t>
      </w:r>
    </w:p>
    <w:p>
      <w:pPr>
        <w:pStyle w:val="TextBody"/>
        <w:bidi w:val="0"/>
        <w:spacing w:before="240" w:after="0"/>
        <w:jc w:val="left"/>
        <w:rPr/>
      </w:pPr>
      <w:r>
        <w:rPr/>
        <w:t>“</w:t>
      </w:r>
      <w:r>
        <w:rPr>
          <w:rFonts w:ascii="Times New Roman" w:hAnsi="Times New Roman"/>
          <w:i/>
          <w:sz w:val="20"/>
        </w:rPr>
        <w:t>Change of Control Triggering Event</w:t>
      </w:r>
      <w:r>
        <w:rPr>
          <w:rFonts w:ascii="Times New Roman" w:hAnsi="Times New Roman"/>
          <w:sz w:val="20"/>
        </w:rPr>
        <w:t xml:space="preserve">” means the occurrence of both a Change of Control and a Rating Event.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i/>
          <w:sz w:val="20"/>
        </w:rPr>
        <w:t>Common Stock</w:t>
      </w:r>
      <w:r>
        <w:rPr>
          <w:rFonts w:ascii="Times New Roman" w:hAnsi="Times New Roman"/>
          <w:sz w:val="20"/>
        </w:rPr>
        <w:t xml:space="preserve">” means the common stock of the Company.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the party named as such in the first paragraph of this Indenture or any successor obligor to its obligations under this Indenture and the Notes pursuant to Article 5. </w:t>
      </w:r>
    </w:p>
    <w:p>
      <w:pPr>
        <w:pStyle w:val="TextBody"/>
        <w:bidi w:val="0"/>
        <w:spacing w:before="240" w:after="0"/>
        <w:jc w:val="left"/>
        <w:rPr/>
      </w:pPr>
      <w:r>
        <w:rPr/>
        <w:t>“</w:t>
      </w:r>
      <w:r>
        <w:rPr>
          <w:rFonts w:ascii="Times New Roman" w:hAnsi="Times New Roman"/>
          <w:i/>
          <w:sz w:val="20"/>
        </w:rPr>
        <w:t>Corporate Trust Office of the Trustee</w:t>
      </w:r>
      <w:r>
        <w:rPr>
          <w:rFonts w:ascii="Times New Roman" w:hAnsi="Times New Roman"/>
          <w:sz w:val="20"/>
        </w:rPr>
        <w:t xml:space="preserve">” shall be at the address of the Trustee specified in Section 12.02 or such other address as to which the Trustee may give notice to the holders and the Company. </w:t>
      </w:r>
    </w:p>
    <w:p>
      <w:pPr>
        <w:pStyle w:val="TextBody"/>
        <w:bidi w:val="0"/>
        <w:spacing w:before="240" w:after="0"/>
        <w:jc w:val="left"/>
        <w:rPr/>
      </w:pPr>
      <w:r>
        <w:rPr/>
        <w:t>“</w:t>
      </w:r>
      <w:r>
        <w:rPr>
          <w:rFonts w:ascii="Times New Roman" w:hAnsi="Times New Roman"/>
          <w:i/>
          <w:sz w:val="20"/>
        </w:rPr>
        <w:t>Credit Agreement</w:t>
      </w:r>
      <w:r>
        <w:rPr>
          <w:rFonts w:ascii="Times New Roman" w:hAnsi="Times New Roman"/>
          <w:sz w:val="20"/>
        </w:rPr>
        <w:t xml:space="preserve">” means that certain Third Amended and Restated Credit Agreement among the Company, the lenders party thereto, Wells Fargo Securities, LLC and BofA Securities, Inc., as global coordinators, joint lead arrangers and joint bookrunners, and Wells Fargo Bank, National Association, as administrative agent, dated as of May 13, 2025 (including the loans and commitments thereunder), as amended, extended, renewed, restated, supplemented or otherwise modified (in whole or in part, and without limitation as to amount, terms, conditions, covenants and other provisions) from time to time. </w:t>
      </w:r>
    </w:p>
    <w:p>
      <w:pPr>
        <w:pStyle w:val="TextBody"/>
        <w:bidi w:val="0"/>
        <w:spacing w:before="240" w:after="0"/>
        <w:jc w:val="left"/>
        <w:rPr/>
      </w:pPr>
      <w:r>
        <w:rPr/>
        <w:t>“</w:t>
      </w:r>
      <w:r>
        <w:rPr>
          <w:rFonts w:ascii="Times New Roman" w:hAnsi="Times New Roman"/>
          <w:i/>
          <w:sz w:val="20"/>
        </w:rPr>
        <w:t>Custodian</w:t>
      </w:r>
      <w:r>
        <w:rPr>
          <w:rFonts w:ascii="Times New Roman" w:hAnsi="Times New Roman"/>
          <w:sz w:val="20"/>
        </w:rPr>
        <w:t xml:space="preserve">” means the Trustee, as custodian for DTC with respect to the Notes in global form, or any successor entity thereto.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which is, or after notice or passage of time or both would be, an Event of Default. </w:t>
      </w:r>
    </w:p>
    <w:p>
      <w:pPr>
        <w:pStyle w:val="TextBody"/>
        <w:bidi w:val="0"/>
        <w:spacing w:before="240" w:after="0"/>
        <w:jc w:val="left"/>
        <w:rPr/>
      </w:pPr>
      <w:r>
        <w:rPr/>
        <w:t>“</w:t>
      </w:r>
      <w:r>
        <w:rPr>
          <w:rFonts w:ascii="Times New Roman" w:hAnsi="Times New Roman"/>
          <w:i/>
          <w:sz w:val="20"/>
        </w:rPr>
        <w:t>Definitive Note</w:t>
      </w:r>
      <w:r>
        <w:rPr>
          <w:rFonts w:ascii="Times New Roman" w:hAnsi="Times New Roman"/>
          <w:sz w:val="20"/>
        </w:rPr>
        <w:t xml:space="preserve">” means a certificated Initial Note or Additional Note (bearing the Restricted Notes Legend if the transfer of such Note is restricted by applicable law) that does not include the Global Notes Legend.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means, with respect to any Person, any Capital Stock which by its terms (or by the terms of any security into which it is convertible or for which it is exchangeable at the option of the holder) or upon the happening of any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matures (excluding any maturities as a result of an optional redemption by the issuer thereof) or is mandatorily redeemable pursuant to a sinking fund obligation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(2) is convertible or exchangeable at the option of the holder for indebtedness or Disqualified Stock; or </w:t>
      </w:r>
    </w:p>
    <w:p>
      <w:pPr>
        <w:pStyle w:val="TextBody"/>
        <w:bidi w:val="0"/>
        <w:spacing w:before="120" w:after="0"/>
        <w:jc w:val="left"/>
        <w:rPr>
          <w:rFonts w:ascii="Times New Roman" w:hAnsi="Times New Roman"/>
          <w:sz w:val="20"/>
        </w:rPr>
      </w:pPr>
      <w:r>
        <w:rPr>
          <w:rFonts w:ascii="Times New Roman" w:hAnsi="Times New Roman"/>
          <w:sz w:val="20"/>
        </w:rPr>
        <w:t xml:space="preserve">(3) is mandatorily redeemable or must be purchased upon the occurrence of certain events or otherwise,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in each case on or prior to 91 days after the earlier of the Stated Maturity of the Notes or the date the Notes are no longer outstanding;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Capital Stock is issued to any employee or to any plan for the benefit of employees of the Company or its Subsidiaries or by any such plan to such employees, such Capital Stock shall not constitute Disqualified Stock solely because it may be required to be repurchased by the Company or its Subsidiaries in order to satisfy obligations as a result of such employee’s death or disability;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Capital Stock that would not constitute Disqualified Stock but for provisions thereof giving holders thereof the right to require such Person to purchase or redeem such Capital Stock upon the occurrence of a “change of control” occurring on or prior to 91 days after the Stated Maturity of the Notes shall not constitute Disqualified Stock if: </w:t>
      </w:r>
    </w:p>
    <w:p>
      <w:pPr>
        <w:pStyle w:val="TextBody"/>
        <w:bidi w:val="0"/>
        <w:spacing w:before="120" w:after="0"/>
        <w:jc w:val="left"/>
        <w:rPr>
          <w:rFonts w:ascii="Times New Roman" w:hAnsi="Times New Roman"/>
          <w:sz w:val="20"/>
        </w:rPr>
      </w:pPr>
      <w:r>
        <w:rPr>
          <w:rFonts w:ascii="Times New Roman" w:hAnsi="Times New Roman"/>
          <w:sz w:val="20"/>
        </w:rPr>
        <w:t xml:space="preserve">(1) the “change of control” provisions applicable to such Capital Stock are not more favorable to the holders of such Capital Stock than the terms applicable to the Notes and described in Section 4.10; and </w:t>
      </w:r>
    </w:p>
    <w:p>
      <w:pPr>
        <w:pStyle w:val="TextBody"/>
        <w:bidi w:val="0"/>
        <w:spacing w:before="120" w:after="0"/>
        <w:jc w:val="left"/>
        <w:rPr>
          <w:rFonts w:ascii="Times New Roman" w:hAnsi="Times New Roman"/>
          <w:sz w:val="20"/>
        </w:rPr>
      </w:pPr>
      <w:r>
        <w:rPr>
          <w:rFonts w:ascii="Times New Roman" w:hAnsi="Times New Roman"/>
          <w:sz w:val="20"/>
        </w:rPr>
        <w:t xml:space="preserve">(2) any such requirement only becomes operative after compliance with such terms applicable to the Notes, including the purchase of any Notes tendered pursuant thereto. </w:t>
      </w:r>
    </w:p>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means any Subsidiary of the Company that is organized under the laws of any state of the United States or the District of Columbia. </w:t>
      </w:r>
    </w:p>
    <w:p>
      <w:pPr>
        <w:pStyle w:val="TextBody"/>
        <w:bidi w:val="0"/>
        <w:spacing w:before="240" w:after="0"/>
        <w:jc w:val="left"/>
        <w:rPr/>
      </w:pPr>
      <w:r>
        <w:rPr/>
        <w:t>“</w:t>
      </w:r>
      <w:r>
        <w:rPr>
          <w:rFonts w:ascii="Times New Roman" w:hAnsi="Times New Roman"/>
          <w:i/>
          <w:sz w:val="20"/>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i/>
          <w:sz w:val="20"/>
        </w:rPr>
        <w:t>Equity Offering</w:t>
      </w:r>
      <w:r>
        <w:rPr>
          <w:rFonts w:ascii="Times New Roman" w:hAnsi="Times New Roman"/>
          <w:sz w:val="20"/>
        </w:rPr>
        <w:t xml:space="preserve">” means any public or private sale of Capital Stock (other than Disqualified Stock) of the Company, other than (i) public offerings with respect to Common Stock registered on Form S-8 under the Securities Act and (ii) issuances to any Subsidiary of the Company.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as in effect on the Issue Date. </w:t>
      </w:r>
    </w:p>
    <w:p>
      <w:pPr>
        <w:pStyle w:val="TextBody"/>
        <w:bidi w:val="0"/>
        <w:spacing w:before="240" w:after="0"/>
        <w:jc w:val="left"/>
        <w:rPr/>
      </w:pPr>
      <w:r>
        <w:rPr/>
        <w:t>“</w:t>
      </w:r>
      <w:r>
        <w:rPr>
          <w:rFonts w:ascii="Times New Roman" w:hAnsi="Times New Roman"/>
          <w:i/>
          <w:sz w:val="20"/>
        </w:rPr>
        <w:t>Government Securities</w:t>
      </w:r>
      <w:r>
        <w:rPr>
          <w:rFonts w:ascii="Times New Roman" w:hAnsi="Times New Roman"/>
          <w:sz w:val="20"/>
        </w:rPr>
        <w:t xml:space="preserve">” means securities that are (1) direct obligations of the United States for the timely payment of which its full faith and credit is pledged or (2) obligations of a Person controlled or supervised by and acting as an agency or instrumentality of the United States the timely payment of which is unconditionally guaranteed as a full faith and credit obligation of the United States, which, in either case, are not callable or redeemable at the option of the issuer thereof, and shall also include a depositary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depositary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Government Securities or the specific payment of principal of or interest on the Government Securities evidenced by such depositary receipt.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 guarantee by a Subsidiary of the Company’s obligations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Guarantor</w:t>
      </w:r>
      <w:r>
        <w:rPr>
          <w:rFonts w:ascii="Times New Roman" w:hAnsi="Times New Roman"/>
          <w:sz w:val="20"/>
        </w:rPr>
        <w:t xml:space="preserve">” means each Subsidiary of the Company that, after the Issue Date, executes a supplemental indenture providing its Guarantee pursuant to Section 4.09. </w:t>
      </w:r>
    </w:p>
    <w:p>
      <w:pPr>
        <w:pStyle w:val="TextBody"/>
        <w:bidi w:val="0"/>
        <w:spacing w:before="240" w:after="0"/>
        <w:jc w:val="left"/>
        <w:rPr/>
      </w:pPr>
      <w:r>
        <w:rPr/>
        <w:t>“</w:t>
      </w:r>
      <w:r>
        <w:rPr>
          <w:rFonts w:ascii="Times New Roman" w:hAnsi="Times New Roman"/>
          <w:i/>
          <w:sz w:val="20"/>
        </w:rPr>
        <w:t>Hedging Obligations</w:t>
      </w:r>
      <w:r>
        <w:rPr>
          <w:rFonts w:ascii="Times New Roman" w:hAnsi="Times New Roman"/>
          <w:sz w:val="20"/>
        </w:rPr>
        <w:t xml:space="preserve">” means, with respect to any Person, the obligations of such Person under (1) currency exchange, interest rate or commodity swap agreements, currency exchange, interest rate or commodity cap agreements and currency exchange, interest rate or commodity collar agreements; and (2) other agreements or arrangements designed to manage, hedge or protect such Person with respect to fluctuations in currency exchange, interest rates or commodity prices.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or “</w:t>
      </w:r>
      <w:r>
        <w:rPr>
          <w:rFonts w:ascii="Times New Roman" w:hAnsi="Times New Roman"/>
          <w:i/>
          <w:sz w:val="20"/>
        </w:rPr>
        <w:t>noteholder</w:t>
      </w:r>
      <w:r>
        <w:rPr>
          <w:rFonts w:ascii="Times New Roman" w:hAnsi="Times New Roman"/>
          <w:sz w:val="20"/>
        </w:rPr>
        <w:t xml:space="preserve">” means the Person in whose name a Note is registered on the Registrar’s books.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w:t>
      </w:r>
    </w:p>
    <w:p>
      <w:pPr>
        <w:pStyle w:val="TextBody"/>
        <w:bidi w:val="0"/>
        <w:spacing w:before="240" w:after="0"/>
        <w:jc w:val="left"/>
        <w:rPr/>
      </w:pPr>
      <w:r>
        <w:rPr/>
        <w:t>“</w:t>
      </w:r>
      <w:r>
        <w:rPr>
          <w:rFonts w:ascii="Times New Roman" w:hAnsi="Times New Roman"/>
          <w:i/>
          <w:sz w:val="20"/>
        </w:rPr>
        <w:t>Initial Notes</w:t>
      </w:r>
      <w:r>
        <w:rPr>
          <w:rFonts w:ascii="Times New Roman" w:hAnsi="Times New Roman"/>
          <w:sz w:val="20"/>
        </w:rPr>
        <w:t xml:space="preserve">” has the meaning set forth in the recitals hereto. </w:t>
      </w:r>
    </w:p>
    <w:p>
      <w:pPr>
        <w:pStyle w:val="TextBody"/>
        <w:bidi w:val="0"/>
        <w:spacing w:before="240" w:after="0"/>
        <w:jc w:val="left"/>
        <w:rPr/>
      </w:pPr>
      <w:r>
        <w:rPr/>
        <w:t>“</w:t>
      </w:r>
      <w:r>
        <w:rPr>
          <w:rFonts w:ascii="Times New Roman" w:hAnsi="Times New Roman"/>
          <w:i/>
          <w:sz w:val="20"/>
        </w:rPr>
        <w:t>Interest Expense</w:t>
      </w:r>
      <w:r>
        <w:rPr>
          <w:rFonts w:ascii="Times New Roman" w:hAnsi="Times New Roman"/>
          <w:sz w:val="20"/>
        </w:rPr>
        <w:t xml:space="preserve">” means for any period, total interest expense for such period determined on a consolidated basis in accordance with GAAP. </w:t>
      </w:r>
    </w:p>
    <w:p>
      <w:pPr>
        <w:pStyle w:val="TextBody"/>
        <w:bidi w:val="0"/>
        <w:spacing w:before="240" w:after="0"/>
        <w:jc w:val="left"/>
        <w:rPr/>
      </w:pPr>
      <w:r>
        <w:rPr/>
        <w:t>“</w:t>
      </w:r>
      <w:r>
        <w:rPr>
          <w:rFonts w:ascii="Times New Roman" w:hAnsi="Times New Roman"/>
          <w:i/>
          <w:sz w:val="20"/>
        </w:rPr>
        <w:t>Interest Payment Date</w:t>
      </w:r>
      <w:r>
        <w:rPr>
          <w:rFonts w:ascii="Times New Roman" w:hAnsi="Times New Roman"/>
          <w:sz w:val="20"/>
        </w:rPr>
        <w:t xml:space="preserve">” means March 15 and September 15 of each year (commencing September 15, 2026). </w:t>
      </w:r>
    </w:p>
    <w:p>
      <w:pPr>
        <w:pStyle w:val="TextBody"/>
        <w:bidi w:val="0"/>
        <w:spacing w:before="24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higher than Baa3 (or the equivalent) by Moody’s Investors Service, Inc. (or any successor to the rating agency business thereof) and BBB- (or the equivalent) by Standard &amp; Poor’s Ratings Group (or any successor to the rating agency business thereof) and Fitch Ratings Inc. (or any successor to the rating agency business thereof), respectively.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March 20, 2026.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any mortgage, pledge, security interest, encumbrance, lien or charge of any kind (including any conditional sale or other title retention agreement or lease in the nature thereof). For the avoidance of doubt, the grant by any Person of a non-exclusive license to use intellectual property owned by, licensed to, or developed by such Person and such license activity shall not constitute a grant by such Person of a Lien on such intellectual property. </w:t>
      </w:r>
    </w:p>
    <w:p>
      <w:pPr>
        <w:pStyle w:val="TextBody"/>
        <w:bidi w:val="0"/>
        <w:spacing w:before="240" w:after="0"/>
        <w:jc w:val="left"/>
        <w:rPr/>
      </w:pPr>
      <w:r>
        <w:rPr/>
        <w:t>“</w:t>
      </w:r>
      <w:r>
        <w:rPr>
          <w:rFonts w:ascii="Times New Roman" w:hAnsi="Times New Roman"/>
          <w:i/>
          <w:sz w:val="20"/>
        </w:rPr>
        <w:t>Measurement Period</w:t>
      </w:r>
      <w:r>
        <w:rPr>
          <w:rFonts w:ascii="Times New Roman" w:hAnsi="Times New Roman"/>
          <w:sz w:val="20"/>
        </w:rPr>
        <w:t xml:space="preserve">” means, at any date of determination, the most recently completed four fiscal quarters of the Company and its Subsidiaries for which financial statements have been filed with the SEC. </w:t>
      </w:r>
    </w:p>
    <w:p>
      <w:pPr>
        <w:pStyle w:val="TextBody"/>
        <w:bidi w:val="0"/>
        <w:spacing w:before="240" w:after="0"/>
        <w:jc w:val="left"/>
        <w:rPr/>
      </w:pPr>
      <w:r>
        <w:rPr/>
        <w:t>“</w:t>
      </w:r>
      <w:r>
        <w:rPr>
          <w:rFonts w:ascii="Times New Roman" w:hAnsi="Times New Roman"/>
          <w:i/>
          <w:sz w:val="20"/>
        </w:rPr>
        <w:t>Net Cash Proceeds</w:t>
      </w:r>
      <w:r>
        <w:rPr>
          <w:rFonts w:ascii="Times New Roman" w:hAnsi="Times New Roman"/>
          <w:sz w:val="20"/>
        </w:rPr>
        <w:t xml:space="preserve">,” with respect to any issuance or sale of Capital Stock, means the cash proceeds of such issuance or sale net of attorneys’ fees, accountants’ fees, underwriters’ or placement agents’ fees, discounts or commissions and brokerage, consultant and other fees and expenses actually incurred in connection with such issuance or sale and net of taxes paid or payable as a result thereof. </w:t>
      </w:r>
    </w:p>
    <w:p>
      <w:pPr>
        <w:pStyle w:val="TextBody"/>
        <w:bidi w:val="0"/>
        <w:spacing w:before="240" w:after="0"/>
        <w:jc w:val="left"/>
        <w:rPr/>
      </w:pPr>
      <w:r>
        <w:rPr/>
        <w:t>“</w:t>
      </w:r>
      <w:r>
        <w:rPr>
          <w:rFonts w:ascii="Times New Roman" w:hAnsi="Times New Roman"/>
          <w:i/>
          <w:sz w:val="20"/>
        </w:rPr>
        <w:t>Notes</w:t>
      </w:r>
      <w:r>
        <w:rPr>
          <w:rFonts w:ascii="Times New Roman" w:hAnsi="Times New Roman"/>
          <w:sz w:val="20"/>
        </w:rPr>
        <w:t xml:space="preserve">” means the Initial Notes and more particularly means any Note authenticated and delivered under this Indenture. For all purposes of this Indenture, the term “Notes” shall also include any Additional Notes that may be issued under a supplemental indenture and Notes to be issued or authenticated upon transfer, replacement or exchange of Notes. </w:t>
      </w:r>
    </w:p>
    <w:p>
      <w:pPr>
        <w:pStyle w:val="TextBody"/>
        <w:bidi w:val="0"/>
        <w:spacing w:before="240" w:after="0"/>
        <w:jc w:val="left"/>
        <w:rPr/>
      </w:pPr>
      <w:r>
        <w:rPr/>
        <w:t>“</w:t>
      </w:r>
      <w:r>
        <w:rPr>
          <w:rFonts w:ascii="Times New Roman" w:hAnsi="Times New Roman"/>
          <w:i/>
          <w:sz w:val="20"/>
        </w:rPr>
        <w:t>Offering Memorandum</w:t>
      </w:r>
      <w:r>
        <w:rPr>
          <w:rFonts w:ascii="Times New Roman" w:hAnsi="Times New Roman"/>
          <w:sz w:val="20"/>
        </w:rPr>
        <w:t xml:space="preserve">” means the offering memorandum dated March 11, 2026 related to the offer and sale of the Initial Notes.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chairman of the Board of Directors, the chief executive officer, the president, the chief financial officer, any executive vice president, senior vice president or vice president, the treasurer or any assistant treasurer or the secretary or any assistant secretary of the Company.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on behalf of the Company by an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Opinion of Counsel</w:t>
      </w:r>
      <w:r>
        <w:rPr>
          <w:rFonts w:ascii="Times New Roman" w:hAnsi="Times New Roman"/>
          <w:sz w:val="20"/>
        </w:rPr>
        <w:t xml:space="preserve">” means a written opinion signed by legal counsel, who may be an employee of or counsel to the Company, such opinion shall be reasonably satisfactory to the Trustee.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joint venture, association, joint-stock company,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i/>
          <w:sz w:val="20"/>
        </w:rPr>
        <w:t>Preferred Stock</w:t>
      </w:r>
      <w:r>
        <w:rPr>
          <w:rFonts w:ascii="Times New Roman" w:hAnsi="Times New Roman"/>
          <w:sz w:val="20"/>
        </w:rPr>
        <w:t xml:space="preserve">,” as applied to the Capital Stock of any corporation, means Capital Stock of any class or classes (however designated) which is preferred as to the payment of dividends, or as to the distributions of assets upon any voluntary or involuntary liquidation or dissolution of such corporation, over shares of capital of any other class of such corporation. </w:t>
      </w:r>
    </w:p>
    <w:p>
      <w:pPr>
        <w:pStyle w:val="TextBody"/>
        <w:bidi w:val="0"/>
        <w:spacing w:before="240" w:after="0"/>
        <w:jc w:val="left"/>
        <w:rPr/>
      </w:pPr>
      <w:r>
        <w:rPr/>
        <w:t>“</w:t>
      </w:r>
      <w:r>
        <w:rPr>
          <w:rFonts w:ascii="Times New Roman" w:hAnsi="Times New Roman"/>
          <w:i/>
          <w:sz w:val="20"/>
        </w:rPr>
        <w:t>principal</w:t>
      </w:r>
      <w:r>
        <w:rPr>
          <w:rFonts w:ascii="Times New Roman" w:hAnsi="Times New Roman"/>
          <w:sz w:val="20"/>
        </w:rPr>
        <w:t xml:space="preserve">” of a Note means the principal of the Note </w:t>
      </w:r>
      <w:r>
        <w:rPr>
          <w:rFonts w:ascii="Times New Roman" w:hAnsi="Times New Roman"/>
          <w:i/>
          <w:sz w:val="20"/>
        </w:rPr>
        <w:t>plus</w:t>
      </w:r>
      <w:r>
        <w:rPr>
          <w:rFonts w:ascii="Times New Roman" w:hAnsi="Times New Roman"/>
          <w:sz w:val="20"/>
        </w:rPr>
        <w:t xml:space="preserve"> the premium, if any, payable on the Note which is due or overdue or is to become due at the relevant time. </w:t>
      </w:r>
    </w:p>
    <w:p>
      <w:pPr>
        <w:pStyle w:val="TextBody"/>
        <w:bidi w:val="0"/>
        <w:spacing w:before="240" w:after="0"/>
        <w:jc w:val="left"/>
        <w:rPr/>
      </w:pPr>
      <w:r>
        <w:rPr/>
        <w:t>“</w:t>
      </w:r>
      <w:r>
        <w:rPr>
          <w:rFonts w:ascii="Times New Roman" w:hAnsi="Times New Roman"/>
          <w:i/>
          <w:sz w:val="20"/>
        </w:rPr>
        <w:t>Property</w:t>
      </w:r>
      <w:r>
        <w:rPr>
          <w:rFonts w:ascii="Times New Roman" w:hAnsi="Times New Roman"/>
          <w:sz w:val="20"/>
        </w:rPr>
        <w:t xml:space="preserve">” means any property or asset, whether real, personal or mixed, including current assets, but excluding deposit or other control accounts, owned on the Issue Date or thereafter acquired by the Company or any Subsidiary of the Company. </w:t>
      </w:r>
    </w:p>
    <w:p>
      <w:pPr>
        <w:pStyle w:val="TextBody"/>
        <w:bidi w:val="0"/>
        <w:spacing w:before="240" w:after="0"/>
        <w:jc w:val="left"/>
        <w:rPr/>
      </w:pPr>
      <w:r>
        <w:rPr/>
        <w:t>“</w:t>
      </w:r>
      <w:r>
        <w:rPr>
          <w:rFonts w:ascii="Times New Roman" w:hAnsi="Times New Roman"/>
          <w:i/>
          <w:sz w:val="20"/>
        </w:rPr>
        <w:t>Rating Agencies</w:t>
      </w:r>
      <w:r>
        <w:rPr>
          <w:rFonts w:ascii="Times New Roman" w:hAnsi="Times New Roman"/>
          <w:sz w:val="20"/>
        </w:rPr>
        <w:t xml:space="preserve">” means Standard and Poor’s Ratings Group, Moody’s Investors Service, Inc. and Fitch Ratings Inc. or any successor to the respective rating agency business thereof. </w:t>
      </w:r>
    </w:p>
    <w:p>
      <w:pPr>
        <w:pStyle w:val="TextBody"/>
        <w:bidi w:val="0"/>
        <w:spacing w:before="240" w:after="0"/>
        <w:jc w:val="left"/>
        <w:rPr/>
      </w:pPr>
      <w:r>
        <w:rPr/>
        <w:t>“</w:t>
      </w:r>
      <w:r>
        <w:rPr>
          <w:rFonts w:ascii="Times New Roman" w:hAnsi="Times New Roman"/>
          <w:i/>
          <w:sz w:val="20"/>
        </w:rPr>
        <w:t>Rating Event</w:t>
      </w:r>
      <w:r>
        <w:rPr>
          <w:rFonts w:ascii="Times New Roman" w:hAnsi="Times New Roman"/>
          <w:sz w:val="20"/>
        </w:rPr>
        <w:t xml:space="preserve">” means (1) the rating of the Notes are lowered by at least two of the Rating Agencies and (2) the Notes are rated below an Investment Grade Rating by at least two of the Rating Agencies, on any day during the period (which period will be extended so long as the rating of the Notes is under publicly announced consideration for a possible downgrade by any of the Rating Agencies) commencing 60 days prior to the first public announcement of the occurrence of a Change of Control or the intentions of the Company to effect a Change of Control and ending 60 days following the consummation of such Change of Control. </w:t>
      </w:r>
    </w:p>
    <w:p>
      <w:pPr>
        <w:pStyle w:val="TextBody"/>
        <w:bidi w:val="0"/>
        <w:spacing w:before="240" w:after="0"/>
        <w:jc w:val="left"/>
        <w:rPr/>
      </w:pPr>
      <w:r>
        <w:rPr/>
        <w:t>“</w:t>
      </w:r>
      <w:r>
        <w:rPr>
          <w:rFonts w:ascii="Times New Roman" w:hAnsi="Times New Roman"/>
          <w:i/>
          <w:sz w:val="20"/>
        </w:rPr>
        <w:t>Record Date</w:t>
      </w:r>
      <w:r>
        <w:rPr>
          <w:rFonts w:ascii="Times New Roman" w:hAnsi="Times New Roman"/>
          <w:sz w:val="20"/>
        </w:rPr>
        <w:t xml:space="preserve">” for the interest payable on any applicable Interest Payment Date means the March 1 or September 1 (whether or not a Business Day) next preceding such Interest Payment Date.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when used with respect to the Trustee, any officer within the corporate trust department of the Trustee having direct responsibility for the administration of this Indenture, or any other officer to whom any corporate trust matter is referred because of such officer’s knowledge of and familiarity with the particular subject. </w:t>
      </w:r>
    </w:p>
    <w:p>
      <w:pPr>
        <w:pStyle w:val="TextBody"/>
        <w:bidi w:val="0"/>
        <w:spacing w:before="240" w:after="0"/>
        <w:jc w:val="left"/>
        <w:rPr/>
      </w:pPr>
      <w:r>
        <w:rPr/>
        <w:t>“</w:t>
      </w:r>
      <w:r>
        <w:rPr>
          <w:rFonts w:ascii="Times New Roman" w:hAnsi="Times New Roman"/>
          <w:i/>
          <w:sz w:val="20"/>
        </w:rPr>
        <w:t>Sale/Leaseback Transaction</w:t>
      </w:r>
      <w:r>
        <w:rPr>
          <w:rFonts w:ascii="Times New Roman" w:hAnsi="Times New Roman"/>
          <w:sz w:val="20"/>
        </w:rPr>
        <w:t xml:space="preserve">” means an arrangement relating to a Property owned by the Company or a Subsidiary of the Company on the Issue Date or thereafter acquired by the Company or a Subsidiary of the Company whereby the Company or a Subsidiary of the Company transfers such Property to a Person and the Company or the Subsidiary of the Company leases it from such Person.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i/>
          <w:sz w:val="20"/>
        </w:rPr>
        <w:t>Significant Domestic Subsidiary</w:t>
      </w:r>
      <w:r>
        <w:rPr>
          <w:rFonts w:ascii="Times New Roman" w:hAnsi="Times New Roman"/>
          <w:sz w:val="20"/>
        </w:rPr>
        <w:t xml:space="preserve">” means any Domestic Subsidiary of the Company, as of the last day of the fiscal quarter of the Company most recently ended for which financial statements are available, that is a Significant Subsidiary. </w:t>
      </w:r>
    </w:p>
    <w:p>
      <w:pPr>
        <w:pStyle w:val="TextBody"/>
        <w:bidi w:val="0"/>
        <w:spacing w:before="240" w:after="0"/>
        <w:jc w:val="left"/>
        <w:rPr/>
      </w:pPr>
      <w:r>
        <w:rPr/>
        <w:t>“</w:t>
      </w:r>
      <w:r>
        <w:rPr>
          <w:rFonts w:ascii="Times New Roman" w:hAnsi="Times New Roman"/>
          <w:i/>
          <w:sz w:val="20"/>
        </w:rPr>
        <w:t>Significant Subsidiary</w:t>
      </w:r>
      <w:r>
        <w:rPr>
          <w:rFonts w:ascii="Times New Roman" w:hAnsi="Times New Roman"/>
          <w:sz w:val="20"/>
        </w:rPr>
        <w:t xml:space="preserve">” means any Subsidiary of the Company that would be a “significant subsidiary” of the Company within the meaning of Rule 1-02 under Regulation S-X promulgated by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Stated Maturity</w:t>
      </w:r>
      <w:r>
        <w:rPr>
          <w:rFonts w:ascii="Times New Roman" w:hAnsi="Times New Roman"/>
          <w:sz w:val="20"/>
        </w:rPr>
        <w:t xml:space="preserve">” means, with respect to any security, the date specified in such security as the fixed date on which the final payment of principal of such security is due and payable, including pursuant to any mandatory redemption provision (but excluding any provision providing for the repurchase of such security at the option of the holder thereof upon the happening of any contingency unless such contingency has occurred).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any corporation, association, partnership, limited liability company or other business entity of which more than 50% of the total voting power of shares of Voting Stock is at the time owned or controlled, directly or indirectly,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and one or more Subsidiaries of such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Subsidiaries of such Person. </w:t>
            </w:r>
          </w:p>
        </w:tc>
      </w:tr>
    </w:tbl>
    <w:p>
      <w:pPr>
        <w:pStyle w:val="TextBody"/>
        <w:bidi w:val="0"/>
        <w:spacing w:before="240" w:after="0"/>
        <w:jc w:val="left"/>
        <w:rPr/>
      </w:pPr>
      <w:r>
        <w:rPr/>
        <w:t>“</w:t>
      </w:r>
      <w:r>
        <w:rPr>
          <w:rFonts w:ascii="Times New Roman" w:hAnsi="Times New Roman"/>
          <w:i/>
          <w:sz w:val="20"/>
        </w:rPr>
        <w:t>Transfer Restricted Notes</w:t>
      </w:r>
      <w:r>
        <w:rPr>
          <w:rFonts w:ascii="Times New Roman" w:hAnsi="Times New Roman"/>
          <w:sz w:val="20"/>
        </w:rPr>
        <w:t xml:space="preserve">” means Definitive Notes and any other Notes that bear or are required to bear the Restricted Notes Legend. </w:t>
      </w:r>
    </w:p>
    <w:p>
      <w:pPr>
        <w:pStyle w:val="TextBody"/>
        <w:bidi w:val="0"/>
        <w:spacing w:before="240" w:after="0"/>
        <w:jc w:val="left"/>
        <w:rPr/>
      </w:pPr>
      <w:r>
        <w:rPr/>
        <w:t>“</w:t>
      </w:r>
      <w:r>
        <w:rPr>
          <w:rFonts w:ascii="Times New Roman" w:hAnsi="Times New Roman"/>
          <w:i/>
          <w:sz w:val="20"/>
        </w:rPr>
        <w:t>Trust Indenture Act</w:t>
      </w:r>
      <w:r>
        <w:rPr>
          <w:rFonts w:ascii="Times New Roman" w:hAnsi="Times New Roman"/>
          <w:sz w:val="20"/>
        </w:rPr>
        <w:t>” or “</w:t>
      </w:r>
      <w:r>
        <w:rPr>
          <w:rFonts w:ascii="Times New Roman" w:hAnsi="Times New Roman"/>
          <w:i/>
          <w:sz w:val="20"/>
        </w:rPr>
        <w:t>TIA</w:t>
      </w:r>
      <w:r>
        <w:rPr>
          <w:rFonts w:ascii="Times New Roman" w:hAnsi="Times New Roman"/>
          <w:sz w:val="20"/>
        </w:rPr>
        <w:t xml:space="preserve">” means the Trust Indenture Act of 1939, as in effect on the Issue Date and, as amended.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means U.S. Bank Trust Company, National Association, as trustee, until a successor replaces it in accordance with the applicable provisions of this Indenture and thereafter means the successor serving hereunder.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 Person means all classes of Capital Stock or other interests (including partnership interests) of such Person then outstanding and normally entitled (without regard to the occurrence of any contingency) to vote in the election of directors, managers or trustees thereof (or the controlling managing member or general partner,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9"/>
        <w:gridCol w:w="122"/>
        <w:gridCol w:w="4954"/>
      </w:tblGrid>
      <w:tr>
        <w:trPr/>
        <w:tc>
          <w:tcPr>
            <w:tcW w:w="51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54" w:type="dxa"/>
            <w:tcBorders/>
            <w:vAlign w:val="center"/>
          </w:tcPr>
          <w:p>
            <w:pPr>
              <w:pStyle w:val="TableContents"/>
              <w:bidi w:val="0"/>
              <w:spacing w:before="0" w:after="283"/>
              <w:jc w:val="left"/>
              <w:rPr>
                <w:sz w:val="4"/>
                <w:szCs w:val="4"/>
              </w:rPr>
            </w:pPr>
            <w:r>
              <w:rPr>
                <w:sz w:val="4"/>
                <w:szCs w:val="4"/>
              </w:rPr>
            </w:r>
          </w:p>
        </w:tc>
      </w:tr>
      <w:tr>
        <w:trPr/>
        <w:tc>
          <w:tcPr>
            <w:tcW w:w="51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w:t>
            </w:r>
          </w:p>
        </w:tc>
        <w:tc>
          <w:tcPr>
            <w:tcW w:w="122" w:type="dxa"/>
            <w:tcBorders/>
            <w:vAlign w:val="bottom"/>
          </w:tcPr>
          <w:p>
            <w:pPr>
              <w:pStyle w:val="TableContents"/>
              <w:bidi w:val="0"/>
              <w:spacing w:before="0" w:after="283"/>
              <w:jc w:val="left"/>
              <w:rPr/>
            </w:pPr>
            <w:r>
              <w:rPr/>
              <w:t>  </w:t>
            </w:r>
          </w:p>
        </w:tc>
        <w:tc>
          <w:tcPr>
            <w:tcW w:w="49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Defined in Section</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Agent Members</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2.1(c)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Applicable Procedures</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1.1(a)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Authentication Order</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2.02(c)</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Change of Control Offer</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4.10(c)</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Clearstream</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1.1(a)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Covenant Defeasance</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8.03</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Debt</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4.08(a)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Definitive Notes Legend</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2.2(e)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Distribution Compliance Period</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1.1(a)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Euroclear</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1.1(a)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Event of Default</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6.01(a)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Expiration Date</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1.04(j)</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Global Note</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2.1(b)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Global Notes Legend</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2.2(e)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Guaranteed Obligations</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10.01(a)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IAI</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1.1(a)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IAI Global Note</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2.1(b)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Legal Defeasance</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8.02(a)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Note Register</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2.03(a)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Paying Agent</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2.03(a)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QIB</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1.1(a)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Registrar</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2.03(a)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Regulation S</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1.1(a) of Appendix A</w:t>
            </w:r>
          </w:p>
        </w:tc>
      </w:tr>
      <w:tr>
        <w:trPr/>
        <w:tc>
          <w:tcPr>
            <w:tcW w:w="5129" w:type="dxa"/>
            <w:tcBorders/>
            <w:vAlign w:val="bottom"/>
          </w:tcPr>
          <w:p>
            <w:pPr>
              <w:pStyle w:val="TableContents"/>
              <w:bidi w:val="0"/>
              <w:spacing w:before="0" w:after="0"/>
              <w:jc w:val="left"/>
              <w:rPr/>
            </w:pPr>
            <w:r>
              <w:rPr/>
              <w:t>“</w:t>
            </w:r>
            <w:r>
              <w:rPr>
                <w:rFonts w:ascii="Times New Roman" w:hAnsi="Times New Roman"/>
                <w:i/>
                <w:sz w:val="20"/>
              </w:rPr>
              <w:t>Regulation S Global Note</w:t>
            </w:r>
            <w:r>
              <w:rPr>
                <w:rFonts w:ascii="Times New Roman" w:hAnsi="Times New Roman"/>
                <w:sz w:val="20"/>
              </w:rPr>
              <w:t>”</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center"/>
              <w:rPr/>
            </w:pPr>
            <w:r>
              <w:rPr/>
              <w:t>2.1(b) of Appendix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93"/>
        <w:gridCol w:w="123"/>
        <w:gridCol w:w="4889"/>
      </w:tblGrid>
      <w:tr>
        <w:trPr/>
        <w:tc>
          <w:tcPr>
            <w:tcW w:w="519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89" w:type="dxa"/>
            <w:tcBorders/>
            <w:vAlign w:val="center"/>
          </w:tcPr>
          <w:p>
            <w:pPr>
              <w:pStyle w:val="TableContents"/>
              <w:bidi w:val="0"/>
              <w:spacing w:before="0" w:after="283"/>
              <w:jc w:val="left"/>
              <w:rPr>
                <w:sz w:val="4"/>
                <w:szCs w:val="4"/>
              </w:rPr>
            </w:pPr>
            <w:r>
              <w:rPr>
                <w:sz w:val="4"/>
                <w:szCs w:val="4"/>
              </w:rPr>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Regulation S Legend</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2.2(e) of Appendix A</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Regulation S Notes</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2.1(a) of Appendix A</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Related Proceedings</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12.20</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Restricted Notes Legend</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2.2(e) of Appendix A</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Rule 144</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1.1(a) of Appendix A</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Rule 144A</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1.1(a) of Appendix A</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Rule 144A Global Note</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2.1(b) of Appendix A</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Rule 144A Notes</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2.1(a) of Appendix A</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Specified Courts</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12.20</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Subsidiary Debt</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4.12(a)</w:t>
            </w:r>
          </w:p>
        </w:tc>
      </w:tr>
      <w:tr>
        <w:trPr/>
        <w:tc>
          <w:tcPr>
            <w:tcW w:w="5193" w:type="dxa"/>
            <w:tcBorders/>
            <w:vAlign w:val="bottom"/>
          </w:tcPr>
          <w:p>
            <w:pPr>
              <w:pStyle w:val="TableContents"/>
              <w:bidi w:val="0"/>
              <w:spacing w:before="0" w:after="0"/>
              <w:jc w:val="left"/>
              <w:rPr/>
            </w:pPr>
            <w:r>
              <w:rPr/>
              <w:t>“</w:t>
            </w:r>
            <w:r>
              <w:rPr>
                <w:rFonts w:ascii="Times New Roman" w:hAnsi="Times New Roman"/>
                <w:i/>
                <w:sz w:val="20"/>
              </w:rPr>
              <w:t>Unrestricted Global Note</w:t>
            </w:r>
            <w:r>
              <w:rPr>
                <w:rFonts w:ascii="Times New Roman" w:hAnsi="Times New Roman"/>
                <w:sz w:val="20"/>
              </w:rPr>
              <w:t>”</w:t>
            </w:r>
          </w:p>
        </w:tc>
        <w:tc>
          <w:tcPr>
            <w:tcW w:w="123" w:type="dxa"/>
            <w:tcBorders/>
            <w:vAlign w:val="bottom"/>
          </w:tcPr>
          <w:p>
            <w:pPr>
              <w:pStyle w:val="TableContents"/>
              <w:bidi w:val="0"/>
              <w:spacing w:before="0" w:after="283"/>
              <w:jc w:val="left"/>
              <w:rPr/>
            </w:pPr>
            <w:r>
              <w:rPr/>
              <w:t>  </w:t>
            </w:r>
          </w:p>
        </w:tc>
        <w:tc>
          <w:tcPr>
            <w:tcW w:w="4889" w:type="dxa"/>
            <w:tcBorders/>
            <w:vAlign w:val="bottom"/>
          </w:tcPr>
          <w:p>
            <w:pPr>
              <w:pStyle w:val="TableContents"/>
              <w:bidi w:val="0"/>
              <w:spacing w:before="0" w:after="283"/>
              <w:jc w:val="center"/>
              <w:rPr/>
            </w:pPr>
            <w:r>
              <w:rPr/>
              <w:t>1.1(a) of Appendix A</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(1)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(2)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(3) words in the singular include the plural, and words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(4) unless the context otherwise requires, any reference to an “Appendix,” “Article,” “Section,” “clause,” “Schedule” or “Exhibit” refers to an Appendix, Article, Section, clause, Schedule or Exhibit, as the case may be,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(5) the words “herein,” “hereof” and other words of similar import refer to this Indenture as a whole and not any particular Article, Section, clause or other subdivision; </w:t>
      </w:r>
    </w:p>
    <w:p>
      <w:pPr>
        <w:pStyle w:val="TextBody"/>
        <w:bidi w:val="0"/>
        <w:spacing w:before="120" w:after="0"/>
        <w:jc w:val="left"/>
        <w:rPr>
          <w:rFonts w:ascii="Times New Roman" w:hAnsi="Times New Roman"/>
          <w:sz w:val="20"/>
        </w:rPr>
      </w:pPr>
      <w:r>
        <w:rPr>
          <w:rFonts w:ascii="Times New Roman" w:hAnsi="Times New Roman"/>
          <w:sz w:val="20"/>
        </w:rPr>
        <w:t xml:space="preserve">(6) “including” means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(7) references to sections of, or rules under, the Securities Act, the Exchange Act or the Trust Indenture Act shall be deemed to include substitute, replacement or successor sections or rules adopted by the SEC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(8) unless otherwise provided, references to agreements and other instruments shall be deemed to include all amendments and other modifications to such agreements or instruments, but only to the extent such amendments and other modifications are not prohibited by the terms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(9) in the event that a transaction meets the criteria of more than one category of permitted transactions or listed exceptions, the Company may classify such transaction as it, in its sole discretion, determines.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Acts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Company and the Guarantors. Proof of execution of any such instrument or of a writing appointing any such agent, or the holding by any Person of a Note, shall be sufficient for any purpose of this Indenture and (subject to Section 7.01) conclusive in favor of the Trustee, the Company and the Guarantors, if made in the manner provided in this Section 1.04.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(1) by the affidavit of a witness of such execution or by the certificate of any notary public or other officer authorized by law to take acknowledgments of deeds, certifying that the individual signing such instrument or writing acknowledged to him the execution thereof or (2) in any other manner deemed reasonably sufficient by the Trustee.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 </w:t>
      </w:r>
    </w:p>
    <w:p>
      <w:pPr>
        <w:pStyle w:val="TextBody"/>
        <w:bidi w:val="0"/>
        <w:spacing w:before="120" w:after="0"/>
        <w:jc w:val="left"/>
        <w:rPr>
          <w:rFonts w:ascii="Times New Roman" w:hAnsi="Times New Roman"/>
          <w:sz w:val="20"/>
        </w:rPr>
      </w:pPr>
      <w:r>
        <w:rPr>
          <w:rFonts w:ascii="Times New Roman" w:hAnsi="Times New Roman"/>
          <w:sz w:val="20"/>
        </w:rPr>
        <w:t xml:space="preserve">(c) The ownership of Notes shall be proved by the Note Register or by a certificate of the Registrar. </w:t>
      </w:r>
    </w:p>
    <w:p>
      <w:pPr>
        <w:pStyle w:val="TextBody"/>
        <w:bidi w:val="0"/>
        <w:spacing w:before="120" w:after="0"/>
        <w:jc w:val="left"/>
        <w:rPr>
          <w:rFonts w:ascii="Times New Roman" w:hAnsi="Times New Roman"/>
          <w:sz w:val="20"/>
        </w:rPr>
      </w:pPr>
      <w:r>
        <w:rPr>
          <w:rFonts w:ascii="Times New Roman" w:hAnsi="Times New Roman"/>
          <w:sz w:val="20"/>
        </w:rPr>
        <w:t xml:space="preserve">(d) Any request, demand, authorization, direction, notice, consent, waiver or other action by the holder of any Note shall bind every future holder of the same debt as evidenced by such Note and the holder of every Note issued upon the registration of transfer thereof or in exchange therefor or in lieu thereof, in respect of any action taken, suffered or omitted by the Trustee, the Company or the Guarantors in reliance thereon, whether or not notation of such action is made upon such Note. </w:t>
      </w:r>
    </w:p>
    <w:p>
      <w:pPr>
        <w:pStyle w:val="TextBody"/>
        <w:bidi w:val="0"/>
        <w:spacing w:before="120" w:after="0"/>
        <w:jc w:val="left"/>
        <w:rPr>
          <w:rFonts w:ascii="Times New Roman" w:hAnsi="Times New Roman"/>
          <w:sz w:val="20"/>
        </w:rPr>
      </w:pPr>
      <w:r>
        <w:rPr>
          <w:rFonts w:ascii="Times New Roman" w:hAnsi="Times New Roman"/>
          <w:sz w:val="20"/>
        </w:rPr>
        <w:t xml:space="preserve">(e) The Company may, but is not obligated to, set a record date for purposes of determining the identity of holders entitled to make, give or take any request, demand, authorization, direction, notice, consent, waiver or other action provided in this Indenture to be made, or to vote on or consent to any action authorized or permitted to be taken by holders; </w:t>
      </w:r>
      <w:r>
        <w:rPr>
          <w:rFonts w:ascii="Times New Roman" w:hAnsi="Times New Roman"/>
          <w:i/>
          <w:sz w:val="20"/>
        </w:rPr>
        <w:t>provided</w:t>
      </w:r>
      <w:r>
        <w:rPr>
          <w:rFonts w:ascii="Times New Roman" w:hAnsi="Times New Roman"/>
          <w:sz w:val="20"/>
        </w:rPr>
        <w:t xml:space="preserve"> that the Company may not set a record date for, and the provisions of this paragraph shall not apply with respect to, the giving or making of any notice, declaration, request or direction referred to in clause (f) below. Unless otherwise specified, if not set by the Company prior to the first solicitation of a holder made by any Person in respect of any such action, or in the case of any such vote, prior to such vote, any such record date shall be the later of 15 days prior to the first solicitation of such consent or vote or the date of the most recent list of holders furnished to the Trustee prior to such solicitation or vote. If any record date is set pursuant to this clause (e), the holders on such record date, and only such holders, shall be entitled to make, give or take such request, demand, authorization, direction, notice, consent, waiver or other action (including revocation of any action), whether or not such holders remain holders after such record date; </w:t>
      </w:r>
      <w:r>
        <w:rPr>
          <w:rFonts w:ascii="Times New Roman" w:hAnsi="Times New Roman"/>
          <w:i/>
          <w:sz w:val="20"/>
        </w:rPr>
        <w:t>provided</w:t>
      </w:r>
      <w:r>
        <w:rPr>
          <w:rFonts w:ascii="Times New Roman" w:hAnsi="Times New Roman"/>
          <w:sz w:val="20"/>
        </w:rPr>
        <w:t xml:space="preserve"> that no such action shall be effective hereunder unless made, given or taken on or prior to the applicable Expiration Date by holders of the requisite principal amount of Notes, or each affected holder, as applicable, on such record date. Promptly after any record date is set pursuant to this paragraph, the Company, at its own expense, shall cause notice of such record date, the proposed action by holders and the applicable Expiration Date to be given to the Trustee in writing and to each holder in the manner set forth in Section 12.02. </w:t>
      </w:r>
    </w:p>
    <w:p>
      <w:pPr>
        <w:pStyle w:val="TextBody"/>
        <w:bidi w:val="0"/>
        <w:spacing w:before="120" w:after="0"/>
        <w:jc w:val="left"/>
        <w:rPr>
          <w:rFonts w:ascii="Times New Roman" w:hAnsi="Times New Roman"/>
          <w:sz w:val="20"/>
        </w:rPr>
      </w:pPr>
      <w:r>
        <w:rPr>
          <w:rFonts w:ascii="Times New Roman" w:hAnsi="Times New Roman"/>
          <w:sz w:val="20"/>
        </w:rPr>
        <w:t xml:space="preserve">(f) During the continuance of an Event of Default, the Trustee may set any day as a record date. If any record date is set pursuant to this paragraph, the holders on such record date, and no other holders, shall be entitled to join in such notice, declaration, request or direction, whether or not such holders remain holders after such record date; </w:t>
      </w:r>
      <w:r>
        <w:rPr>
          <w:rFonts w:ascii="Times New Roman" w:hAnsi="Times New Roman"/>
          <w:i/>
          <w:sz w:val="20"/>
        </w:rPr>
        <w:t>provided</w:t>
      </w:r>
      <w:r>
        <w:rPr>
          <w:rFonts w:ascii="Times New Roman" w:hAnsi="Times New Roman"/>
          <w:sz w:val="20"/>
        </w:rPr>
        <w:t xml:space="preserve"> that no such action shall be effective hereunder unless made, given or taken on or prior to the applicable Expiration Date by holders of the requisite principal amount of Notes or each affected holder, as applicable, on such record date. Promptly after any record date is set pursuant to this paragraph, the Trustee, at the Company’s expense, shall cause notice of such record date, the proposed action by holders and the applicable Expiration Date to be given to the Company and to each holder in the manner set forth in Section 12.02. </w:t>
      </w:r>
    </w:p>
    <w:p>
      <w:pPr>
        <w:pStyle w:val="TextBody"/>
        <w:bidi w:val="0"/>
        <w:spacing w:before="120" w:after="0"/>
        <w:jc w:val="left"/>
        <w:rPr>
          <w:rFonts w:ascii="Times New Roman" w:hAnsi="Times New Roman"/>
          <w:sz w:val="20"/>
        </w:rPr>
      </w:pPr>
      <w:r>
        <w:rPr>
          <w:rFonts w:ascii="Times New Roman" w:hAnsi="Times New Roman"/>
          <w:sz w:val="20"/>
        </w:rPr>
        <w:t xml:space="preserve">(g) 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 </w:t>
      </w:r>
    </w:p>
    <w:p>
      <w:pPr>
        <w:pStyle w:val="TextBody"/>
        <w:bidi w:val="0"/>
        <w:spacing w:before="120" w:after="0"/>
        <w:jc w:val="left"/>
        <w:rPr>
          <w:rFonts w:ascii="Times New Roman" w:hAnsi="Times New Roman"/>
          <w:sz w:val="20"/>
        </w:rPr>
      </w:pPr>
      <w:r>
        <w:rPr>
          <w:rFonts w:ascii="Times New Roman" w:hAnsi="Times New Roman"/>
          <w:sz w:val="20"/>
        </w:rPr>
        <w:t xml:space="preserve">(h) 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Subject to clause (f) above, the Company may, but is not obligated to,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Times New Roman" w:hAnsi="Times New Roman"/>
          <w:i/>
          <w:sz w:val="20"/>
        </w:rPr>
        <w:t>provided</w:t>
      </w:r>
      <w:r>
        <w:rPr>
          <w:rFonts w:ascii="Times New Roman" w:hAnsi="Times New Roman"/>
          <w:sz w:val="20"/>
        </w:rPr>
        <w:t xml:space="preserve"> that if such a record date is fixed, only the beneficial owners of interests in such Global Note on such record date or their duly appointed proxy or proxies shall be entitled to make, give or take such request, demand, authorization, direction, notice, consent, waiver or other action, whether or not such beneficial owners remain beneficial owners of interests in such Global Note after such record date. No such request, demand, authorization, direction, notice, consent, waiver or other action shall be effective hereunder unless made, given or taken on or prior to the applicable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(j) With respect to any record date set pursuant to this Section 1.04, the party hereto that sets such record date may designate any day as the “Expiration Date” and from time to time may change the Expiration Date to any earlier or later day; </w:t>
      </w:r>
      <w:r>
        <w:rPr>
          <w:rFonts w:ascii="Times New Roman" w:hAnsi="Times New Roman"/>
          <w:i/>
          <w:sz w:val="20"/>
        </w:rPr>
        <w:t>provided</w:t>
      </w:r>
      <w:r>
        <w:rPr>
          <w:rFonts w:ascii="Times New Roman" w:hAnsi="Times New Roman"/>
          <w:sz w:val="20"/>
        </w:rPr>
        <w:t xml:space="preserve"> that no such change shall be effective unless notice of the proposed new Expiration Date is given to the other party hereto in writing, and to each holder of Notes in the manner set forth in Section 12.02, on or prior to both the existing and the new Expiration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Expiration Date shall be later than the 90th day after the relevant record date. If an Expiration Date is not designated with respect to any record date set pursuant to this Section 1.04, the party hereto which set such record date shall be deemed to have designated the 90th day after such record date as the Expiration Date with respect thereto, subject to its right to change the Expiration Date as provided in this clause (j).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240" w:after="0"/>
        <w:jc w:val="center"/>
        <w:rPr>
          <w:rFonts w:ascii="Times New Roman" w:hAnsi="Times New Roman"/>
          <w:sz w:val="20"/>
        </w:rPr>
      </w:pPr>
      <w:r>
        <w:rPr>
          <w:rFonts w:ascii="Times New Roman" w:hAnsi="Times New Roman"/>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 and Dating;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Provisions relating to the Initial Notes, Additional Notes and any other Notes issued under this Indenture are set forth in Appendix A, which is hereby incorporated in and expressly made a part of this Indenture. The Notes and the Trustee’s certificate of authentication shall each be substantially in the form of Exhibit A hereto, which is hereby incorporated in and expressly made a part of this Indenture. The Notes may have notations, legends or endorsements required by law, rules or agreements with national securities exchanges to which the Company or any Guarantor is subject, if any, or usage (</w:t>
      </w:r>
      <w:r>
        <w:rPr>
          <w:rFonts w:ascii="Times New Roman" w:hAnsi="Times New Roman"/>
          <w:i/>
          <w:sz w:val="20"/>
        </w:rPr>
        <w:t>provided</w:t>
      </w:r>
      <w:r>
        <w:rPr>
          <w:rFonts w:ascii="Times New Roman" w:hAnsi="Times New Roman"/>
          <w:sz w:val="20"/>
        </w:rPr>
        <w:t xml:space="preserve"> that any such notation, legend or endorsement is in a form acceptable to the Company). Each Note shall be dated the date of its authentication. The Notes shall be in denominations of $2,000 and integral multiples of $1,000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principal amount of Notes that may be authenticated and delivered under this Indenture is unlimited. The Initial Notes will be issued in an aggregate principal amount of up to $1,000.0 million.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Notes shall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The Notes shall be subject to repurchase by the Company pursuant to a Change of Control Offer as provided in Section 4.10, and otherwise as not prohibited by this Indenture. The Notes shall not be redeemable, other than as provided in Article 3. </w:t>
      </w:r>
    </w:p>
    <w:p>
      <w:pPr>
        <w:pStyle w:val="TextBody"/>
        <w:bidi w:val="0"/>
        <w:spacing w:before="240" w:after="0"/>
        <w:jc w:val="left"/>
        <w:rPr>
          <w:rFonts w:ascii="Times New Roman" w:hAnsi="Times New Roman"/>
          <w:sz w:val="20"/>
        </w:rPr>
      </w:pPr>
      <w:r>
        <w:rPr>
          <w:rFonts w:ascii="Times New Roman" w:hAnsi="Times New Roman"/>
          <w:sz w:val="20"/>
        </w:rPr>
        <w:t xml:space="preserve">Additional Notes may be created and issued from time to time by the Company without notice to or consent of the holders and shall be consolidated with and form a single class with the Initial Notes and shall have the same terms as to status, redemption or otherwise (other than issue date, issue price and, if applicable, the first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Date and the first date from which interest will accrue) as the Initial Notes; </w:t>
      </w:r>
      <w:r>
        <w:rPr>
          <w:rFonts w:ascii="Times New Roman" w:hAnsi="Times New Roman"/>
          <w:i/>
          <w:sz w:val="20"/>
        </w:rPr>
        <w:t>provided</w:t>
      </w:r>
      <w:r>
        <w:rPr>
          <w:rFonts w:ascii="Times New Roman" w:hAnsi="Times New Roman"/>
          <w:sz w:val="20"/>
        </w:rPr>
        <w:t xml:space="preserve"> that if any such Additional Notes are not fungible with the Initial Notes for U.S. federal income tax purposes, such Additional Notes will have one or more separate CUSIP numbers. Any Additional Notes shall be issued with the benefit of an indenture supplemental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least one Officer shall execute the Notes on behalf of the Company by manual or facsimile signature. If an Officer whose signature is on a Note no longer holds that office at the time a Note is authenticated, the Note shall nevertheless be valid. </w:t>
      </w:r>
    </w:p>
    <w:p>
      <w:pPr>
        <w:pStyle w:val="TextBody"/>
        <w:bidi w:val="0"/>
        <w:spacing w:before="120" w:after="0"/>
        <w:jc w:val="left"/>
        <w:rPr>
          <w:rFonts w:ascii="Times New Roman" w:hAnsi="Times New Roman"/>
          <w:sz w:val="20"/>
        </w:rPr>
      </w:pPr>
      <w:r>
        <w:rPr>
          <w:rFonts w:ascii="Times New Roman" w:hAnsi="Times New Roman"/>
          <w:sz w:val="20"/>
        </w:rPr>
        <w:t xml:space="preserve">(b) A Note shall not be entitled to any benefit under this Indenture or be valid or obligatory for any purpose until authenticated substantially in the form of Exhibit A attached hereto by the manual signature of an authorized signatory of the Trustee. The signature shall be conclusive evidence that the Note has been duly authenticated and delivered under this Indenture. </w:t>
      </w:r>
    </w:p>
    <w:p>
      <w:pPr>
        <w:pStyle w:val="TextBody"/>
        <w:bidi w:val="0"/>
        <w:spacing w:before="120" w:after="0"/>
        <w:jc w:val="left"/>
        <w:rPr>
          <w:rFonts w:ascii="Times New Roman" w:hAnsi="Times New Roman"/>
          <w:sz w:val="20"/>
        </w:rPr>
      </w:pPr>
      <w:r>
        <w:rPr>
          <w:rFonts w:ascii="Times New Roman" w:hAnsi="Times New Roman"/>
          <w:sz w:val="20"/>
        </w:rPr>
        <w:t>(c) On the Issue Date, the Trustee shall, upon receipt of a written order of the Company signed by an Officer (an “</w:t>
      </w:r>
      <w:r>
        <w:rPr>
          <w:rFonts w:ascii="Times New Roman" w:hAnsi="Times New Roman"/>
          <w:i/>
          <w:sz w:val="20"/>
        </w:rPr>
        <w:t>Authentication Order</w:t>
      </w:r>
      <w:r>
        <w:rPr>
          <w:rFonts w:ascii="Times New Roman" w:hAnsi="Times New Roman"/>
          <w:sz w:val="20"/>
        </w:rPr>
        <w:t xml:space="preserve">”), authenticate and deliver the Initial Notes; </w:t>
      </w:r>
      <w:r>
        <w:rPr>
          <w:rFonts w:ascii="Times New Roman" w:hAnsi="Times New Roman"/>
          <w:i/>
          <w:sz w:val="20"/>
        </w:rPr>
        <w:t>provided</w:t>
      </w:r>
      <w:r>
        <w:rPr>
          <w:rFonts w:ascii="Times New Roman" w:hAnsi="Times New Roman"/>
          <w:sz w:val="20"/>
        </w:rPr>
        <w:t xml:space="preserve"> that the Trustee shall be entitled to receive an Officer’s Certificate and an Opinion of Counsel of the Company addressing such matters as the Trustee may reasonably request in connection with such authentication of such Notes. In addition, at any time and from time to time, the Trustee shall, upon receipt of an Authentication Order, authenticate and deliver any Additional Notes in an aggregate principal amount specified in such Authentication Order for such Additional Notes issued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the Company or an Affiliate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The Trustee shall authenticate and make available for delivery upon a written order of the Company signed by one Officer of the Company (a) Initial Notes for original issue on the Issue Date in an aggregate principal amount of $1,000,000,000, (b) Additional Notes and (c) any other Unrestricted Global Notes issued in exchange for any of the foregoing in accordance with this Indenture. Such order shall specify the amount of the Notes to be authenticated, the date on which the original issue of Notes is to be authenticated, whether the Notes are to be Initial Notes, Additional Notes or other Unrestricted Global Notes and other information the Company may determine to include or the Trustee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Registrar and Paying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shall maintain an office or agency where Notes may be presented for registration of transfer or for exchange (“</w:t>
      </w:r>
      <w:r>
        <w:rPr>
          <w:rFonts w:ascii="Times New Roman" w:hAnsi="Times New Roman"/>
          <w:i/>
          <w:sz w:val="20"/>
        </w:rPr>
        <w:t>Registrar</w:t>
      </w:r>
      <w:r>
        <w:rPr>
          <w:rFonts w:ascii="Times New Roman" w:hAnsi="Times New Roman"/>
          <w:sz w:val="20"/>
        </w:rPr>
        <w:t>”) and at least one office or agency where Notes may be presented for payment (“</w:t>
      </w:r>
      <w:r>
        <w:rPr>
          <w:rFonts w:ascii="Times New Roman" w:hAnsi="Times New Roman"/>
          <w:i/>
          <w:sz w:val="20"/>
        </w:rPr>
        <w:t>Paying Agent</w:t>
      </w:r>
      <w:r>
        <w:rPr>
          <w:rFonts w:ascii="Times New Roman" w:hAnsi="Times New Roman"/>
          <w:sz w:val="20"/>
        </w:rPr>
        <w:t>”). The Registrar shall keep a register of the Notes (“</w:t>
      </w:r>
      <w:r>
        <w:rPr>
          <w:rFonts w:ascii="Times New Roman" w:hAnsi="Times New Roman"/>
          <w:i/>
          <w:sz w:val="20"/>
        </w:rPr>
        <w:t>Note Register</w:t>
      </w:r>
      <w:r>
        <w:rPr>
          <w:rFonts w:ascii="Times New Roman" w:hAnsi="Times New Roman"/>
          <w:sz w:val="20"/>
        </w:rPr>
        <w:t xml:space="preserve">”)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prior notice to any holder.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 </w:t>
      </w:r>
    </w:p>
    <w:p>
      <w:pPr>
        <w:pStyle w:val="TextBody"/>
        <w:bidi w:val="0"/>
        <w:spacing w:before="120" w:after="0"/>
        <w:jc w:val="left"/>
        <w:rPr>
          <w:rFonts w:ascii="Times New Roman" w:hAnsi="Times New Roman"/>
          <w:sz w:val="20"/>
        </w:rPr>
      </w:pPr>
      <w:r>
        <w:rPr>
          <w:rFonts w:ascii="Times New Roman" w:hAnsi="Times New Roman"/>
          <w:sz w:val="20"/>
        </w:rPr>
        <w:t xml:space="preserve">(b) The Company initially appoints DTC to act as Depositary with respect to the Global Notes. The Company initially appoints the Trustee to act as Paying Agent and Registrar for the Notes and to act as Custodian with respect to the Global Notes. The Company has entered into a letter of representations with DTC in the form provided by DTC and the Trustee and each Agent are hereby authorized to act in accordance with such letter and Applicable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shall be responsible for making calculations called for under the Notes and this Indenture, including but not limited to determination of interest, redemption price, Applicable Premium, premium, if any, and any additional amounts or other amounts payable on the Notes. The Company will make the calculations in good faith and, absent manifest error, its calculations will be final and binding on the holders. The Trustee is entitled to rely conclusively on the accuracy of the Company’s calculations without independent verification.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Paying Agent to Hold Money in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 later than 12:00 p.m. (noon), Central time, on each due date for the payment of principal, premium (if any) and interest on any of the Notes, deposit with a Paying Agent a sum sufficient to pay such amount, such sum to be held in trust for the holders entitled to the same, and (unless such Paying Agent is the Trustee) the Company shall promptly notify the Trustee of its action or failure so to act. The Company shall require each Paying Agent other than the Trustee to agree in writing that such Paying Agent shall hold in trust for the benefit of holders or the Trustee all money held by such Paying Agent for the payment of principal, premium (if any) and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a Paying Agent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Holder Lists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all holders and shall otherwise comply with Trust Indenture Act Section 312(b). If the Trustee is not the Registrar, the Registrar shall, upon request by the Company, furnish to the Trustee at least two Business Days before each Interest Payment Date and at such other times as the Trustee may request in writing, a list in such form and as of such date as the Trustee may reasonably require of the names and addresses of the holders. The Company shall otherwise comply with Trust Indenture Act Section 312(a).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Notes shall be issued in registered form and shall be transferable only upon the surrender of a Note for registration of transfer and in compliance with Appendix A. </w:t>
      </w:r>
    </w:p>
    <w:p>
      <w:pPr>
        <w:pStyle w:val="TextBody"/>
        <w:bidi w:val="0"/>
        <w:spacing w:before="120" w:after="0"/>
        <w:jc w:val="left"/>
        <w:rPr>
          <w:rFonts w:ascii="Times New Roman" w:hAnsi="Times New Roman"/>
          <w:sz w:val="20"/>
        </w:rPr>
      </w:pPr>
      <w:r>
        <w:rPr>
          <w:rFonts w:ascii="Times New Roman" w:hAnsi="Times New Roman"/>
          <w:sz w:val="20"/>
        </w:rPr>
        <w:t xml:space="preserve">(b) To permit registrations of transfers and exchanges, the Company shall execute and the Trustee shall authenticate Global Notes and Definitive Notes upon receipt of an Authentication Order in accordance with Section 2.02 or at the Registrar’s request. </w:t>
      </w:r>
    </w:p>
    <w:p>
      <w:pPr>
        <w:pStyle w:val="TextBody"/>
        <w:bidi w:val="0"/>
        <w:spacing w:before="120" w:after="0"/>
        <w:jc w:val="left"/>
        <w:rPr>
          <w:rFonts w:ascii="Times New Roman" w:hAnsi="Times New Roman"/>
          <w:sz w:val="20"/>
        </w:rPr>
      </w:pPr>
      <w:r>
        <w:rPr>
          <w:rFonts w:ascii="Times New Roman" w:hAnsi="Times New Roman"/>
          <w:sz w:val="20"/>
        </w:rPr>
        <w:t xml:space="preserve">(c) No service charge shall be imposed in connection with any registration of transfer or exchange (other than pursuant to Section 2.07), but the holders shall be required to pay any transfer tax or similar governmental charge payable in connection therewith (other than any such transfer taxes or similar governmental charge payable upon exchange or transfer pursuant to Sections 2.10, 3.06 and 9.05). </w:t>
      </w:r>
    </w:p>
    <w:p>
      <w:pPr>
        <w:pStyle w:val="TextBody"/>
        <w:bidi w:val="0"/>
        <w:spacing w:before="120" w:after="0"/>
        <w:jc w:val="left"/>
        <w:rPr>
          <w:rFonts w:ascii="Times New Roman" w:hAnsi="Times New Roman"/>
          <w:sz w:val="20"/>
        </w:rPr>
      </w:pPr>
      <w:r>
        <w:rPr>
          <w:rFonts w:ascii="Times New Roman" w:hAnsi="Times New Roman"/>
          <w:sz w:val="20"/>
        </w:rPr>
        <w:t xml:space="preserve">(d) 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Company nor the Registrar shall be required (1) to issue, to register the transfer of or to exchange any Note during a period beginning at the opening of business 15 days before the day of any selection of Notes for redemption under Section 3.02 and ending at the close of business on the day of selection, (2) to register the transfer of or to exchange any Note so selected for redemption, or tendered for repurchase (and not withdrawn) in connection with a Change of Control Offer, in whole or in part, except the unredeemed or unpurchased portion of any Note being redeemed or repurchased in part or (3) to register the transfer of or to exchange any Note between a Record Date and the next succeeding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Prior to due presentment for the registration of a transfer of any Note, the Trustee, any Agent and the Company may deem and treat the Person in whose name any Note is registered as the absolute owner of such Note for the purpose of receiving payment of principal, premium (if any) and (subject to the Record Date provisions of the Notes) interest on such Notes and for all other purposes, and none of the Trustee, any Agent or the Company shall be affected by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(g) Upon surrender for registration of transfer of any Note at the office or agency of the Company designated pursuant to Section 4.02, the Company shall execute, and the Trustee shall authenticate and mail, in the name of the designated transferee or transferees, one or more replacement Notes of any authorized denomination or denominations of a like aggregate principal amount. </w:t>
      </w:r>
    </w:p>
    <w:p>
      <w:pPr>
        <w:pStyle w:val="TextBody"/>
        <w:bidi w:val="0"/>
        <w:spacing w:before="120" w:after="0"/>
        <w:jc w:val="left"/>
        <w:rPr>
          <w:rFonts w:ascii="Times New Roman" w:hAnsi="Times New Roman"/>
          <w:sz w:val="20"/>
        </w:rPr>
      </w:pPr>
      <w:r>
        <w:rPr>
          <w:rFonts w:ascii="Times New Roman" w:hAnsi="Times New Roman"/>
          <w:sz w:val="20"/>
        </w:rPr>
        <w:t xml:space="preserve">(h) 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Company shall execute, and the Trustee shall authenticate and mail, the replacement Global Notes and Definitive Notes which the holder making the exchange is entitled to in accordance with the provisions of Appendix A.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Replacement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mutilated Note is surrendered to the Trustee or if a holder claims that its Note has been lost, destroyed or wrongfully taken and the Trustee receives evidence to its satisfaction of the ownership and loss, destruction or theft of such Note, the Company shall issue and the Trustee, upon receipt of an Authentication Order, shall authenticate a replacement Note if the Trustee’s requirements are otherwise met. If required by the Trustee or the Company, an indemnity bond must be provided by the holder that is sufficient in the judgment of the Trustee and the Company to protect the Company, the Trustee, any Agent and any authenticating agent from any loss that any of them may suffer if a Note is replaced. The Company may charge the holder for the expenses of the Company and the Trustee in replacing a Note. Every replacement Note is a contractual obligation of the Company and shall be entitled to all of the benefits of this Indenture equally and proportionately with all other Notes duly issued hereunder. Notwithstanding the foregoing provisions of this Section 2.07, in case any mutilated, lost, destroyed or wrongfully taken Note has become or is about to become due and payable, the Company in its discretion may, instead of issuing a new Note, pay such Note.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Outstanding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 </w:t>
      </w:r>
      <w:r>
        <w:rPr>
          <w:rFonts w:ascii="Times New Roman" w:hAnsi="Times New Roman"/>
          <w:i/>
          <w:sz w:val="20"/>
        </w:rPr>
        <w:t>provided</w:t>
      </w:r>
      <w:r>
        <w:rPr>
          <w:rFonts w:ascii="Times New Roman" w:hAnsi="Times New Roman"/>
          <w:sz w:val="20"/>
        </w:rPr>
        <w:t xml:space="preserve"> that Notes held by the Company or a Subsidiary of the Company will not be deemed to be outstanding for purposes of Section 3.07(b). </w:t>
      </w:r>
    </w:p>
    <w:p>
      <w:pPr>
        <w:pStyle w:val="TextBody"/>
        <w:bidi w:val="0"/>
        <w:spacing w:before="120" w:after="0"/>
        <w:jc w:val="left"/>
        <w:rPr>
          <w:rFonts w:ascii="Times New Roman" w:hAnsi="Times New Roman"/>
          <w:sz w:val="20"/>
        </w:rPr>
      </w:pPr>
      <w:r>
        <w:rPr>
          <w:rFonts w:ascii="Times New Roman" w:hAnsi="Times New Roman"/>
          <w:sz w:val="20"/>
        </w:rPr>
        <w:t xml:space="preserve">(b) If a Note is replaced pursuant to Section 2.07, it ceases to be outstanding unless the Trustee receives proof satisfactory to it that the replaced Note is held by a bona fide protected purchaser, as such term is defined in Section 8-303 of the Uniform Commercial Code in effect in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(c) On or after the maturity date or any redemption date or date for purchase of the Notes pursuant to a Change of Control Offer, those Notes payable or to be redeemed or purchased on that date for which the Trustee (or Paying Agent, other than the Company or an Affiliate of the Company) holds money sufficient to pay all amounts then due will cease to be outstanding for all purposes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(d) If a Paying Agent (other than the Company, a Subsidiary or an Affiliate of any thereof) holds, on the maturity date, any redemption date or any date of purchase pursuant to a Change of Control Offer, money sufficient to pay Notes payable or to be redeemed or purchased on that date, then on and after that date such Notes shall be deemed to be no longer outstanding and shall cease to accrue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Treasury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requisite principal amount of Notes have concurred in any direction, waiver or consent, Notes beneficially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Company or any obligor upon the Notes or any Affiliate of the Company or of such other obligor.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Temporary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and as shall be reasonably acceptable to the Trustee. Without unreasonable delay, the Company shall prepare and the Trustee shall authenticate definitive Notes in exchange for temporary Notes. Upon surrender for cancellation of any temporary Notes the Company will execute and the Trustee will authenticate and deliver in exchange therefor a like principal amount of definitive Notes of authorized denominations. Holders and beneficial holders, as the case may be, of temporary Notes shall be entitled to all of the benefits accorded to holders, or beneficial holders, respectively, of Notes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Cancellation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in accordance with its customary procedures (subject to the record retention requirement of the Exchange Act). Certification of the cancellation of all cancelled Notes shall, upon the written request of the Company, be delivered to the Company. The Company may not issue new Notes to replace Notes that it has paid or that have been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Defaulted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Company defaults in a payment of interest on the Notes under Section 4.01 of this Indenture, it shall pay the defaulted interest in any lawful manner </w:t>
      </w:r>
      <w:r>
        <w:rPr>
          <w:rFonts w:ascii="Times New Roman" w:hAnsi="Times New Roman"/>
          <w:i/>
          <w:sz w:val="20"/>
        </w:rPr>
        <w:t>plus</w:t>
      </w:r>
      <w:r>
        <w:rPr>
          <w:rFonts w:ascii="Times New Roman" w:hAnsi="Times New Roman"/>
          <w:sz w:val="20"/>
        </w:rPr>
        <w:t xml:space="preserve">, to the extent lawful, interest payable on the defaulted interest, to the Persons who are holders on a subsequent special record date, in each case at the rate provided in the Notes and in Section 4.01. The Company shall notify the Trustee in writing of the amount of defaulted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each such special record date and payment date; </w:t>
      </w:r>
      <w:r>
        <w:rPr>
          <w:rFonts w:ascii="Times New Roman" w:hAnsi="Times New Roman"/>
          <w:i/>
          <w:sz w:val="20"/>
        </w:rPr>
        <w:t>provided</w:t>
      </w:r>
      <w:r>
        <w:rPr>
          <w:rFonts w:ascii="Times New Roman" w:hAnsi="Times New Roman"/>
          <w:sz w:val="20"/>
        </w:rPr>
        <w:t xml:space="preserve"> that no such special record date shall be less than 10 days prior to the related payment date for such defaulted interest. The Trustee shall promptly notify the Company of such special record date. At least 15 days before the special record date, the Company (or, upon the written request of the Company, the Trustee in the name and at the expense of the Company) shall mail or deliver by electronic transmission in accordance with the applicable procedures of the Depositary, or cause to be mailed or delivered by electronic transmission in accordance with the applicable procedures of the Depositary to each holder a notice that states the special record date, the related payment date and the amount of such interest to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foregoing provisions of this Section 2.12, each Note delivered under this Indenture upon registration of transfer of or in exchange for or in lieu of any other Note shall carry the rights to interest accrued and unpaid, and to accrue interest, which were carried by such other Note.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CUSIP and ISIN Numbers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Notes may use CUSIP or ISIN numbers (if then generally in use) and, if so, the Trustee may use CUSIP or ISIN numbers in notices as a convenience to holders; </w:t>
      </w:r>
      <w:r>
        <w:rPr>
          <w:rFonts w:ascii="Times New Roman" w:hAnsi="Times New Roman"/>
          <w:i/>
          <w:sz w:val="20"/>
        </w:rPr>
        <w:t>provided</w:t>
      </w:r>
      <w:r>
        <w:rPr>
          <w:rFonts w:ascii="Times New Roman" w:hAnsi="Times New Roman"/>
          <w:sz w:val="20"/>
        </w:rPr>
        <w:t xml:space="preserve"> that any such notice may state that no representation is made as to the correctness of such numbers either as printed on the Notes or as contained in any notice and that reliance may be placed only on the other identification numbers printed on the Notes, and any such notice shall not be affected by any defect in or omission of such numbers. The Company shall promptly notify the Trustee in writing of any change in the CUSIP or ISIN numbers.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24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Notices to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elects to redeem Notes pursuant to Section 3.07, it shall furnish to the Trustee, at least three Business Days before notice of redemption is required to be mailed or sent to holders pursuant to Section 3.03 but not more than 60 days before a redemption date (unless a shorter notice shall be agreed to by the Trustee), an Officer’s Certificate setting forth (1) the redemption date, (2) the principal amount of the Notes to be redeemed and (3) the redemption price, if then ascertainable. If the redemption price is not known at the time such notice is to be given, the actual redemption price calculated as described in the terms of the Notes will be set forth in an Officer’s Certificate delivered to the Trustee no later than two Business Days prior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Selection of Notes to Be Redeemed or Purchased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Company is redeeming less than all the Notes at any time, the Trustee shall select the Notes on a pro rata basis by lot or by such other method as the Trustee deems to be fair and appropriate;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Global Notes will be selected in accordance with the applicable procedures of DTC. In the event of partial redemption or purchase by lot, the particular Notes to be redeemed or purchased shall be selected, unless otherwise provided herein, not less than 15 nor more than 45 days prior to the redemption date by the Trustee from the then outstanding Notes not previously called for redemption or purchase.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promptly notify the Company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thereof. Except as provided in the preceding sentence, provisions of this Indenture that apply to Notes called for redemption or purchase also apply to portions of Notes called for redemption or purchase. </w:t>
      </w:r>
    </w:p>
    <w:p>
      <w:pPr>
        <w:pStyle w:val="TextBody"/>
        <w:bidi w:val="0"/>
        <w:spacing w:before="240" w:after="0"/>
        <w:jc w:val="left"/>
        <w:rPr>
          <w:rFonts w:ascii="Times New Roman" w:hAnsi="Times New Roman"/>
          <w:sz w:val="20"/>
        </w:rPr>
      </w:pPr>
      <w:r>
        <w:rPr>
          <w:rFonts w:ascii="Times New Roman" w:hAnsi="Times New Roman"/>
          <w:sz w:val="20"/>
        </w:rPr>
        <w:t xml:space="preserve">(c) After the redemption date or purchase date, upon surrender of a Note to be redeemed or purchased in part only, a new Note or Notes in principal amount equal to the unredeemed or unpurchased portion of the original Note, representing the same Debt to the extent not redeemed or not purchased, shall be issued in the name of the holder of the Notes upon cancellation of the original Note (or appropriate book entries shall be made to reflect such partial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mail or deliver by electronic transmission in accordance with the applicable procedures of the Depositary, or cause to be mailed (or delivered by electronic transmission in accordance with the applicable procedures of the Depositary) notices of redemption of Notes not less than 15 days but not more than 45 days before the redemption date to each holder whose Notes are to be redeemed pursuant to this Article 3 at such holder’s registered address or otherwise in accordance with the applicable procedures of the Depositary, except that redemption notices may be mailed or sent more than 45 days prior to a redemption date if the notice is issued in connection with Article 8 or Article 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notice shall identify the Notes to be redeemed (including CUSIP and ISIN number, if applicable)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price, including the portion thereof representing any accrued and unpaid interest; </w:t>
      </w:r>
      <w:r>
        <w:rPr>
          <w:rFonts w:ascii="Times New Roman" w:hAnsi="Times New Roman"/>
          <w:i/>
          <w:sz w:val="20"/>
        </w:rPr>
        <w:t>provided</w:t>
      </w:r>
      <w:r>
        <w:rPr>
          <w:rFonts w:ascii="Times New Roman" w:hAnsi="Times New Roman"/>
          <w:sz w:val="20"/>
        </w:rPr>
        <w:t xml:space="preserve"> that in connection with a redemption under Section 3.07(a), the notice need not set forth the redemption price but only the manner of calculation thereof; </w:t>
      </w:r>
    </w:p>
    <w:p>
      <w:pPr>
        <w:pStyle w:val="TextBody"/>
        <w:bidi w:val="0"/>
        <w:spacing w:before="120" w:after="0"/>
        <w:jc w:val="left"/>
        <w:rPr>
          <w:rFonts w:ascii="Times New Roman" w:hAnsi="Times New Roman"/>
          <w:sz w:val="20"/>
        </w:rPr>
      </w:pPr>
      <w:r>
        <w:rPr>
          <w:rFonts w:ascii="Times New Roman" w:hAnsi="Times New Roman"/>
          <w:sz w:val="20"/>
        </w:rPr>
        <w:t xml:space="preserve">(3) if any Note is to be redeemed in part only, the portion of the principal amount of that Note that is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(4)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(5) that Notes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(6) that, unless the Company defaults in making such redemption payment, interest on Notes called for redemption ceases to accrue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(7) the paragraph or subparagraph of the Notes or Section of this Indenture pursuant to which the Notes called for redemption are being redeemed; </w:t>
      </w:r>
    </w:p>
    <w:p>
      <w:pPr>
        <w:pStyle w:val="TextBody"/>
        <w:bidi w:val="0"/>
        <w:spacing w:before="120" w:after="0"/>
        <w:jc w:val="left"/>
        <w:rPr>
          <w:rFonts w:ascii="Times New Roman" w:hAnsi="Times New Roman"/>
          <w:sz w:val="20"/>
        </w:rPr>
      </w:pPr>
      <w:r>
        <w:rPr>
          <w:rFonts w:ascii="Times New Roman" w:hAnsi="Times New Roman"/>
          <w:sz w:val="20"/>
        </w:rPr>
        <w:t xml:space="preserve">(8) that no representation is made as to the correctness or accuracy of the CUSIP or ISIN number, if any, listed in such notice or printed on the Notes; and </w:t>
      </w:r>
    </w:p>
    <w:p>
      <w:pPr>
        <w:pStyle w:val="TextBody"/>
        <w:bidi w:val="0"/>
        <w:spacing w:before="120" w:after="0"/>
        <w:jc w:val="left"/>
        <w:rPr>
          <w:rFonts w:ascii="Times New Roman" w:hAnsi="Times New Roman"/>
          <w:sz w:val="20"/>
        </w:rPr>
      </w:pPr>
      <w:r>
        <w:rPr>
          <w:rFonts w:ascii="Times New Roman" w:hAnsi="Times New Roman"/>
          <w:sz w:val="20"/>
        </w:rPr>
        <w:t xml:space="preserve">(9) if applicable, any condition to such redemption. </w:t>
      </w:r>
    </w:p>
    <w:p>
      <w:pPr>
        <w:pStyle w:val="TextBody"/>
        <w:bidi w:val="0"/>
        <w:spacing w:before="120" w:after="0"/>
        <w:jc w:val="left"/>
        <w:rPr>
          <w:rFonts w:ascii="Times New Roman" w:hAnsi="Times New Roman"/>
          <w:sz w:val="20"/>
        </w:rPr>
      </w:pPr>
      <w:r>
        <w:rPr>
          <w:rFonts w:ascii="Times New Roman" w:hAnsi="Times New Roman"/>
          <w:sz w:val="20"/>
        </w:rPr>
        <w:t xml:space="preserve">(c) At the Company’s request, the Trustee shall give the notice of redemption in the Company’s name and at the Company’s expense; </w:t>
      </w:r>
      <w:r>
        <w:rPr>
          <w:rFonts w:ascii="Times New Roman" w:hAnsi="Times New Roman"/>
          <w:i/>
          <w:sz w:val="20"/>
        </w:rPr>
        <w:t>provided</w:t>
      </w:r>
      <w:r>
        <w:rPr>
          <w:rFonts w:ascii="Times New Roman" w:hAnsi="Times New Roman"/>
          <w:sz w:val="20"/>
        </w:rPr>
        <w:t xml:space="preserve"> that the Company shall have delivered to the Trustee, at least three Business Days before notice of redemption is required to be sent or caused to be sent to holders pursuant to this Section 3.03 (unless a shorter notice shall be agreed to by the Trustee), an Officer’s Certificate requesting that the Trustee give such notice and setting forth the notice to be given as an exhibit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clause (b) below, notice of redemption is mailed or sent in accordance with Section 3.03, Notes called for redemption shall become irrevocably due and payable on the redemption date at the redemption price. The notice, if mailed or delivered by electronic transmission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on and after the redemption date, interest ceases to accrue on Notes or portions of Notes called for redemption, unless subject to a condition precedent that has not been satisfied. If any such condition precedent has not been satisfied, the Company shall provide written notice to the Trustee prior to the close of business two Business days prior to the redemption date. Upon receipt of such notice, the notice of redemption shall be rescinded and the redemption of the notes shall not occur. Upon receipt, the Trustee shall provide such notice to each holder of the Notes in the same manner in which the notice of redemption was given. </w:t>
      </w:r>
    </w:p>
    <w:p>
      <w:pPr>
        <w:pStyle w:val="TextBody"/>
        <w:bidi w:val="0"/>
        <w:spacing w:before="120" w:after="0"/>
        <w:jc w:val="left"/>
        <w:rPr>
          <w:rFonts w:ascii="Times New Roman" w:hAnsi="Times New Roman"/>
          <w:sz w:val="20"/>
        </w:rPr>
      </w:pPr>
      <w:r>
        <w:rPr>
          <w:rFonts w:ascii="Times New Roman" w:hAnsi="Times New Roman"/>
          <w:sz w:val="20"/>
        </w:rPr>
        <w:t xml:space="preserve">(b) In addition, if such redemption is subject to one or more conditions precedent, such notice shall describe each such condition and, if applicable, shall state that in the Company’s discretion, the redemption date may be delayed until such time (including more than 60 days after the date the notice of redemption was mailed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delivered, including by electronic transmission) as any or all such conditions shall be satisfied (or waived by the Company in its sole discretion), or such redemption may not occur and such notice may be rescinded in the event that any or all such conditions shall not have been satisfied by the redemption date, or by the redemption date as so delayed. The Company shall provide prompt written notice to the Trustee prior to the close of business two Business Days prior to the redemption date rescinding such redemption and notice of redemption shall be rescinded and of no force and effect. Upon receipt of such notice from the Company rescinding such redemption, the Trustee, upon written request of the Company, will promptly send a copy of such notice to the holders of the Notes to be redeemed in the same manner in which the notice of redemption was given.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Deposit of Redemption or Purchase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later than 12:00 p.m. (noon), Central time, on the redemption or purchase date (or such later time as such date to which the Trustee may reasonably agree), the Company shall deposit with the Trustee or with the Paying Agent money sufficient to pay the redemption or purchase price of and accrued and unpaid interest on all Notes to be redeemed or purchased on that date. If a Note is redeemed or purchased on or after a Record Date but on or prior to the related Interest Payment Date, then any accrued and unpaid interest shall be paid to the holder of record on such Record Date. The Paying Agent shall promptly mail to each holder whose Notes are to be redeemed or repurchased the applicable redemption or purchase price thereof and accrued and unpaid interest thereon. The Trustee or the Paying Agent shall promptly return to the Company any money deposited with the Trustee or the Paying Agent by the Company in excess of the amounts necessary to pay the redemption or purchase price of, and accrued and unpaid interest on, all Notes to be redeemed or purchased.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complies with the provisions of Section 3.05(a), on and after the redemption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or purchase date in respect of such Note will be paid on such redemption or purchase date to the Person in whose name such Note is registered at the close of business on such Record Date. If any Note called for redemption or purchase shall not be so paid upon surrender for redemption or purchase because of the failure of the Company to comply with Section 3.05(a),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Notes Redeemed or Purchased in Part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a Note that is redeemed or purchased in part, the Company shall issue and, upon receipt of an Authentication Order, the Trustee shall promptly authenticate and mail to the holder (or cause to be transferred by book entry) at the expense of the Company a new Note equal in principal amount to the unredeemed or unpurchased portion of the Note surrendered representing the same Debt to the extent not redeemed or purchased; </w:t>
      </w:r>
      <w:r>
        <w:rPr>
          <w:rFonts w:ascii="Times New Roman" w:hAnsi="Times New Roman"/>
          <w:i/>
          <w:sz w:val="20"/>
        </w:rPr>
        <w:t>provided</w:t>
      </w:r>
      <w:r>
        <w:rPr>
          <w:rFonts w:ascii="Times New Roman" w:hAnsi="Times New Roman"/>
          <w:sz w:val="20"/>
        </w:rPr>
        <w:t xml:space="preserve"> that each new Note shall be in a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Optional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March 15, 2029, the Company will be entitled, at its option, to redeem all or a portion of the Notes at a redemption price equal to 100% of the principal amount of the Notes </w:t>
      </w:r>
      <w:r>
        <w:rPr>
          <w:rFonts w:ascii="Times New Roman" w:hAnsi="Times New Roman"/>
          <w:i/>
          <w:sz w:val="20"/>
        </w:rPr>
        <w:t>plus</w:t>
      </w:r>
      <w:r>
        <w:rPr>
          <w:rFonts w:ascii="Times New Roman" w:hAnsi="Times New Roman"/>
          <w:sz w:val="20"/>
        </w:rPr>
        <w:t xml:space="preserve"> the Applicable Premium as of, and accrued and unpaid interest, if any, to, but excluding, the redemption date. Notice of such redemption must be mailed by first-class mail (or delivered by electronic transmission in accordance with the applicable procedures of DTC) to each holder’s registered address, not less than 15 nor more than 45 days prior to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In addition, on or after March 15, 2029, the Company may redeem the Notes in whole or in part at a redemption price equal to the percentage of the principal amount set forth below, </w:t>
      </w:r>
      <w:r>
        <w:rPr>
          <w:rFonts w:ascii="Times New Roman" w:hAnsi="Times New Roman"/>
          <w:i/>
          <w:sz w:val="20"/>
        </w:rPr>
        <w:t>plus</w:t>
      </w:r>
      <w:r>
        <w:rPr>
          <w:rFonts w:ascii="Times New Roman" w:hAnsi="Times New Roman"/>
          <w:sz w:val="20"/>
        </w:rPr>
        <w:t xml:space="preserve"> accrued and unpaid interest, if any, on the Notes redeemed, to, but not including, the applicable redemption date, if redeemed during the twelve-month period beginning on March 15 of the year indicated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5045"/>
        <w:gridCol w:w="402"/>
        <w:gridCol w:w="79"/>
        <w:gridCol w:w="1133"/>
        <w:gridCol w:w="280"/>
      </w:tblGrid>
      <w:tr>
        <w:trPr/>
        <w:tc>
          <w:tcPr>
            <w:tcW w:w="504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402"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0" w:type="dxa"/>
            <w:tcBorders/>
            <w:vAlign w:val="bottom"/>
          </w:tcPr>
          <w:p>
            <w:pPr>
              <w:pStyle w:val="TableContents"/>
              <w:bidi w:val="0"/>
              <w:spacing w:before="0" w:after="283"/>
              <w:jc w:val="left"/>
              <w:rPr/>
            </w:pPr>
            <w:r>
              <w:rPr/>
              <w:t> </w:t>
            </w:r>
          </w:p>
        </w:tc>
      </w:tr>
      <w:tr>
        <w:trPr/>
        <w:tc>
          <w:tcPr>
            <w:tcW w:w="5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0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103.125</w:t>
            </w:r>
          </w:p>
        </w:tc>
        <w:tc>
          <w:tcPr>
            <w:tcW w:w="280" w:type="dxa"/>
            <w:tcBorders/>
            <w:shd w:fill="CCEEFF" w:val="clear"/>
            <w:vAlign w:val="bottom"/>
          </w:tcPr>
          <w:p>
            <w:pPr>
              <w:pStyle w:val="TableContents"/>
              <w:bidi w:val="0"/>
              <w:spacing w:before="0" w:after="283"/>
              <w:jc w:val="left"/>
              <w:rPr/>
            </w:pPr>
            <w:r>
              <w:rPr/>
              <w:t>% </w:t>
            </w:r>
          </w:p>
        </w:tc>
      </w:tr>
      <w:tr>
        <w:trPr/>
        <w:tc>
          <w:tcPr>
            <w:tcW w:w="5045"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0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101.563</w:t>
            </w:r>
          </w:p>
        </w:tc>
        <w:tc>
          <w:tcPr>
            <w:tcW w:w="280" w:type="dxa"/>
            <w:tcBorders/>
            <w:vAlign w:val="bottom"/>
          </w:tcPr>
          <w:p>
            <w:pPr>
              <w:pStyle w:val="TableContents"/>
              <w:bidi w:val="0"/>
              <w:spacing w:before="0" w:after="283"/>
              <w:jc w:val="left"/>
              <w:rPr/>
            </w:pPr>
            <w:r>
              <w:rPr/>
              <w:t>% </w:t>
            </w:r>
          </w:p>
        </w:tc>
      </w:tr>
      <w:tr>
        <w:trPr/>
        <w:tc>
          <w:tcPr>
            <w:tcW w:w="5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40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100.000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 In addition, at any time and from time to time prior to March 15, 2029, the Company may redeem Notes with the Net Cash Proceeds received by the Company from any Equity Offering at a redemption price equal to 106.250% of the principal amount of such Notes, </w:t>
      </w:r>
      <w:r>
        <w:rPr>
          <w:rFonts w:ascii="Times New Roman" w:hAnsi="Times New Roman"/>
          <w:i/>
          <w:sz w:val="20"/>
        </w:rPr>
        <w:t>plus</w:t>
      </w:r>
      <w:r>
        <w:rPr>
          <w:rFonts w:ascii="Times New Roman" w:hAnsi="Times New Roman"/>
          <w:sz w:val="20"/>
        </w:rPr>
        <w:t xml:space="preserve"> accrued and unpaid interest, if any, to, but excluding, the redemption date, in an aggregate principal amount for all such redemptions not to exceed 40% of the aggregate principal amount of the Notes issued under this Indenture on the Issue Date (together with Additional Notes, if any); </w:t>
      </w:r>
      <w:r>
        <w:rPr>
          <w:rFonts w:ascii="Times New Roman" w:hAnsi="Times New Roman"/>
          <w:i/>
          <w:sz w:val="20"/>
        </w:rPr>
        <w:t>provided</w:t>
      </w:r>
      <w:r>
        <w:rPr>
          <w:rFonts w:ascii="Times New Roman" w:hAnsi="Times New Roman"/>
          <w:sz w:val="20"/>
        </w:rPr>
        <w:t xml:space="preserve"> that (i) in each case the redemption takes place not later than 180 days after the closing of the related Equity Offering and (ii) not less than 60% of the aggregate principal amount of the then outstanding Notes issued under this Indenture remains outstanding immediately thereafter (including Additional Notes, if any, but excluding Notes held by the Company or any of its Affiliates) unless all such Notes are redeemed substantially concurrently. </w:t>
      </w:r>
    </w:p>
    <w:p>
      <w:pPr>
        <w:pStyle w:val="TextBody"/>
        <w:bidi w:val="0"/>
        <w:spacing w:before="120" w:after="0"/>
        <w:jc w:val="left"/>
        <w:rPr>
          <w:rFonts w:ascii="Times New Roman" w:hAnsi="Times New Roman"/>
          <w:sz w:val="20"/>
        </w:rPr>
      </w:pPr>
      <w:r>
        <w:rPr>
          <w:rFonts w:ascii="Times New Roman" w:hAnsi="Times New Roman"/>
          <w:sz w:val="20"/>
        </w:rPr>
        <w:t xml:space="preserve">(d) Any redemption pursuant to this Section 3.07 shall be made pursuant to the provisions of Sections 3.01 through 3.06. </w:t>
      </w:r>
    </w:p>
    <w:p>
      <w:pPr>
        <w:pStyle w:val="TextBody"/>
        <w:bidi w:val="0"/>
        <w:spacing w:before="120" w:after="0"/>
        <w:jc w:val="left"/>
        <w:rPr>
          <w:rFonts w:ascii="Times New Roman" w:hAnsi="Times New Roman"/>
          <w:sz w:val="20"/>
        </w:rPr>
      </w:pPr>
      <w:r>
        <w:rPr>
          <w:rFonts w:ascii="Times New Roman" w:hAnsi="Times New Roman"/>
          <w:sz w:val="20"/>
        </w:rPr>
        <w:t xml:space="preserve">(e) If the optional redemption date is on or after a Record Date but on or prior to the related Interest Payment Date, then any accrued and unpaid interest in respect of Notes subject to redemption will be paid on the redemption date to the Person in whose name the Note is registered at the close of business, on such Record Date, and no additional interest will be payable to holders whose Notes will be subject to redemption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Mandatory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be required to make mandatory redemption or sinking fund payments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Notice in Connection with a Transaction or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Notice of any redemption of the Notes in connection with a transaction or an event (including a Change of Control Triggering Event) may, at the Company’s discretion, be given prior to the completion or the occurrence thereof and any such redemption or notice may, at the Company’s discretion, be subject to one or more conditions precedent, including, but not limited to, completion or occurrence of the related transaction or event.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24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Payment of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pay, or cause to be paid, the principal, premium (if any) and interest on the Notes on the dates and in the manner provided in the Notes. Principal, premium (if any) and interest shall be considered paid on the date due if the Paying Agent, if other than the Company or a Subsidiary, holds as of 12:00 p.m. (noon), Central time, on the due date money deposited by the Company in immediately available funds and designated for and sufficient to pay the principal premium (if any) and interest then due.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(c) Payments in respect of the Notes represented by the Global Notes are to be made by wire transfer of immediately available funds to the accounts specified by the holders of the Global Notes. With respect to Certificated Notes, the Company will make all payments by wire transfer of immediately available funds to the accounts specified by the holders thereof or, if no such account is specified, by mailing a check to each holder’s registered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maintain an office or agency (which may be an office of the Trustee or an affiliate of the Trustee, Registrar or co-registrar) where Notes may be surrendered for registration of transfer or for exchange and where notices and demands to or upon the Company and the Guarantors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additional offices or agencies where the Notes may be presented or surrendered for any or all such purposes and may from time to time rescind such designations. The Company shall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designates the Corporate Trust Office of the Trustee as one such office or agency of the Company in accordance with Section 2.03.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and shall cause each of its Significant Subsidiaries to pay, prior to delinquency, all material taxes, assessments and governmental levies except such as are being contested in good faith and for which appropriate reserves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Stay, Extension and Usury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each Guarantor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Guarantor (to the extent that it may lawfully do so) hereby expressly waives all benefit or advantage of any such law, and covenant that it shall not, by resort to any such law, hinder, delay or impede the execution of any power herein granted to the Trustee, but shall suffer and permit the execution of every such power as though no such law has been enacted.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Corporate Existence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Article 5 (including any action permitted by Section 5.01), the Company shall do or cause to be done all things necessary to preserve and keep in full force and effect (1) its corporate existence and the corporate, partnership, limited liability company or other existence of each of its Significant Subsidiaries, in accordance with the respective organizational documents (as the same may be amended from time to time) of the Company or any Significant Subsidiary and (2) the material rights (charter and statutory), licenses and franchises of the Company and its Significant Subsidiaries; </w:t>
      </w:r>
      <w:r>
        <w:rPr>
          <w:rFonts w:ascii="Times New Roman" w:hAnsi="Times New Roman"/>
          <w:i/>
          <w:sz w:val="20"/>
        </w:rPr>
        <w:t>provided</w:t>
      </w:r>
      <w:r>
        <w:rPr>
          <w:rFonts w:ascii="Times New Roman" w:hAnsi="Times New Roman"/>
          <w:sz w:val="20"/>
        </w:rPr>
        <w:t xml:space="preserve"> that the Company shall not be required to preserve any such right, license or franchise, or the corporate, partnership, limited liability company or other existence of any of its Significant Subsidiaries, if the Company in good faith shall determine that the preservation thereof is no longer desirable in the conduct of the business of the Company and its Significant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SEC Reports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that the Company may not be subject to the reporting requirements of Sections 13 or 15(d) of the Exchange Act, the Company shall file with the SEC and make available to the Trustee and noteholders within 15 days after the Company would be required to file with the SEC such annual reports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information, documents and other reports as are specified in Sections 13 and 15(d) of the Exchange Act (assuming the Company is a non-accelerated filer in the event that the Company is not subject to the reporting requirements of Sections 13 or 15(d) of the Exchange Act) and applicable to a U.S. corporation subject to such Sections;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so obligated to file such reports with the SEC if the SEC does not permit such filing, in which event the Company will make available such information to the Trustee and noteholders within 15 days after the time the Company would be required to file such information with the SEC if it were subject to Sections 13 or 15(d) of the Exchange Act;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reports will not be required to contain the separate financial information contemplated by Rule 3-10 or Rule 3-16 under Regulation S-X promulgated by the SEC (or any successor provision).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have no responsibility to ensure that such filing has occurred. Delivery of reports, information and documents to the Trustee is for informational purposes only and its receipt of such reports shall not constitute constructive notice of any information contained therein or determinable from information contained therein, including the Company’s compliance with any of the covenants under this Indenture or the Notes (as to which the Trustee is entitled to rely exclusively on Officer’s Certificates). The Company will be deemed to have furnished such reports referred to in this section to the Trustee and the noteholders if the Company has filed such reports with the SEC via the EDGAR filing system (or any successor system) or the Company’s website (in the event that the Company is not subject to the reporting requirements of Section 13 or 15(d) of the Exchange Act) and such reports are publicly available.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Compliance Certificate; Notice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deliver to the Trustee, within 120 days after the end of each fiscal year ending after the Issue Date, an Officer’s Certificate stating that a review of the activities of the Company and its Subsidiaries during the preceding fiscal year has been made under the supervision of the signing Officer, and further stating, as to such Officer signing such certificate, that to the best of his or her knowledge, the Company and each Guarantor have kept, observed, performed and fulfilled each covenant contained in this Indenture and is not in default in the performance or observance of any of the covenants of this Indenture (or, if a Default shall have occurred, describing all such Defaults of which he or she may have knowledge and what action the Company and each Guarantor are taking or propose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(b) When any Default has occurred and is continuing under this Indenture, the Company shall within five Business Days after the occurrence thereof send to the Trustee an Officer’s Certificate specifying such event, its status and what action the Company is taking or proposes to take with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Limitation on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shall not, and shall not permit any Subsidiary of the Company to, create, incur, issue, assume or guarantee any indebtedness for money borrowed evidenced by loans, bonds, notes, debentures, letters of credit, bankers’ acceptances, hedging obligations or instruments similar to the foregoing, in each case to the extent such indebtedness would appear as a liability on the balance sheet of such Person in accordance with GAAP (“</w:t>
      </w:r>
      <w:r>
        <w:rPr>
          <w:rFonts w:ascii="Times New Roman" w:hAnsi="Times New Roman"/>
          <w:i/>
          <w:sz w:val="20"/>
        </w:rPr>
        <w:t>Debt</w:t>
      </w:r>
      <w:r>
        <w:rPr>
          <w:rFonts w:ascii="Times New Roman" w:hAnsi="Times New Roman"/>
          <w:sz w:val="20"/>
        </w:rPr>
        <w:t xml:space="preserve">”) secured by a Lien upon (a) any Property of the Company or such Subsidiary, or (b) any shares of Capital Stock or Debt issued by any Subsidiary of the Company and owned by the Company or any Subsidiary of the Company, whether owned on the Issue Date or thereafter acquired, without effectively providing concurrently that the Notes then outstanding under this Indenture are secured equally and ratably with or, at the option of the Company, prior to such Debt so long as such Debt shall be so secured. </w:t>
      </w:r>
    </w:p>
    <w:p>
      <w:pPr>
        <w:pStyle w:val="TextBody"/>
        <w:bidi w:val="0"/>
        <w:spacing w:before="120" w:after="0"/>
        <w:jc w:val="left"/>
        <w:rPr>
          <w:rFonts w:ascii="Times New Roman" w:hAnsi="Times New Roman"/>
          <w:sz w:val="20"/>
        </w:rPr>
      </w:pPr>
      <w:r>
        <w:rPr>
          <w:rFonts w:ascii="Times New Roman" w:hAnsi="Times New Roman"/>
          <w:sz w:val="20"/>
        </w:rPr>
        <w:t xml:space="preserve">(b) The foregoing restriction shall not apply to, and there shall be excluded from Debt (or any guarantee thereof) in any computation under such restriction, Debt (or any guarantee thereof) secured by: </w:t>
      </w:r>
    </w:p>
    <w:p>
      <w:pPr>
        <w:pStyle w:val="TextBody"/>
        <w:bidi w:val="0"/>
        <w:spacing w:before="120" w:after="0"/>
        <w:jc w:val="left"/>
        <w:rPr>
          <w:rFonts w:ascii="Times New Roman" w:hAnsi="Times New Roman"/>
          <w:sz w:val="20"/>
        </w:rPr>
      </w:pPr>
      <w:r>
        <w:rPr>
          <w:rFonts w:ascii="Times New Roman" w:hAnsi="Times New Roman"/>
          <w:sz w:val="20"/>
        </w:rPr>
        <w:t xml:space="preserve">(1) Liens on any Property existing at the time of the acquisition thereof; </w:t>
      </w:r>
      <w:r>
        <w:rPr>
          <w:rFonts w:ascii="Times New Roman" w:hAnsi="Times New Roman"/>
          <w:i/>
          <w:sz w:val="20"/>
        </w:rPr>
        <w:t>provided</w:t>
      </w:r>
      <w:r>
        <w:rPr>
          <w:rFonts w:ascii="Times New Roman" w:hAnsi="Times New Roman"/>
          <w:sz w:val="20"/>
        </w:rPr>
        <w:t xml:space="preserve"> that such Liens were not incurred in connection with such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Liens on Property of a Person existing at the time such Person is amalgamated, merged into or consolidated with the Company or a Subsidiary of the Company or at the time of a sale, lease or other disposition of the Properties of such Person (or a division thereof) as an entirety or substantially as an entirety to the Company or a Subsidiary of the Company; </w:t>
      </w:r>
      <w:r>
        <w:rPr>
          <w:rFonts w:ascii="Times New Roman" w:hAnsi="Times New Roman"/>
          <w:i/>
          <w:sz w:val="20"/>
        </w:rPr>
        <w:t>provided</w:t>
      </w:r>
      <w:r>
        <w:rPr>
          <w:rFonts w:ascii="Times New Roman" w:hAnsi="Times New Roman"/>
          <w:sz w:val="20"/>
        </w:rPr>
        <w:t xml:space="preserve"> that any such Lien does not extend to any Property owned by the Company or any Subsidiary of the Company immediately prior to such amalgamation, merger, consolidation, sale, lease or disposition;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such Lien was not incurred in anticipation of such amalgamation, merger, consolidation, sale, lease or disposition; </w:t>
      </w:r>
    </w:p>
    <w:p>
      <w:pPr>
        <w:pStyle w:val="TextBody"/>
        <w:bidi w:val="0"/>
        <w:spacing w:before="120" w:after="0"/>
        <w:jc w:val="left"/>
        <w:rPr>
          <w:rFonts w:ascii="Times New Roman" w:hAnsi="Times New Roman"/>
          <w:sz w:val="20"/>
        </w:rPr>
      </w:pPr>
      <w:r>
        <w:rPr>
          <w:rFonts w:ascii="Times New Roman" w:hAnsi="Times New Roman"/>
          <w:sz w:val="20"/>
        </w:rPr>
        <w:t xml:space="preserve">(3) Liens on Property of a Person existing at the time such Person becomes a Subsidiary of the Company; </w:t>
      </w:r>
      <w:r>
        <w:rPr>
          <w:rFonts w:ascii="Times New Roman" w:hAnsi="Times New Roman"/>
          <w:i/>
          <w:sz w:val="20"/>
        </w:rPr>
        <w:t>provided</w:t>
      </w:r>
      <w:r>
        <w:rPr>
          <w:rFonts w:ascii="Times New Roman" w:hAnsi="Times New Roman"/>
          <w:sz w:val="20"/>
        </w:rPr>
        <w:t xml:space="preserve"> that such Lien was not incurred in anticipation of such Person becoming a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(4) Liens in favor of the Company or a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(5) Liens to secure all or part of the cost of acquisition, construction, development or improvement of the underlying Property, or to secure Debt incurred to provide funds for any such purpose; </w:t>
      </w:r>
      <w:r>
        <w:rPr>
          <w:rFonts w:ascii="Times New Roman" w:hAnsi="Times New Roman"/>
          <w:i/>
          <w:sz w:val="20"/>
        </w:rPr>
        <w:t>provided</w:t>
      </w:r>
      <w:r>
        <w:rPr>
          <w:rFonts w:ascii="Times New Roman" w:hAnsi="Times New Roman"/>
          <w:sz w:val="20"/>
        </w:rPr>
        <w:t xml:space="preserve"> that the commitment of the creditor to extend the credit secured by any such Lien shall have been obtained no later than one year after the later of (a) the completion of the acquisition, construction, development or improvement of such Property or (b) the placing in operation of such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Liens do not extend to any Property other than such Property subject to acquisition, construction, development or improvement and accessions thereto and improvements thereon; </w:t>
      </w:r>
    </w:p>
    <w:p>
      <w:pPr>
        <w:pStyle w:val="TextBody"/>
        <w:bidi w:val="0"/>
        <w:spacing w:before="120" w:after="0"/>
        <w:jc w:val="left"/>
        <w:rPr>
          <w:rFonts w:ascii="Times New Roman" w:hAnsi="Times New Roman"/>
          <w:sz w:val="20"/>
        </w:rPr>
      </w:pPr>
      <w:r>
        <w:rPr>
          <w:rFonts w:ascii="Times New Roman" w:hAnsi="Times New Roman"/>
          <w:sz w:val="20"/>
        </w:rPr>
        <w:t xml:space="preserve">(6) Liens in favor of the United States of America or any State thereof, or any department, agency or instrumentality or political subdivision of the foregoing, to secure partial, progress, advance or other payments pursuant to any contract, regulation or statute; </w:t>
      </w:r>
    </w:p>
    <w:p>
      <w:pPr>
        <w:pStyle w:val="TextBody"/>
        <w:bidi w:val="0"/>
        <w:spacing w:before="120" w:after="0"/>
        <w:jc w:val="left"/>
        <w:rPr>
          <w:rFonts w:ascii="Times New Roman" w:hAnsi="Times New Roman"/>
          <w:sz w:val="20"/>
        </w:rPr>
      </w:pPr>
      <w:r>
        <w:rPr>
          <w:rFonts w:ascii="Times New Roman" w:hAnsi="Times New Roman"/>
          <w:sz w:val="20"/>
        </w:rPr>
        <w:t xml:space="preserve">(7) Liens existing on the Issue Date or any extension, renewal, replacement or refunding of any Debt (or any guarantee thereof) secured by a Lien existing on the Issue Date or referred to in clauses (1)-(3) or (5); </w:t>
      </w:r>
      <w:r>
        <w:rPr>
          <w:rFonts w:ascii="Times New Roman" w:hAnsi="Times New Roman"/>
          <w:i/>
          <w:sz w:val="20"/>
        </w:rPr>
        <w:t>provided</w:t>
      </w:r>
      <w:r>
        <w:rPr>
          <w:rFonts w:ascii="Times New Roman" w:hAnsi="Times New Roman"/>
          <w:sz w:val="20"/>
        </w:rPr>
        <w:t xml:space="preserve"> that any such extension, renewal, replacement or refunding of such Debt (or any guarantee thereof) shall be created within one year of repaying the Debt (or any guarantee thereof) secured by the Lien referred to in clauses (1)-(3) or (5) and the principal amount of the Debt (or any guarantee thereof) secured thereby and not otherwise authorized by clauses (1)-(3) or (5) shall not exceed the principal amount of Debt (or any guarantee thereof), </w:t>
      </w:r>
      <w:r>
        <w:rPr>
          <w:rFonts w:ascii="Times New Roman" w:hAnsi="Times New Roman"/>
          <w:i/>
          <w:sz w:val="20"/>
        </w:rPr>
        <w:t>plus</w:t>
      </w:r>
      <w:r>
        <w:rPr>
          <w:rFonts w:ascii="Times New Roman" w:hAnsi="Times New Roman"/>
          <w:sz w:val="20"/>
        </w:rPr>
        <w:t xml:space="preserve"> any premium or fee payable in connection with any such extension, renewal, replacement or refunding, so secured at the time of such extension, renewal, replacement or refunding; </w:t>
      </w:r>
    </w:p>
    <w:p>
      <w:pPr>
        <w:pStyle w:val="TextBody"/>
        <w:bidi w:val="0"/>
        <w:spacing w:before="120" w:after="0"/>
        <w:jc w:val="left"/>
        <w:rPr>
          <w:rFonts w:ascii="Times New Roman" w:hAnsi="Times New Roman"/>
          <w:sz w:val="20"/>
        </w:rPr>
      </w:pPr>
      <w:r>
        <w:rPr>
          <w:rFonts w:ascii="Times New Roman" w:hAnsi="Times New Roman"/>
          <w:sz w:val="20"/>
        </w:rPr>
        <w:t xml:space="preserve">(8) Liens imposed by law, such as landlords’, carriers’, warehouseman’s, materialmen’s, repairmen’s and mechanics’ Liens, arising in the ordinary course of business, in each case for sums not yet overdue or which are being contested in good faith by appropriate proceedings; </w:t>
      </w:r>
    </w:p>
    <w:p>
      <w:pPr>
        <w:pStyle w:val="TextBody"/>
        <w:bidi w:val="0"/>
        <w:spacing w:before="120" w:after="0"/>
        <w:jc w:val="left"/>
        <w:rPr>
          <w:rFonts w:ascii="Times New Roman" w:hAnsi="Times New Roman"/>
          <w:sz w:val="20"/>
        </w:rPr>
      </w:pPr>
      <w:r>
        <w:rPr>
          <w:rFonts w:ascii="Times New Roman" w:hAnsi="Times New Roman"/>
          <w:sz w:val="20"/>
        </w:rPr>
        <w:t xml:space="preserve">(9) Liens in favor of the Notes and the Guarantees; </w:t>
      </w:r>
    </w:p>
    <w:p>
      <w:pPr>
        <w:pStyle w:val="TextBody"/>
        <w:bidi w:val="0"/>
        <w:spacing w:before="120" w:after="0"/>
        <w:jc w:val="left"/>
        <w:rPr>
          <w:rFonts w:ascii="Times New Roman" w:hAnsi="Times New Roman"/>
          <w:sz w:val="20"/>
        </w:rPr>
      </w:pPr>
      <w:r>
        <w:rPr>
          <w:rFonts w:ascii="Times New Roman" w:hAnsi="Times New Roman"/>
          <w:sz w:val="20"/>
        </w:rPr>
        <w:t xml:space="preserve">(10) Liens securing Hedging Obligations entered into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(11) minor survey exceptions, minor encumbrances, ground leases, easements or reservations of, or rights of others for, licenses, rights-of-way, servitudes, sewers, electric lines, drains, telegraph, telephone and cable television lines and other similar purposes, or zoning, building codes or other restrictions (including minor defects and irregularities in title and similar encumbrances) as to the use of real properties or Liens incidental to the conduct of the business of such Person or to the ownership of its Properties which were not incurred in connection with Debt and which do not in the aggregate materially impair their use in the operation of the business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restrictions described above, the Company and any Subsidiaries of the Company may create, incur, issue, assume or guarantee Debt secured by Liens without equally and ratably securing the Notes then outstanding if, at the time of such creation, incurrence, issuance, assumption or guarantee, after giving effect thereto and to the retirement of any Debt which is concurrently being retired,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aggregate amount of all such Debt secured by Liens which would otherwise be subject to such restrictions (other than any Debt (or any guarantee thereof) secured by Liens permitted as described in clauses (1)-(11) of the immediately preceding paragraph),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principal amount of Subsidiary Debt (as defined below) then outstanding (not including any such Subsidiary Debt described in clauses (1)–(7) of Section 4.12(b) below) of Subsidiaries that do not guarantee the Notes,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all Attributable Debt of the Company and the Subsidiaries of the Company in respect of Sale/Leaseback Transactions with respect to Properties (with the exception of such transactions that are permitted under clauses (1)-(4) of Section 4.11 below), would not exceed an amount equal to the greater of (i) $3,535.0 million and (ii) 3.0 times the Adjusted EBITDA of the Company for the Measurement Period immediately preceding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sz w:val="20"/>
          <w:u w:val="single"/>
        </w:rPr>
        <w:t>Future Guarantors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after the Issue Date, any Subsidiary (including any newly formed or newly acquired Subsidiary) becomes a Significant Domestic Subsidiary, then the Company shall cause such Subsidiary to execute and deliver to the Trustee a supplemental indenture substantially in the form of Exhibit C to this Indenture pursuant to which such Subsidiary of the Company will fully and unconditionally guarantee payment of the Notes on a senior, unsecured basis on the terms and conditions set forth in this Indenture. In addition, the Company may, at its option, at any time cause any Subsidiary to guarantee the Notes on the terms and conditions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Offer to Repurchase Upon Change of Control Trigger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Within 30 days following the occurrence of a Change of Control Triggering Event, each noteholder shall have the right to require that the Company make an offer to purchase such noteholder’s Notes at a purchase price in cash equal to 101% of the principal amount thereof on the date of purchase </w:t>
      </w:r>
      <w:r>
        <w:rPr>
          <w:rFonts w:ascii="Times New Roman" w:hAnsi="Times New Roman"/>
          <w:i/>
          <w:sz w:val="20"/>
        </w:rPr>
        <w:t>plus</w:t>
      </w:r>
      <w:r>
        <w:rPr>
          <w:rFonts w:ascii="Times New Roman" w:hAnsi="Times New Roman"/>
          <w:sz w:val="20"/>
        </w:rPr>
        <w:t xml:space="preserve"> accrued and unpaid interest, if any, to but excluding the date of purchase. </w:t>
      </w:r>
    </w:p>
    <w:p>
      <w:pPr>
        <w:pStyle w:val="TextBody"/>
        <w:bidi w:val="0"/>
        <w:spacing w:before="120" w:after="0"/>
        <w:jc w:val="left"/>
        <w:rPr>
          <w:rFonts w:ascii="Times New Roman" w:hAnsi="Times New Roman"/>
          <w:sz w:val="20"/>
        </w:rPr>
      </w:pPr>
      <w:r>
        <w:rPr>
          <w:rFonts w:ascii="Times New Roman" w:hAnsi="Times New Roman"/>
          <w:sz w:val="20"/>
        </w:rPr>
        <w:t xml:space="preserve">(b) If the Change of Control purchase date is on or after a Record Date and on or before the related Interest Payment Date, any accrued and unpaid interest to the Change of Control purchase date will be paid on the Change of Control purchase date to the Person in whose name a Note is registered at the close of business on such Record Date. </w:t>
      </w:r>
    </w:p>
    <w:p>
      <w:pPr>
        <w:pStyle w:val="TextBody"/>
        <w:bidi w:val="0"/>
        <w:spacing w:before="120" w:after="0"/>
        <w:jc w:val="left"/>
        <w:rPr>
          <w:rFonts w:ascii="Times New Roman" w:hAnsi="Times New Roman"/>
          <w:sz w:val="20"/>
        </w:rPr>
      </w:pPr>
      <w:r>
        <w:rPr>
          <w:rFonts w:ascii="Times New Roman" w:hAnsi="Times New Roman"/>
          <w:sz w:val="20"/>
        </w:rPr>
        <w:t>(c) Within 30 days following the occurrence of a Change of Control Triggering Event, unless the Company has exercised its option to redeem all the Notes as described in Section 3.07, the Company shall mail (or deliver by electronic transmission in accordance with the applicable procedures of DTC) a notice to each noteholder, with a copy to the Trustee (the “</w:t>
      </w:r>
      <w:r>
        <w:rPr>
          <w:rFonts w:ascii="Times New Roman" w:hAnsi="Times New Roman"/>
          <w:i/>
          <w:sz w:val="20"/>
        </w:rPr>
        <w:t>Change of Control Offer</w:t>
      </w:r>
      <w:r>
        <w:rPr>
          <w:rFonts w:ascii="Times New Roman" w:hAnsi="Times New Roman"/>
          <w:sz w:val="20"/>
        </w:rPr>
        <w:t xml:space="preserve">”), stating: </w:t>
      </w:r>
    </w:p>
    <w:p>
      <w:pPr>
        <w:pStyle w:val="TextBody"/>
        <w:bidi w:val="0"/>
        <w:spacing w:before="120" w:after="0"/>
        <w:jc w:val="left"/>
        <w:rPr>
          <w:rFonts w:ascii="Times New Roman" w:hAnsi="Times New Roman"/>
          <w:sz w:val="20"/>
        </w:rPr>
      </w:pPr>
      <w:r>
        <w:rPr>
          <w:rFonts w:ascii="Times New Roman" w:hAnsi="Times New Roman"/>
          <w:sz w:val="20"/>
        </w:rPr>
        <w:t xml:space="preserve">(1) that a Change of Control Triggering Event has occurred and that such noteholder has the right to require the Company to purchase such noteholder’s Notes at a purchase price in cash equal to 101% of the principal amount thereof on the date of purchase, </w:t>
      </w:r>
      <w:r>
        <w:rPr>
          <w:rFonts w:ascii="Times New Roman" w:hAnsi="Times New Roman"/>
          <w:i/>
          <w:sz w:val="20"/>
        </w:rPr>
        <w:t>plus</w:t>
      </w:r>
      <w:r>
        <w:rPr>
          <w:rFonts w:ascii="Times New Roman" w:hAnsi="Times New Roman"/>
          <w:sz w:val="20"/>
        </w:rPr>
        <w:t xml:space="preserve"> accrued and unpaid interest, if any, to but excluding the date of purchase; </w:t>
      </w:r>
    </w:p>
    <w:p>
      <w:pPr>
        <w:pStyle w:val="TextBody"/>
        <w:bidi w:val="0"/>
        <w:spacing w:before="120" w:after="0"/>
        <w:jc w:val="left"/>
        <w:rPr>
          <w:rFonts w:ascii="Times New Roman" w:hAnsi="Times New Roman"/>
          <w:sz w:val="20"/>
        </w:rPr>
      </w:pPr>
      <w:r>
        <w:rPr>
          <w:rFonts w:ascii="Times New Roman" w:hAnsi="Times New Roman"/>
          <w:sz w:val="20"/>
        </w:rPr>
        <w:t xml:space="preserve">(2) the circumstances that constitute or may constitute such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(3) the purchase date (which shall be no earlier than 30 days nor later than 60 days from the date such notice is sent); and </w:t>
      </w:r>
    </w:p>
    <w:p>
      <w:pPr>
        <w:pStyle w:val="TextBody"/>
        <w:bidi w:val="0"/>
        <w:spacing w:before="120" w:after="0"/>
        <w:jc w:val="left"/>
        <w:rPr>
          <w:rFonts w:ascii="Times New Roman" w:hAnsi="Times New Roman"/>
          <w:sz w:val="20"/>
        </w:rPr>
      </w:pPr>
      <w:r>
        <w:rPr>
          <w:rFonts w:ascii="Times New Roman" w:hAnsi="Times New Roman"/>
          <w:sz w:val="20"/>
        </w:rPr>
        <w:t xml:space="preserve">(4) the instructions, as determined by the Company, consistent with the covenant described hereunder, that a noteholder must follow in order to have its Notes purchased.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shall not be required to make a Change of Control Offer following a Change of Control Triggering Event if a third party makes the Change of Control Offer in the manner, at the times and otherwise in compliance with the requirements set forth in this Indenture applicable to a Change of Control Offer made by the Company and purchases all Notes validly tendered and not withdrawn under such Change of Control Offer or if the Company has exercised its option to redeem all the Notes pursuant to the provisions described in Section 3.07. </w:t>
      </w:r>
    </w:p>
    <w:p>
      <w:pPr>
        <w:pStyle w:val="TextBody"/>
        <w:bidi w:val="0"/>
        <w:spacing w:before="120" w:after="0"/>
        <w:jc w:val="left"/>
        <w:rPr>
          <w:rFonts w:ascii="Times New Roman" w:hAnsi="Times New Roman"/>
          <w:sz w:val="20"/>
        </w:rPr>
      </w:pPr>
      <w:r>
        <w:rPr>
          <w:rFonts w:ascii="Times New Roman" w:hAnsi="Times New Roman"/>
          <w:sz w:val="20"/>
        </w:rPr>
        <w:t xml:space="preserve">(e) If 90% or more in principal amount of the then outstanding Notes have been redeemed or purchased pursuant to this Section 4.10, the Company may, at its option, on not less than 10 or more than 60 days’ notice to the holders of such Notes given within 10 days after the relevant purchase date, redeem or purchase (or procure the purchase of) the remaining outstanding Notes at 101% of their principal amount </w:t>
      </w:r>
      <w:r>
        <w:rPr>
          <w:rFonts w:ascii="Times New Roman" w:hAnsi="Times New Roman"/>
          <w:i/>
          <w:sz w:val="20"/>
        </w:rPr>
        <w:t>plus</w:t>
      </w:r>
      <w:r>
        <w:rPr>
          <w:rFonts w:ascii="Times New Roman" w:hAnsi="Times New Roman"/>
          <w:sz w:val="20"/>
        </w:rPr>
        <w:t xml:space="preserve"> interest accrued to, but excluding, the date of such redemption or purchase pursuant to the provisions set forth in Sections 3.01 through 3.06. </w:t>
      </w:r>
    </w:p>
    <w:p>
      <w:pPr>
        <w:pStyle w:val="TextBody"/>
        <w:bidi w:val="0"/>
        <w:spacing w:before="120" w:after="0"/>
        <w:jc w:val="left"/>
        <w:rPr>
          <w:rFonts w:ascii="Times New Roman" w:hAnsi="Times New Roman"/>
          <w:sz w:val="20"/>
        </w:rPr>
      </w:pPr>
      <w:r>
        <w:rPr>
          <w:rFonts w:ascii="Times New Roman" w:hAnsi="Times New Roman"/>
          <w:sz w:val="20"/>
        </w:rPr>
        <w:t xml:space="preserve">(f) The Company shall comply, to the extent applicable, with the requirements of Rule 14e-1 of the Exchange Act and any other securities laws or regulations in connection with the purchase of Notes as a result of a Change of Control Triggering Event. To the extent that the provisions of any securities laws or regulations conflict with the provisions of the covenant described hereunder, the Company will comply with the applicable securities laws and regulations and shall not be deemed to have breached its obligations under the covenant described hereunder by virtue of its compliance with such securities laws or regulations.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anything to the contrary in this Section 4.10, a Change of Control Offer may be made in advance of a Change of Control Triggering Event, conditional upon such Change of Control Triggering Event, if a definitive agreement is in place for the Change of Control at the time of making of such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Sale/Leaseback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and shall not permit any Subsidiary of the Company to, enter into any Sale/Leaseback Transaction with respect to any Property unless: </w:t>
      </w:r>
    </w:p>
    <w:p>
      <w:pPr>
        <w:pStyle w:val="TextBody"/>
        <w:bidi w:val="0"/>
        <w:spacing w:before="120" w:after="0"/>
        <w:jc w:val="left"/>
        <w:rPr>
          <w:rFonts w:ascii="Times New Roman" w:hAnsi="Times New Roman"/>
          <w:sz w:val="20"/>
        </w:rPr>
      </w:pPr>
      <w:r>
        <w:rPr>
          <w:rFonts w:ascii="Times New Roman" w:hAnsi="Times New Roman"/>
          <w:sz w:val="20"/>
        </w:rPr>
        <w:t xml:space="preserve">(1) the Sale/Leaseback Transaction is solely with the Company or another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 the lease is for a period not in excess of 36 months (or which may be terminated by the Company or such Subsidiary), including renewals; </w:t>
      </w:r>
    </w:p>
    <w:p>
      <w:pPr>
        <w:pStyle w:val="TextBody"/>
        <w:bidi w:val="0"/>
        <w:spacing w:before="120" w:after="0"/>
        <w:jc w:val="left"/>
        <w:rPr>
          <w:rFonts w:ascii="Times New Roman" w:hAnsi="Times New Roman"/>
          <w:sz w:val="20"/>
        </w:rPr>
      </w:pPr>
      <w:r>
        <w:rPr>
          <w:rFonts w:ascii="Times New Roman" w:hAnsi="Times New Roman"/>
          <w:sz w:val="20"/>
        </w:rPr>
        <w:t xml:space="preserve">(3) the Company or such Subsidiary would (at the time of entering into such arrangement) be entitled as described in clauses (1)-(11) in Section 4.08(b) without equally and ratably securing the Notes then outstanding under this Indenture, to create, incur, issue, assume or guarantee Debt secured by a Lien on such Property in the amount of the Attributable Debt arising from such Sale/Leaseback Transaction; </w:t>
      </w:r>
    </w:p>
    <w:p>
      <w:pPr>
        <w:pStyle w:val="TextBody"/>
        <w:bidi w:val="0"/>
        <w:spacing w:before="120" w:after="0"/>
        <w:jc w:val="left"/>
        <w:rPr>
          <w:rFonts w:ascii="Times New Roman" w:hAnsi="Times New Roman"/>
          <w:sz w:val="20"/>
        </w:rPr>
      </w:pPr>
      <w:r>
        <w:rPr>
          <w:rFonts w:ascii="Times New Roman" w:hAnsi="Times New Roman"/>
          <w:sz w:val="20"/>
        </w:rPr>
        <w:t xml:space="preserve">(4) the Company or such Subsidiary within 180 days after the sale of such Property in connection with such Sale/Leaseback Transaction is completed, applies an amount equal to the net proceeds of the sale of such Property to (a) the retirement of Notes, other Debt of the Company ranking equally with or senior to the Notes (or the Guarantees of the Notes) or Debt of a Subsidiary of the Company, (b) the purchase of Property, or (c) a combination thereof; or </w:t>
      </w:r>
    </w:p>
    <w:p>
      <w:pPr>
        <w:pStyle w:val="TextBody"/>
        <w:bidi w:val="0"/>
        <w:spacing w:before="120" w:after="0"/>
        <w:jc w:val="left"/>
        <w:rPr>
          <w:rFonts w:ascii="Times New Roman" w:hAnsi="Times New Roman"/>
          <w:sz w:val="20"/>
        </w:rPr>
      </w:pPr>
      <w:r>
        <w:rPr>
          <w:rFonts w:ascii="Times New Roman" w:hAnsi="Times New Roman"/>
          <w:sz w:val="20"/>
        </w:rPr>
        <w:t xml:space="preserve">(5) (a) the Attributable Debt of the Company and Subsidiaries of the Company in respect of such Sale/Leaseback Transaction and all other Sale/Leaseback Transactions entered into after the Issue Date (other than any such Sale/Leaseback Transaction as would be permitted as described in clauses (1)-(4) of this sentence),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principal amount of Debt secured by Liens on Properties then outstanding (not including any such Debt secured by Liens described in clauses (1)-(11) in Section 4.08(b)) that are not equally and ratably secured with the outstanding Notes (or secured on a basis junior to the outstanding Notes),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aggregate principal amount of Subsidiary Debt then outstanding (not including any such Subsidiary Debt described in clauses (1)–(7) in Section 4.12(b)) of Subsidiaries that do not guarantee the Notes, </w:t>
      </w:r>
    </w:p>
    <w:p>
      <w:pPr>
        <w:pStyle w:val="TextBody"/>
        <w:bidi w:val="0"/>
        <w:spacing w:before="240" w:after="0"/>
        <w:jc w:val="left"/>
        <w:rPr>
          <w:rFonts w:ascii="Times New Roman" w:hAnsi="Times New Roman"/>
          <w:sz w:val="20"/>
        </w:rPr>
      </w:pPr>
      <w:r>
        <w:rPr>
          <w:rFonts w:ascii="Times New Roman" w:hAnsi="Times New Roman"/>
          <w:sz w:val="20"/>
        </w:rPr>
        <w:t xml:space="preserve">would not exceed an amount equal to the greater of (i) $3,535.0 million and (ii) 3.0 times the Adjusted EBITDA of the Company for the Measurement Period immediately preceding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Limitation on Subsidiary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shall not permit any of its Subsidiaries to create, assume, incur, guarantee or otherwise become liable for any Debt (any such Debt of a Subsidiary of the Company, “</w:t>
      </w:r>
      <w:r>
        <w:rPr>
          <w:rFonts w:ascii="Times New Roman" w:hAnsi="Times New Roman"/>
          <w:i/>
          <w:sz w:val="20"/>
        </w:rPr>
        <w:t>Subsidiary Debt</w:t>
      </w:r>
      <w:r>
        <w:rPr>
          <w:rFonts w:ascii="Times New Roman" w:hAnsi="Times New Roman"/>
          <w:sz w:val="20"/>
        </w:rPr>
        <w:t xml:space="preserve">”), without guaranteeing the payment of the principal of, and premium (if any) and interest on the Notes on an unsecured unsubordinated basis until such time as such Subsidiary Debt is no longer outstanding or in effect. </w:t>
      </w:r>
    </w:p>
    <w:p>
      <w:pPr>
        <w:pStyle w:val="TextBody"/>
        <w:bidi w:val="0"/>
        <w:spacing w:before="120" w:after="0"/>
        <w:jc w:val="left"/>
        <w:rPr>
          <w:rFonts w:ascii="Times New Roman" w:hAnsi="Times New Roman"/>
          <w:sz w:val="20"/>
        </w:rPr>
      </w:pPr>
      <w:r>
        <w:rPr>
          <w:rFonts w:ascii="Times New Roman" w:hAnsi="Times New Roman"/>
          <w:sz w:val="20"/>
        </w:rPr>
        <w:t xml:space="preserve">(b) The foregoing restriction shall not apply to, and there shall be excluded from Subsidiary Debt in any computation under such restriction, Subsidiary Debt constituting: </w:t>
      </w:r>
    </w:p>
    <w:p>
      <w:pPr>
        <w:pStyle w:val="TextBody"/>
        <w:bidi w:val="0"/>
        <w:spacing w:before="120" w:after="0"/>
        <w:jc w:val="left"/>
        <w:rPr>
          <w:rFonts w:ascii="Times New Roman" w:hAnsi="Times New Roman"/>
          <w:sz w:val="20"/>
        </w:rPr>
      </w:pPr>
      <w:r>
        <w:rPr>
          <w:rFonts w:ascii="Times New Roman" w:hAnsi="Times New Roman"/>
          <w:sz w:val="20"/>
        </w:rPr>
        <w:t xml:space="preserve">(1) Debt of a Person existing at the time such Person is amalgamated, merged into or consolidated with the Company or a Subsidiary of the Company or at the time of a sale, lease or other disposition of the Properties of such Person (or a division thereof) as an entirety or substantially as an entirety to the Company or a Subsidiary of the Company; </w:t>
      </w:r>
      <w:r>
        <w:rPr>
          <w:rFonts w:ascii="Times New Roman" w:hAnsi="Times New Roman"/>
          <w:i/>
          <w:sz w:val="20"/>
        </w:rPr>
        <w:t>provided</w:t>
      </w:r>
      <w:r>
        <w:rPr>
          <w:rFonts w:ascii="Times New Roman" w:hAnsi="Times New Roman"/>
          <w:sz w:val="20"/>
        </w:rPr>
        <w:t xml:space="preserve"> that any such Debt is not guaranteed by the Company or any other Subsidiary of the Company (other than any guarantee existing at the time of such amalgamation, merger, consolidation, sale, lease or disposition);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such Debt was not incurred in anticipation of such amalgamation, merger, consolidation, sale, lease or disposition; </w:t>
      </w:r>
    </w:p>
    <w:p>
      <w:pPr>
        <w:pStyle w:val="TextBody"/>
        <w:bidi w:val="0"/>
        <w:spacing w:before="120" w:after="0"/>
        <w:jc w:val="left"/>
        <w:rPr>
          <w:rFonts w:ascii="Times New Roman" w:hAnsi="Times New Roman"/>
          <w:sz w:val="20"/>
        </w:rPr>
      </w:pPr>
      <w:r>
        <w:rPr>
          <w:rFonts w:ascii="Times New Roman" w:hAnsi="Times New Roman"/>
          <w:sz w:val="20"/>
        </w:rPr>
        <w:t xml:space="preserve">(2) Debt of a Person existing at the time such Person becomes a Subsidiary of the Company; </w:t>
      </w:r>
      <w:r>
        <w:rPr>
          <w:rFonts w:ascii="Times New Roman" w:hAnsi="Times New Roman"/>
          <w:i/>
          <w:sz w:val="20"/>
        </w:rPr>
        <w:t>provided</w:t>
      </w:r>
      <w:r>
        <w:rPr>
          <w:rFonts w:ascii="Times New Roman" w:hAnsi="Times New Roman"/>
          <w:sz w:val="20"/>
        </w:rPr>
        <w:t xml:space="preserve"> that such Debt was not incurred in anticipation of such Person becoming a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(3) Debt owed to the Company or any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(4) Debt created, incurred, assumed or guaranteed to pay or finance all or part of the cost of acquisition, construction, development or improvement of Property; </w:t>
      </w:r>
      <w:r>
        <w:rPr>
          <w:rFonts w:ascii="Times New Roman" w:hAnsi="Times New Roman"/>
          <w:i/>
          <w:sz w:val="20"/>
        </w:rPr>
        <w:t>provided</w:t>
      </w:r>
      <w:r>
        <w:rPr>
          <w:rFonts w:ascii="Times New Roman" w:hAnsi="Times New Roman"/>
          <w:sz w:val="20"/>
        </w:rPr>
        <w:t xml:space="preserve"> that any such Debt shall have been created, incurred, issued, assumed or guaranteed no later than one year after the later of (a) the completion of the acquisition, construction, development or improvement of such Property or (b) the placing in operation of such Property;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outstanding amount of such Debt, without duplication, does not exceed 100% of the fair value of the property or equipment acquired or developed, operated, constructed, altered, repaired or improved at the time such Debt is incurred; </w:t>
      </w:r>
    </w:p>
    <w:p>
      <w:pPr>
        <w:pStyle w:val="TextBody"/>
        <w:bidi w:val="0"/>
        <w:spacing w:before="120" w:after="0"/>
        <w:jc w:val="left"/>
        <w:rPr>
          <w:rFonts w:ascii="Times New Roman" w:hAnsi="Times New Roman"/>
          <w:sz w:val="20"/>
        </w:rPr>
      </w:pPr>
      <w:r>
        <w:rPr>
          <w:rFonts w:ascii="Times New Roman" w:hAnsi="Times New Roman"/>
          <w:sz w:val="20"/>
        </w:rPr>
        <w:t xml:space="preserve">(5) reimbursement obligations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(6) client advances and deposits received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(7) Debt outstanding on the Issue Date or any extension, renewal, replacement or refunding of any Debt (or any guarantee thereof) existing on the Issue Date or referred to in clauses (1), (2) or (4) above; </w:t>
      </w:r>
      <w:r>
        <w:rPr>
          <w:rFonts w:ascii="Times New Roman" w:hAnsi="Times New Roman"/>
          <w:i/>
          <w:sz w:val="20"/>
        </w:rPr>
        <w:t>provided</w:t>
      </w:r>
      <w:r>
        <w:rPr>
          <w:rFonts w:ascii="Times New Roman" w:hAnsi="Times New Roman"/>
          <w:sz w:val="20"/>
        </w:rPr>
        <w:t xml:space="preserve"> that any such extension, renewal, replacement or refunding of such Debt (or any guarantee thereof) shall be created within one year of repaying the Debt (or any guarantee thereof) referred to in clauses (1), (2) or (4) above and the principal amount of the Debt (or any guarantee thereof) secured thereby and not otherwise authorized by clauses (1), (2) or (4) above shall not exceed the principal amount of Debt (or any guarantee thereof), </w:t>
      </w:r>
      <w:r>
        <w:rPr>
          <w:rFonts w:ascii="Times New Roman" w:hAnsi="Times New Roman"/>
          <w:i/>
          <w:sz w:val="20"/>
        </w:rPr>
        <w:t>plus</w:t>
      </w:r>
      <w:r>
        <w:rPr>
          <w:rFonts w:ascii="Times New Roman" w:hAnsi="Times New Roman"/>
          <w:sz w:val="20"/>
        </w:rPr>
        <w:t xml:space="preserve"> any premium or fee payable in connection with any such extension, renewal, replacement or refunding, so secured at the time of such extension, renewal, replacement or refunding.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the restrictions described in Section 4.12(b), any Subsidiary of the Company may create, assume, incur, guarantee or otherwise become liable for Debt that would otherwise be subject to the restrictions set forth in the preceding paragraph, without such Subsidiary guaranteeing the Notes, if, at the time of such creation, assumption, incurrence, guarantee or creation of such liability, after giving effect thereto and to the retirement of any Debt which is concurrently being retired, </w:t>
      </w:r>
    </w:p>
    <w:p>
      <w:pPr>
        <w:pStyle w:val="TextBody"/>
        <w:bidi w:val="0"/>
        <w:spacing w:before="120" w:after="0"/>
        <w:jc w:val="left"/>
        <w:rPr>
          <w:rFonts w:ascii="Times New Roman" w:hAnsi="Times New Roman"/>
          <w:sz w:val="20"/>
        </w:rPr>
      </w:pPr>
      <w:r>
        <w:rPr>
          <w:rFonts w:ascii="Times New Roman" w:hAnsi="Times New Roman"/>
          <w:sz w:val="20"/>
        </w:rPr>
        <w:t xml:space="preserve">(1) the aggregate amount of all Debt which would otherwise be subject to such restrictions (other than any Debt (or any guarantee thereof) permitted as described in clauses (1)–(7) of Section 4.12(b)),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the aggregate principal amount of Debt secured by Liens on Properties then outstanding (not including any such Debt secured by Liens described in clauses (1)–(11) of Section 4.08(b)) that are not equally and ratably secured with the outstanding Notes (or secured on a basis junior to the outstanding Notes),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all Attributable Debt of the Company and the Subsidiaries of the Company in respect of Sale/Leaseback Transactions with respect to Properties (with the exception of such transactions that are permitted under clauses (1)–(4) of Section 4.11), </w:t>
      </w:r>
    </w:p>
    <w:p>
      <w:pPr>
        <w:pStyle w:val="TextBody"/>
        <w:bidi w:val="0"/>
        <w:spacing w:before="240" w:after="0"/>
        <w:jc w:val="left"/>
        <w:rPr>
          <w:rFonts w:ascii="Times New Roman" w:hAnsi="Times New Roman"/>
          <w:sz w:val="20"/>
        </w:rPr>
      </w:pPr>
      <w:r>
        <w:rPr>
          <w:rFonts w:ascii="Times New Roman" w:hAnsi="Times New Roman"/>
          <w:sz w:val="20"/>
        </w:rPr>
        <w:t xml:space="preserve">would not exceed an amount equal to the greater of (i) $3,535.0 million and (ii) 3.0 times the Adjusted EBITDA of the Company for the Measurement Period immediately preceding such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24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Amalgamation, Merger, Consolidation or Sale of All or Substantially All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may not (i) amalgamate, consolidate with or merge into any other entity or (ii) convey, transfer or lease all or substantially all of the Properties of the Company and its Subsidiaries taken as a whole, </w:t>
      </w:r>
      <w:r>
        <w:rPr>
          <w:rFonts w:ascii="Times New Roman" w:hAnsi="Times New Roman"/>
          <w:i/>
          <w:sz w:val="20"/>
        </w:rPr>
        <w:t>unless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the successor entity, or the successor or transferee entity, if other than the Company, is a Person (if such Person is not a corporation, then such successor or transferee shall include a corporate co-issuer) organized and existing under the laws of the United States, any state thereof or the District of Columbia (except if the Company determines in good faith that such requirement is not in the best interests of the Company and its Subsidiaries or that complying with such requirement would not be advisable for tax planning purposes or to improve tax efficiencies) and expressly assumes by a supplemental indenture executed and delivered to the Trustee, in form reasonably satisfactory to the Trustee, the due and punctual payment of the principal of, any premium on and any interest on all the outstanding Notes and the performance of every covenant and obligation in this Indenture to be performed or observed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(2) immediately after giving effect to the transaction, no Event of Default, as defined in this Indenture, and no event which, after notice or lapse of time or both, would become an Event of Default, has happened and is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delivered to the Trustee an Officer’s Certificate and an Opinion of Counsel, each in the form required by this Indenture and stating that such amalgamation, consolidation, merger, conveyance, transfer or lease and, if a supplemental indenture is required in connection with such transaction, such supplemental indenture comply with the foregoing provisions relating to such transaction, and constitutes the legal, valid and binding obligation of the Company or successor entity, as applicable, subject to customary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of any such amalgamation, consolidation, merger, conveyance or transfer (but not lease), the successor entity will succeed to and be substituted for the Company as obligor of the Notes with the same effect as if it had been named in this Indenture as the Company. </w:t>
      </w:r>
    </w:p>
    <w:p>
      <w:pPr>
        <w:pStyle w:val="TextBody"/>
        <w:bidi w:val="0"/>
        <w:spacing w:before="240" w:after="0"/>
        <w:jc w:val="left"/>
        <w:rPr>
          <w:rFonts w:ascii="Times New Roman" w:hAnsi="Times New Roman"/>
          <w:sz w:val="20"/>
        </w:rPr>
      </w:pPr>
      <w:r>
        <w:rPr>
          <w:rFonts w:ascii="Times New Roman" w:hAnsi="Times New Roman"/>
          <w:sz w:val="20"/>
        </w:rPr>
        <w:t xml:space="preserve">(b) No Guarantor may amalgamate, consolidate with or merge into any other entity, </w:t>
      </w:r>
      <w:r>
        <w:rPr>
          <w:rFonts w:ascii="Times New Roman" w:hAnsi="Times New Roman"/>
          <w:i/>
          <w:sz w:val="20"/>
        </w:rPr>
        <w:t>unless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the Company or a Guarantor is the successor entity or the successor or transferee entity, if not a Guarantor prior to such consolidation or merger, shall be a Person organized and existing under the laws of the jurisdiction under which such Guarantor was organized or under the laws of the United States, any state thereof or the District of Columbia, and expressly assumes, by a supplemental indenture, executed and delivered to the Trustee, in form reasonably satisfactory to the Trustee, all the obligations of such Guarantor under its Guarantee;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shall not apply in the case of a Guarantor (x) that has been, or will be as a result of the subject transaction, disposed of in its entirety to another Person (other than to the Company or an Affiliate of the Company), whether through an amalgamation, merger or consolidation or (y) that, as a result of the disposition of all or a portion of its Capital Stock, ceases to be a Subsidiary; </w:t>
      </w:r>
    </w:p>
    <w:p>
      <w:pPr>
        <w:pStyle w:val="TextBody"/>
        <w:bidi w:val="0"/>
        <w:spacing w:before="120" w:after="0"/>
        <w:jc w:val="left"/>
        <w:rPr>
          <w:rFonts w:ascii="Times New Roman" w:hAnsi="Times New Roman"/>
          <w:sz w:val="20"/>
        </w:rPr>
      </w:pPr>
      <w:r>
        <w:rPr>
          <w:rFonts w:ascii="Times New Roman" w:hAnsi="Times New Roman"/>
          <w:sz w:val="20"/>
        </w:rPr>
        <w:t xml:space="preserve">(2) immediately after giving effect to the transaction, no Event of Default, as defined in this Indenture, and no event which, after notice or lapse of time or both, would become an Event of Default, has happened and is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delivered to the Trustee an Officer’s Certificate and an Opinion of Counsel, each in the form required by this Indenture and stating that such amalgamation, consolidation or merger and, if a supplemental indenture is required in connection with such transaction, such supplemental indenture comply with the foregoing provisions relating to such transaction and constitutes the legal, valid and binding obligation of the Guarantor or successor entity, as applicable,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clauses (a) and (b) above, this Section 5.01 will not apply to a merger, amalgamation, transfer or conveyance or other disposition of assets between or among the Company and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Successor Entity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amalgamation, consolidation, merger, conveyance, transfer or lease of the properties and assets as an entirety of the Company or a Guarantor in accordance with Section 5.01, the Company and a Guarantor, as the case may be, will be released from its obligations under this Indenture and the Notes or its Guarantee, as the case may be, and the successor company and the successor Guarantor, as the case may be, will succeed to, and be substituted for, and may exercise every right and power of, the Company or a Guarantor, as the case may be, under this Indenture and the Notes and such Guarantee; </w:t>
      </w:r>
      <w:r>
        <w:rPr>
          <w:rFonts w:ascii="Times New Roman" w:hAnsi="Times New Roman"/>
          <w:i/>
          <w:sz w:val="20"/>
        </w:rPr>
        <w:t>provided</w:t>
      </w:r>
      <w:r>
        <w:rPr>
          <w:rFonts w:ascii="Times New Roman" w:hAnsi="Times New Roman"/>
          <w:sz w:val="20"/>
        </w:rPr>
        <w:t xml:space="preserve"> that, in the case of a lease of all or substantially all its assets, the Company will not be released from the obligation to pay the principal of, premium (if any) and interest on, the Notes and a Guarantor will not be released from its obligations under its Guarantee.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24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following is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a default in the payment of interest on the Notes when due, continued for 30 days; </w:t>
      </w:r>
    </w:p>
    <w:p>
      <w:pPr>
        <w:pStyle w:val="TextBody"/>
        <w:bidi w:val="0"/>
        <w:spacing w:before="120" w:after="0"/>
        <w:jc w:val="left"/>
        <w:rPr>
          <w:rFonts w:ascii="Times New Roman" w:hAnsi="Times New Roman"/>
          <w:sz w:val="20"/>
        </w:rPr>
      </w:pPr>
      <w:r>
        <w:rPr>
          <w:rFonts w:ascii="Times New Roman" w:hAnsi="Times New Roman"/>
          <w:sz w:val="20"/>
        </w:rPr>
        <w:t xml:space="preserve">(2) a default in the payment of principal of or premium, if any, on the Notes when due at its Stated Maturity, upon redemption, upon required purchase, upon declaration of acceleration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failure by the Company or any Guarantor to comply with its obligations under Section 5.01; </w:t>
      </w:r>
    </w:p>
    <w:p>
      <w:pPr>
        <w:pStyle w:val="TextBody"/>
        <w:bidi w:val="0"/>
        <w:spacing w:before="120" w:after="0"/>
        <w:jc w:val="left"/>
        <w:rPr>
          <w:rFonts w:ascii="Times New Roman" w:hAnsi="Times New Roman"/>
          <w:sz w:val="20"/>
        </w:rPr>
      </w:pPr>
      <w:r>
        <w:rPr>
          <w:rFonts w:ascii="Times New Roman" w:hAnsi="Times New Roman"/>
          <w:sz w:val="20"/>
        </w:rPr>
        <w:t xml:space="preserve">(4) the failure by the Company or any Guarantor, as the case may be, to comply for 45 days after notice with any of its obligations in the covenants described above under Section 4.10 (other than a failure to purchase Notes) or under Sections 4.08, 4.09, 4.11 or 4.12; </w:t>
      </w:r>
    </w:p>
    <w:p>
      <w:pPr>
        <w:pStyle w:val="TextBody"/>
        <w:bidi w:val="0"/>
        <w:spacing w:before="120" w:after="0"/>
        <w:jc w:val="left"/>
        <w:rPr>
          <w:rFonts w:ascii="Times New Roman" w:hAnsi="Times New Roman"/>
          <w:sz w:val="20"/>
        </w:rPr>
      </w:pPr>
      <w:r>
        <w:rPr>
          <w:rFonts w:ascii="Times New Roman" w:hAnsi="Times New Roman"/>
          <w:sz w:val="20"/>
        </w:rPr>
        <w:t xml:space="preserve">(5) the failure by the Company to comply for 60 days after notice with any of its obligations in the covenant described above under Section 4.06; </w:t>
      </w:r>
    </w:p>
    <w:p>
      <w:pPr>
        <w:pStyle w:val="TextBody"/>
        <w:bidi w:val="0"/>
        <w:spacing w:before="120" w:after="0"/>
        <w:jc w:val="left"/>
        <w:rPr>
          <w:rFonts w:ascii="Times New Roman" w:hAnsi="Times New Roman"/>
          <w:sz w:val="20"/>
        </w:rPr>
      </w:pPr>
      <w:r>
        <w:rPr>
          <w:rFonts w:ascii="Times New Roman" w:hAnsi="Times New Roman"/>
          <w:sz w:val="20"/>
        </w:rPr>
        <w:t xml:space="preserve">(6) the failure by the Company or any Guarantor to comply for 60 days after notice with its other agreements contained in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(7) Debt of the Company, any Guarantor or any Significant Subsidiary is not paid within any applicable grace period after final maturity or is accelerated by the holders thereof because of a default and the total amount of such Debt unpaid or accelerated exceeds $100.0 million; </w:t>
      </w:r>
    </w:p>
    <w:p>
      <w:pPr>
        <w:pStyle w:val="TextBody"/>
        <w:bidi w:val="0"/>
        <w:spacing w:before="120" w:after="0"/>
        <w:jc w:val="left"/>
        <w:rPr>
          <w:rFonts w:ascii="Times New Roman" w:hAnsi="Times New Roman"/>
          <w:sz w:val="20"/>
        </w:rPr>
      </w:pPr>
      <w:r>
        <w:rPr>
          <w:rFonts w:ascii="Times New Roman" w:hAnsi="Times New Roman"/>
          <w:sz w:val="20"/>
        </w:rPr>
        <w:t xml:space="preserve">(8) (i) the Company or a Significant Subsidiary,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(A) commences voluntary proceedings to be adjudicated bankrupt or insolvent; </w:t>
      </w:r>
    </w:p>
    <w:p>
      <w:pPr>
        <w:pStyle w:val="TextBody"/>
        <w:bidi w:val="0"/>
        <w:spacing w:before="120" w:after="0"/>
        <w:jc w:val="left"/>
        <w:rPr>
          <w:rFonts w:ascii="Times New Roman" w:hAnsi="Times New Roman"/>
          <w:sz w:val="20"/>
        </w:rPr>
      </w:pPr>
      <w:r>
        <w:rPr>
          <w:rFonts w:ascii="Times New Roman" w:hAnsi="Times New Roman"/>
          <w:sz w:val="20"/>
        </w:rPr>
        <w:t xml:space="preserve">(B) consents to the institution of bankruptcy or insolvency proceedings against it, or the filing by it of a petition or answer or consent seeking an arrangement of debt, reorganization, dissolution, winding up or relief under applicable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(C) consents to the appointment of a receiver, interim receiver, receiver and manager, liquidator, assignee, trustee, sequestrator or other similar official of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makes a general assignment for the benefit of its creditors. </w:t>
      </w:r>
    </w:p>
    <w:p>
      <w:pPr>
        <w:pStyle w:val="TextBody"/>
        <w:bidi w:val="0"/>
        <w:spacing w:before="120" w:after="0"/>
        <w:jc w:val="left"/>
        <w:rPr>
          <w:rFonts w:ascii="Times New Roman" w:hAnsi="Times New Roman"/>
          <w:sz w:val="20"/>
        </w:rPr>
      </w:pPr>
      <w:r>
        <w:rPr>
          <w:rFonts w:ascii="Times New Roman" w:hAnsi="Times New Roman"/>
          <w:sz w:val="20"/>
        </w:rPr>
        <w:t xml:space="preserve">(ii)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the Company or any Significant Subsidiary in a proceeding in which the Company or any Significant Subsidiary, is to be adjudicated bankrupt or insolvent; </w:t>
      </w:r>
    </w:p>
    <w:p>
      <w:pPr>
        <w:pStyle w:val="TextBody"/>
        <w:bidi w:val="0"/>
        <w:spacing w:before="120" w:after="0"/>
        <w:jc w:val="left"/>
        <w:rPr>
          <w:rFonts w:ascii="Times New Roman" w:hAnsi="Times New Roman"/>
          <w:sz w:val="20"/>
        </w:rPr>
      </w:pPr>
      <w:r>
        <w:rPr>
          <w:rFonts w:ascii="Times New Roman" w:hAnsi="Times New Roman"/>
          <w:sz w:val="20"/>
        </w:rPr>
        <w:t xml:space="preserve">(B) appoints a receiver, interim receiver, receiver and manager, liquidator, assignee, trustee, sequestrator or other similar official of the Company or any Significant Subsidiary, or for all or substantially all of the property of the Company or any Significant Subsidiary; or </w:t>
      </w:r>
    </w:p>
    <w:p>
      <w:pPr>
        <w:pStyle w:val="TextBody"/>
        <w:bidi w:val="0"/>
        <w:spacing w:before="120" w:after="0"/>
        <w:jc w:val="left"/>
        <w:rPr>
          <w:rFonts w:ascii="Times New Roman" w:hAnsi="Times New Roman"/>
          <w:sz w:val="20"/>
        </w:rPr>
      </w:pPr>
      <w:r>
        <w:rPr>
          <w:rFonts w:ascii="Times New Roman" w:hAnsi="Times New Roman"/>
          <w:sz w:val="20"/>
        </w:rPr>
        <w:t xml:space="preserve">(C) orders the liquidation, dissolution or winding up of the Company or any Significant Subsidiary; </w:t>
      </w:r>
    </w:p>
    <w:p>
      <w:pPr>
        <w:pStyle w:val="TextBody"/>
        <w:bidi w:val="0"/>
        <w:spacing w:before="240" w:after="0"/>
        <w:jc w:val="left"/>
        <w:rPr>
          <w:rFonts w:ascii="Times New Roman" w:hAnsi="Times New Roman"/>
          <w:sz w:val="20"/>
        </w:rPr>
      </w:pPr>
      <w:r>
        <w:rPr>
          <w:rFonts w:ascii="Times New Roman" w:hAnsi="Times New Roman"/>
          <w:sz w:val="20"/>
        </w:rPr>
        <w:t xml:space="preserve">and the order or decree remains unstayed and in effect for 60 consecutive days; </w:t>
      </w:r>
    </w:p>
    <w:p>
      <w:pPr>
        <w:pStyle w:val="TextBody"/>
        <w:bidi w:val="0"/>
        <w:spacing w:before="120" w:after="0"/>
        <w:jc w:val="left"/>
        <w:rPr>
          <w:rFonts w:ascii="Times New Roman" w:hAnsi="Times New Roman"/>
          <w:sz w:val="20"/>
        </w:rPr>
      </w:pPr>
      <w:r>
        <w:rPr>
          <w:rFonts w:ascii="Times New Roman" w:hAnsi="Times New Roman"/>
          <w:sz w:val="20"/>
        </w:rPr>
        <w:t xml:space="preserve">(9) any final judgment or decree for the payment of money (other than judgments which are covered by enforceable insurance policies issued by solvent carriers) in excess of $100.0 million is entered against the Company, any Guarantor or any Significant Subsidiary, remains outstanding for a period of 60 consecutive days following such judgment becoming final and is not discharged, waived or stayed within 30 days after notice; or </w:t>
      </w:r>
    </w:p>
    <w:p>
      <w:pPr>
        <w:pStyle w:val="TextBody"/>
        <w:bidi w:val="0"/>
        <w:spacing w:before="120" w:after="0"/>
        <w:jc w:val="left"/>
        <w:rPr>
          <w:rFonts w:ascii="Times New Roman" w:hAnsi="Times New Roman"/>
          <w:sz w:val="20"/>
        </w:rPr>
      </w:pPr>
      <w:r>
        <w:rPr>
          <w:rFonts w:ascii="Times New Roman" w:hAnsi="Times New Roman"/>
          <w:sz w:val="20"/>
        </w:rPr>
        <w:t xml:space="preserve">(10) a Guarantee ceases to be in full force and effect (other than in accordance with the terms of such Guarantee) or a Guarantor denies or disaffirms its obligations under its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However, a default under clauses (4), (5), (6) and (9) of this Section 6.01 will not constitute an Event of Default until the Trustee or the holders of 25% in principal amount of the outstanding Notes notify the Company (with a copy to the Trustee if given by the holders) of the default and the Company does not cure such default within the time specified after receipt of such notice. In the event of any Event of Default specified under clause (7), such Event of Default and all consequences thereof (excluding any resulting payment default, other than as a result of acceleration of Notes) shall be annulled, waived and rescinded, automatically and without any action by the Trustee or the holders, if within 30 days after such Event of Default arose: (a) holders thereof have rescinded or waived the acceleration, notice or action (as the case may be) giving rise to such Event of Default or (b) the default that is the basis for such Event of Default has been cured.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Acceleration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occurs and is continuing, the Trustee or the holders of at least 25% in principal amount of the outstanding Notes may by written notice to the Company (and to the Trustee if notice is given by the holders) declare the principal of and accrued but unpaid interest, if any, and premium, if any, on all the Notes to be due and payable. Upon such declaration, such principal, interest and premium, if any, shall be due and payable immediately. If an Event of Default under Section 6.01(a)(8) hereof occurs and is continuing, the principal of and interest (and premium, if any) on all the Notes will </w:t>
      </w:r>
      <w:r>
        <w:rPr>
          <w:rFonts w:ascii="Times New Roman" w:hAnsi="Times New Roman"/>
          <w:i/>
          <w:sz w:val="20"/>
        </w:rPr>
        <w:t>ipso facto</w:t>
      </w:r>
      <w:r>
        <w:rPr>
          <w:rFonts w:ascii="Times New Roman" w:hAnsi="Times New Roman"/>
          <w:sz w:val="20"/>
        </w:rPr>
        <w:t xml:space="preserve"> become and be immediately due and payable without any declaration or other act on the part of the Trustee or any holders of the Notes. The holders of a majority in aggregate principal amount of the then outstanding Notes by written notice to the Trustee, on behalf of all of the holders, may rescind any such acceleration with respect to the Notes and its consequences. </w:t>
      </w:r>
    </w:p>
    <w:p>
      <w:pPr>
        <w:pStyle w:val="TextBody"/>
        <w:bidi w:val="0"/>
        <w:spacing w:before="120" w:after="0"/>
        <w:jc w:val="left"/>
        <w:rPr>
          <w:rFonts w:ascii="Times New Roman" w:hAnsi="Times New Roman"/>
          <w:sz w:val="20"/>
        </w:rPr>
      </w:pPr>
      <w:r>
        <w:rPr>
          <w:rFonts w:ascii="Times New Roman" w:hAnsi="Times New Roman"/>
          <w:sz w:val="20"/>
        </w:rPr>
        <w:t xml:space="preserve">(b) Subject to Article 7, in case an Event of Default occurs and is continuing, the Trustee will be under no obligation to exercise any of the rights or powers under this Indenture at the request or direction of any of the holders of the Notes unless such holders have offered to the Trustee indemnity or security satisfactory to it against any loss, liability or expense and then only to the extent required by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Other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occurs and is continuing, the Trustee may pursue any available remedy to collect the payment of principal, premium, if any, and interest on the Notes or to enforce the performance of any provision of the Notes or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outstanding Notes by written notice to the Trustee may, on behalf of all holders, waive any existing Default and its consequences hereunder, except: </w:t>
      </w:r>
    </w:p>
    <w:p>
      <w:pPr>
        <w:pStyle w:val="TextBody"/>
        <w:bidi w:val="0"/>
        <w:spacing w:before="120" w:after="0"/>
        <w:jc w:val="left"/>
        <w:rPr>
          <w:rFonts w:ascii="Times New Roman" w:hAnsi="Times New Roman"/>
          <w:sz w:val="20"/>
        </w:rPr>
      </w:pPr>
      <w:r>
        <w:rPr>
          <w:rFonts w:ascii="Times New Roman" w:hAnsi="Times New Roman"/>
          <w:sz w:val="20"/>
        </w:rPr>
        <w:t xml:space="preserve">(1) a continuing Default in the payment of the principal of, or premium (if any) or interest on, any Note held by a non-consenting holder; and </w:t>
      </w:r>
    </w:p>
    <w:p>
      <w:pPr>
        <w:pStyle w:val="TextBody"/>
        <w:bidi w:val="0"/>
        <w:spacing w:before="120" w:after="0"/>
        <w:jc w:val="left"/>
        <w:rPr>
          <w:rFonts w:ascii="Times New Roman" w:hAnsi="Times New Roman"/>
          <w:sz w:val="20"/>
        </w:rPr>
      </w:pPr>
      <w:r>
        <w:rPr>
          <w:rFonts w:ascii="Times New Roman" w:hAnsi="Times New Roman"/>
          <w:sz w:val="20"/>
        </w:rPr>
        <w:t xml:space="preserve">(2) a Default with respect to a provision that under Section 9.02 cannot be amended without the consent of each holder affected,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subject to Section 6.06, the holders of a majority in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Control by Majority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aggregate principal amount of the outstanding Notes may direct the time, method and place of conducting any proceeding for any remedy available to the Trustee or of exercising any trust or power conferred on the Trustee. The Trustee, however, may refuse to follow any direction that conflicts with law or this Indenture or that the Trustee determines is unduly prejudicial to the rights of any other holder of a Note (it being understood that the Trustee does not have an affirmative duty to ascertain whether or not any such directions are unduly prejudicial to such holders) or that would involve the Trustee in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6.07, no holder shall have any right to pursue any remedy with respect to this Indenture or the Notes </w:t>
      </w:r>
      <w:r>
        <w:rPr>
          <w:rFonts w:ascii="Times New Roman" w:hAnsi="Times New Roman"/>
          <w:i/>
          <w:sz w:val="20"/>
        </w:rPr>
        <w:t>unless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such holder has previously given the Trustee notice that an Event of Default is continuing; </w:t>
      </w:r>
    </w:p>
    <w:p>
      <w:pPr>
        <w:pStyle w:val="TextBody"/>
        <w:bidi w:val="0"/>
        <w:spacing w:before="120" w:after="0"/>
        <w:jc w:val="left"/>
        <w:rPr>
          <w:rFonts w:ascii="Times New Roman" w:hAnsi="Times New Roman"/>
          <w:sz w:val="20"/>
        </w:rPr>
      </w:pPr>
      <w:r>
        <w:rPr>
          <w:rFonts w:ascii="Times New Roman" w:hAnsi="Times New Roman"/>
          <w:sz w:val="20"/>
        </w:rPr>
        <w:t xml:space="preserve">(2) holders of at least 25% in aggregate principal amount of the then outstanding Notes have requested the Trustee to pursue the remedy; </w:t>
      </w:r>
    </w:p>
    <w:p>
      <w:pPr>
        <w:pStyle w:val="TextBody"/>
        <w:bidi w:val="0"/>
        <w:spacing w:before="120" w:after="0"/>
        <w:jc w:val="left"/>
        <w:rPr>
          <w:rFonts w:ascii="Times New Roman" w:hAnsi="Times New Roman"/>
          <w:sz w:val="20"/>
        </w:rPr>
      </w:pPr>
      <w:r>
        <w:rPr>
          <w:rFonts w:ascii="Times New Roman" w:hAnsi="Times New Roman"/>
          <w:sz w:val="20"/>
        </w:rPr>
        <w:t xml:space="preserve">(3) such holders have offered the Trustee security, indemnity or prefunding satisfactory to the Trustee against any loss, liability or expense; </w:t>
      </w:r>
    </w:p>
    <w:p>
      <w:pPr>
        <w:pStyle w:val="TextBody"/>
        <w:bidi w:val="0"/>
        <w:spacing w:before="120" w:after="0"/>
        <w:jc w:val="left"/>
        <w:rPr>
          <w:rFonts w:ascii="Times New Roman" w:hAnsi="Times New Roman"/>
          <w:sz w:val="20"/>
        </w:rPr>
      </w:pPr>
      <w:r>
        <w:rPr>
          <w:rFonts w:ascii="Times New Roman" w:hAnsi="Times New Roman"/>
          <w:sz w:val="20"/>
        </w:rPr>
        <w:t xml:space="preserve">(4) the Trustee has not complied with such request within 60 days after the receipt of the request and the offer of security or indemnity; and </w:t>
      </w:r>
    </w:p>
    <w:p>
      <w:pPr>
        <w:pStyle w:val="TextBody"/>
        <w:bidi w:val="0"/>
        <w:spacing w:before="120" w:after="0"/>
        <w:jc w:val="left"/>
        <w:rPr>
          <w:rFonts w:ascii="Times New Roman" w:hAnsi="Times New Roman"/>
          <w:sz w:val="20"/>
        </w:rPr>
      </w:pPr>
      <w:r>
        <w:rPr>
          <w:rFonts w:ascii="Times New Roman" w:hAnsi="Times New Roman"/>
          <w:sz w:val="20"/>
        </w:rPr>
        <w:t xml:space="preserve">(5) holders of a majority in aggregate principal amount of the then outstanding Notes have not given the Trustee a written direction inconsistent with such request within such 60-day period. </w:t>
      </w:r>
    </w:p>
    <w:p>
      <w:pPr>
        <w:pStyle w:val="TextBody"/>
        <w:bidi w:val="0"/>
        <w:spacing w:before="240" w:after="0"/>
        <w:jc w:val="left"/>
        <w:rPr>
          <w:rFonts w:ascii="Times New Roman" w:hAnsi="Times New Roman"/>
          <w:sz w:val="20"/>
        </w:rPr>
      </w:pPr>
      <w:r>
        <w:rPr>
          <w:rFonts w:ascii="Times New Roman" w:hAnsi="Times New Roman"/>
          <w:sz w:val="20"/>
        </w:rPr>
        <w:t xml:space="preserve">A holder may not use this Indenture to prejudice the rights of another holder or to obtain a preference or priority over another holder. </w:t>
      </w:r>
    </w:p>
    <w:p>
      <w:pPr>
        <w:pStyle w:val="TextBody"/>
        <w:bidi w:val="0"/>
        <w:spacing w:before="240" w:after="0"/>
        <w:jc w:val="left"/>
        <w:rPr>
          <w:rFonts w:ascii="Times New Roman" w:hAnsi="Times New Roman"/>
          <w:sz w:val="20"/>
        </w:rPr>
      </w:pPr>
      <w:r>
        <w:rPr>
          <w:rFonts w:ascii="Times New Roman" w:hAnsi="Times New Roman"/>
          <w:sz w:val="20"/>
        </w:rPr>
        <w:t xml:space="preserve">However, such limitations shall not apply to a suit instituted by a holder of any Note for enforcement of payment of the principal of, or premium (if any) or interest on, such Note on or after the due date therefor (after giving effect to the grace period specified in clauses (1) or (2) of 6.01(a)).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Rights of Holders to Institute Certain Suits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Indenture and any provision of any Note, the right of any holder to receive payment of principal of, or premium (if any) and interest on, its Note, on or after the respective due dates expressed or provided for in such Note, or upon redemption, by declaration, repayment or otherwise, or to institute suit for the enforcement of any such payment on or after such respective dates,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Collection Suit by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specified in Section 6.01(a)(1) or (2) occurs and is continuing, the Trustee may recover judgment in its own name and as trustee of an express trust against the Company and any other obligor on the Notes for the whole amount of principal, premium (if any) and interest remaining unpaid on the Notes, together with interest on overdue principal and, to the extent lawful, interest and such further amount as shall be sufficient to cover the costs and expenses of collection, including the reasonable fees and expenses of the Trustee and its agents and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Restoration of Rights and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Company, the Guarantors, the Trustee and the holders shall be restored severally and respectively to their former positions hereunder and thereafter all rights and remedies of the Company, the Guarantors, the Trustee and the holders shall continue as though no such proceeding has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Rights and Remedies Cumulative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are,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Delay or Omission Not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file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including the Guarantors), its creditors or its Property and is entitled and empowered to participate as a member in any official committee of creditors appointed in such matter and to collect, receive and distribute any money or other property payable or deliverable on any such claims.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fees and expenses of the Trustee and its agents and counsel, and any other amounts due the Trustee under Section 7.07. To the extent that the payment of any such fees and expenses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Priorities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money or Property collected by the Trustee pursuant to this Article 6, and after an Event of Default any money or other Property distributable in respect of the Company’s or Guarantors’ obligations under this Indenture, shall be paid or distributed in the following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to the Trustee (including any predecessor Trustee) and its agents and attorneys for amounts due under Section 7.07, including payment of all reasonable compensation, expenses and liabilities incurred, and all advances made, by the Trustee and the costs and expenses of collection; </w:t>
      </w:r>
    </w:p>
    <w:p>
      <w:pPr>
        <w:pStyle w:val="TextBody"/>
        <w:bidi w:val="0"/>
        <w:spacing w:before="120" w:after="0"/>
        <w:jc w:val="left"/>
        <w:rPr>
          <w:rFonts w:ascii="Times New Roman" w:hAnsi="Times New Roman"/>
          <w:sz w:val="20"/>
        </w:rPr>
      </w:pPr>
      <w:r>
        <w:rPr>
          <w:rFonts w:ascii="Times New Roman" w:hAnsi="Times New Roman"/>
          <w:sz w:val="20"/>
        </w:rPr>
        <w:t xml:space="preserve">(2) to holders for amounts due and unpaid on the Notes for principal, premium (if any) and interest ratably, without preference or priority of any kind, according to the amounts due and payable on the Notes for principal, premium (if any) and interest, respectively; and </w:t>
      </w:r>
    </w:p>
    <w:p>
      <w:pPr>
        <w:pStyle w:val="TextBody"/>
        <w:bidi w:val="0"/>
        <w:spacing w:before="120" w:after="0"/>
        <w:jc w:val="left"/>
        <w:rPr>
          <w:rFonts w:ascii="Times New Roman" w:hAnsi="Times New Roman"/>
          <w:sz w:val="20"/>
        </w:rPr>
      </w:pPr>
      <w:r>
        <w:rPr>
          <w:rFonts w:ascii="Times New Roman" w:hAnsi="Times New Roman"/>
          <w:sz w:val="20"/>
        </w:rPr>
        <w:t xml:space="preserve">(3) to the Company or to such party as a court of competent jurisdiction shall direct, including a Guarantor, if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to holders pursuant to this Section 6.13. Promptly after any record date is set pursuant to this Section 6.13, the Trustee shall cause notice of such record date and payment date to be given to the Company and to each holder in the manner set forth in Section 12.02.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a Trustee, a court in its discretion may require the filing by any party litigant in such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pursuant to Section 6.07, or a suit by a holder or holders of more than 10% in aggregate principal amount of the outstanding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12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the duties of the Trustee shall be determined solely by the express provisions of this Indenture and the Trustee need perform only those duties that are specifically set forth in this Indenture and no others, and no implied covenants or obligations shall be implied in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(2) in the absence of bad faith on its part, the Trustee may conclusively rely, as to the truth of the statements and the correctness of the opinions expressed therein, upon certificates (including officer’s certificates) or opinions (including Opinions of Counsel)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any mathematical calculations or other facts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herein to the contrary, the Trustee may not be relieved from liabilities for its own negligent action, its own negligent failure to act, or its own willful misconduct, except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this paragraph does not limit the effect of Section 7.01(b); and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Responsible Officer, unless it is proved in a court of competent jurisdiction that the Trustee was negligent in ascertaining the pertinent facts; and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not be liable with respect to any action it takes or omits to take in good faith in accordance with a direction received by it pursuant to Section 6.05.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expressly so provided, every provision of this Indenture that in any way relates to the Trustee is subject to paragraphs (a), (b) and (c) of this Section 7.01.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liable for interest on any money received by it except as the Trustee may agree in writing with the Company. Money held in trust by the Trustee need not be segregated from other funds except to the extent required by law. The permissive rights or powers of the Trustee to do things enumerated in this Indenture shall not be construed as a duty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7.01: </w:t>
      </w:r>
    </w:p>
    <w:p>
      <w:pPr>
        <w:pStyle w:val="TextBody"/>
        <w:bidi w:val="0"/>
        <w:spacing w:before="120" w:after="0"/>
        <w:jc w:val="left"/>
        <w:rPr>
          <w:rFonts w:ascii="Times New Roman" w:hAnsi="Times New Roman"/>
          <w:sz w:val="20"/>
        </w:rPr>
      </w:pPr>
      <w:r>
        <w:rPr>
          <w:rFonts w:ascii="Times New Roman" w:hAnsi="Times New Roman"/>
          <w:sz w:val="20"/>
        </w:rPr>
        <w:t xml:space="preserve">(a) In the absence of bad faith on its part, the Trustee may conclusively rely upon any document (whether in its original or facsimile form)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in good faith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its attorneys and agents and shall not be responsible for the misconduct or negligence of any agent or attorney appointed with due care.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that it believes to be authorized or within the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(e) Unless otherwise specifically provided in this Indenture, any demand, request, direction or notice from the Company or a Guarantor shall be sufficient if signed by an Officer of the Company or such Guarantor. </w:t>
      </w:r>
    </w:p>
    <w:p>
      <w:pPr>
        <w:pStyle w:val="TextBody"/>
        <w:bidi w:val="0"/>
        <w:spacing w:before="120" w:after="0"/>
        <w:jc w:val="left"/>
        <w:rPr>
          <w:rFonts w:ascii="Times New Roman" w:hAnsi="Times New Roman"/>
          <w:sz w:val="20"/>
        </w:rPr>
      </w:pPr>
      <w:r>
        <w:rPr>
          <w:rFonts w:ascii="Times New Roman" w:hAnsi="Times New Roman"/>
          <w:sz w:val="20"/>
        </w:rPr>
        <w:t xml:space="preserve">(f) 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 </w:t>
      </w:r>
    </w:p>
    <w:p>
      <w:pPr>
        <w:pStyle w:val="TextBody"/>
        <w:bidi w:val="0"/>
        <w:spacing w:before="120" w:after="0"/>
        <w:jc w:val="left"/>
        <w:rPr>
          <w:rFonts w:ascii="Times New Roman" w:hAnsi="Times New Roman"/>
          <w:sz w:val="20"/>
        </w:rPr>
      </w:pPr>
      <w:r>
        <w:rPr>
          <w:rFonts w:ascii="Times New Roman" w:hAnsi="Times New Roman"/>
          <w:sz w:val="20"/>
        </w:rPr>
        <w:t xml:space="preserve">(g) The Trustee shall not be deemed to have notice or knowledge of any Default or Event of Default unless a Responsible Officer of the Trustee has actual knowledge thereof or unless written notice by the Company or by the holders of at least 25% of the aggregate principal amount of the Notes of any event which is in fact such a Default is received by the Trustee, and such notice references the existence of a Default or Event of Default, the Notes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(i) The rights, privileges, protections, immunities and benefits given to the Trustee, including, without limitation, its right to be compensated, reimbursed and indemnified, are extended to, and shall be enforceable by, the Trustee in each of its capacities hereunder, and each agent, custodian and other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(j) The Trustee may request that the Company deliver an Officer’s Certificate setting forth the names of individuals 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spacing w:before="120" w:after="0"/>
        <w:jc w:val="left"/>
        <w:rPr>
          <w:rFonts w:ascii="Times New Roman" w:hAnsi="Times New Roman"/>
          <w:sz w:val="20"/>
        </w:rPr>
      </w:pPr>
      <w:r>
        <w:rPr>
          <w:rFonts w:ascii="Times New Roman" w:hAnsi="Times New Roman"/>
          <w:sz w:val="20"/>
        </w:rPr>
        <w:t xml:space="preserve">(k) The Trustee shall not be required to give any bond or surety in respect of the performance of its powers and duties hereunder. </w:t>
      </w:r>
    </w:p>
    <w:p>
      <w:pPr>
        <w:pStyle w:val="TextBody"/>
        <w:bidi w:val="0"/>
        <w:spacing w:before="120" w:after="0"/>
        <w:jc w:val="left"/>
        <w:rPr>
          <w:rFonts w:ascii="Times New Roman" w:hAnsi="Times New Roman"/>
          <w:sz w:val="20"/>
        </w:rPr>
      </w:pPr>
      <w:r>
        <w:rPr>
          <w:rFonts w:ascii="Times New Roman" w:hAnsi="Times New Roman"/>
          <w:sz w:val="20"/>
        </w:rPr>
        <w:t xml:space="preserve">(l) The Trustee will be under no obligation to exercise any of the rights or powers under this Indenture at the request or direction of any of the holders of the Notes unless such holders have offered to the Trustee indemnity or security satisfactory to it against any loss, liability or expense and then only to the extent required by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Individual 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or any Agent in its individual or any other capacity may become the owner or pledgee of Notes and may otherwise deal with the Company or any Affiliate of the Company with the same rights it would have if it were not Trustee or such Agent. However, in the event that the Trustee acquires any conflicting interest within the meaning of Trust Indenture Act Section 310(b) it must eliminate such conflict within 90 days or resign. Any Agent may do the same with like rights and duties.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Trustee’s Disclaimer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not be responsible for and makes no representation as to the validity or adequacy of this Indenture or the Notes or the Guarantees,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in the Offering Memorandum or any other document in connection with the sale of the Notes or pursuant to this Indenture other than its certificate of authentication on the Notes. Under no circumstances shall the Trustee be liable in its individual capacity for the obligations evidenced by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Default or Event of Default occurs and is continuing and is known to a Responsible Officer of the Trustee, the Trustee will mail (or deliver by electronic transmission in accordance with the applicable procedures of DTC) to each holder a notice of the Default or Event of Default within 90 days after it occurs. Except in the case of a Default or an Event of Default specified in clauses (1) or (2) of Section 6.01(a), the Trustee may withhold notice if in good faith the Trustee determines that withholding notice is in the interest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Reports by Trustee to Holders of the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Within 60 days after each September 15, beginning in 2026, and for so long as Notes remain outstanding, the Trustee shall mail (or deliver by electronic transmission in accordance with the applicable procedures of DTC) to the holders of the Notes a brief report dated as of such reporting date that complies with Trust Indenture Act Section 313(a) (but if no event described in Trust Indenture Act Section 313(a) has occurred within the twelve months preceding the reporting date, no report need be transmitted). The Trustee also shall comply with Trust Indenture Act Section 313(b)(2). The Trustee shall also transmit by mail all reports as required by Trust Indenture Act Section 313(c).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copy of each report at the time of its mailing to the holders shall be mailed to the Company in accordance with Trust Indenture Act Section 313(d). The Company shall promptly notify the Trustee in writing in the event the Notes are listed on any national securities exchange or delisted therefrom.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the Guarantors, jointly and severally,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Company shall reimburse the Trustee promptly upon request for all reasonable fees and expenses incurred by it in connection with performing its duties hereunder, in addition to the compensation for its services. Such expenses shall include the reasonable fees and expenses of the Trustee’s agents and counsel. The Trustee shall provide the Company reasonable notice of such 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the Guarantors, jointly and severally, shall indemnify the Trustee for, and hold each of the Trustee and any predecessor harmless against, any and all loss, damage, claims, liability or expense (including attorneys’ fees and expenses) incurred by it without negligence or willful misconduct on its part in connection with the acceptance or administration of this trust and the performance of its duties hereunder (including the costs and expenses of enforcing this Indenture against the Company or any Guarantor (including this Section 7.07)) or defending itself against any claim made in connection with the performance of its duties hereunder whether asserted by any holder, the Company or any Guarantor, or liability in connection with the acceptance, exercise or performance of any of its powers or duties hereunder). The Trustee shall notify the Company promptly of any claim for which it may seek indemnity. Failure by the Trustee to so notify the Company shall not relieve the Company of its obligations hereunder. The Company need not reimburse any expense or indemnify against any loss, liability or expense determined to have been caused by the Trustee through the Trustee’s own willful misconduct or negligence. </w:t>
      </w:r>
    </w:p>
    <w:p>
      <w:pPr>
        <w:pStyle w:val="TextBody"/>
        <w:bidi w:val="0"/>
        <w:spacing w:before="120" w:after="0"/>
        <w:jc w:val="left"/>
        <w:rPr>
          <w:rFonts w:ascii="Times New Roman" w:hAnsi="Times New Roman"/>
          <w:sz w:val="20"/>
        </w:rPr>
      </w:pPr>
      <w:r>
        <w:rPr>
          <w:rFonts w:ascii="Times New Roman" w:hAnsi="Times New Roman"/>
          <w:sz w:val="20"/>
        </w:rPr>
        <w:t xml:space="preserve">(c) The obligations of the Company and the Guarantors under this Section 7.07 shall survive the satisfaction and discharge of this Indenture or the earlier resignation or removal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(d) To secure the payment obligations of the Company and the Guarantors in this Section 7.07, the Trustee shall have a Lien prior to the Notes on all money or property held or collected by the Trustee, except that held in trust to pay principal of, and premium (if any) and interest on, particular Notes. Such Lien shall survive the satisfaction and discharge of this Indenture and resignation or removal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(e) When the Trustee incurs expenses or renders services after an Event of Default specified in Section 6.01(a)(8) occurs, the expenses and the compensation for the services (including the fees and expenses of its agents and counsel) are intended to constitute expenses of administration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(f) “Trustee” for the purposes of this Section 7.07 shall include any predecessor Trustee and the Trustee in each of its capacities hereunder and each agent, custodian and other person employed to act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negligence or willful misconduct of any Trustee hereunder shall not affect the rights of any other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Replacement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resignation or removal of the Trustee and appointment of a successor Trustee shall become effective only upon the successor Trustee’s acceptance of appointment as provided in this Section 7.08. The Trustee may resign in writing at any time by giving 30 days’ prior notice of such resignation to the Company and be discharged from the trust hereby created by so notifying the Company. The holders of a majority in aggregate principal amount of the then outstanding Notes may remove the Trustee by so notifying the Trustee and the Company in writing. The Company may remove the Trustee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Trustee fails to comply with Section 7.10; </w:t>
      </w:r>
    </w:p>
    <w:p>
      <w:pPr>
        <w:pStyle w:val="TextBody"/>
        <w:bidi w:val="0"/>
        <w:spacing w:before="120" w:after="0"/>
        <w:jc w:val="left"/>
        <w:rPr>
          <w:rFonts w:ascii="Times New Roman" w:hAnsi="Times New Roman"/>
          <w:sz w:val="20"/>
        </w:rPr>
      </w:pPr>
      <w:r>
        <w:rPr>
          <w:rFonts w:ascii="Times New Roman" w:hAnsi="Times New Roman"/>
          <w:sz w:val="20"/>
        </w:rPr>
        <w:t xml:space="preserve">(2)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(3) a receiver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(4) the Trustee becomes incapable of acting. </w:t>
      </w:r>
    </w:p>
    <w:p>
      <w:pPr>
        <w:pStyle w:val="TextBody"/>
        <w:bidi w:val="0"/>
        <w:spacing w:before="120" w:after="0"/>
        <w:jc w:val="left"/>
        <w:rPr>
          <w:rFonts w:ascii="Times New Roman" w:hAnsi="Times New Roman"/>
          <w:sz w:val="20"/>
        </w:rPr>
      </w:pPr>
      <w:r>
        <w:rPr>
          <w:rFonts w:ascii="Times New Roman" w:hAnsi="Times New Roman"/>
          <w:sz w:val="20"/>
        </w:rPr>
        <w:t xml:space="preserve">(b) 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Notes may remove the successor Trustee to replace it with another successor Trustee appointed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If a successor Trustee does not take office within 30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(d) If the Trustee, after written request by any holder who has been a holder for at least six months, fails to comply with Section 7.10, such holder may petition any court of competent jurisdiction for the removal of the Trustee and the appointment of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(e) 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(or deliver by electronic transmission in accordance with the applicable procedures of DTC) a notice of its succession to holders. The retiring Trustee shall promptly transfer all property held by it as Trustee to the successor Trustee; </w:t>
      </w:r>
      <w:r>
        <w:rPr>
          <w:rFonts w:ascii="Times New Roman" w:hAnsi="Times New Roman"/>
          <w:i/>
          <w:sz w:val="20"/>
        </w:rPr>
        <w:t>provided</w:t>
      </w:r>
      <w:r>
        <w:rPr>
          <w:rFonts w:ascii="Times New Roman" w:hAnsi="Times New Roman"/>
          <w:sz w:val="20"/>
        </w:rPr>
        <w:t xml:space="preserve"> that all sums owing to the Trustee hereunder have been paid and such transfer shall be subject to the Lien provided for in Section 7.07. Notwithstanding replacement of the Trustee pursuant to this Section 7.08, the Company’s obligations under Section 7.07 shall continue for the benefit of the retiring Trustee. </w:t>
      </w:r>
    </w:p>
    <w:p>
      <w:pPr>
        <w:pStyle w:val="TextBody"/>
        <w:bidi w:val="0"/>
        <w:spacing w:before="120" w:after="0"/>
        <w:jc w:val="left"/>
        <w:rPr>
          <w:rFonts w:ascii="Times New Roman" w:hAnsi="Times New Roman"/>
          <w:sz w:val="20"/>
        </w:rPr>
      </w:pPr>
      <w:r>
        <w:rPr>
          <w:rFonts w:ascii="Times New Roman" w:hAnsi="Times New Roman"/>
          <w:sz w:val="20"/>
        </w:rPr>
        <w:t xml:space="preserve">(f) As used in this Section 7.08, the term “Trustee” shall also include each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Successor Trustee by Merger,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consolidates,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Eligibility; Disqualification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shall at all times satisfy with the requirements of TIA Section 310(a). There shall at all times be a Trustee hereunder that is a corporation or national banking association organized and doing business under the laws of the United States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 </w:t>
      </w:r>
    </w:p>
    <w:p>
      <w:pPr>
        <w:pStyle w:val="TextBody"/>
        <w:bidi w:val="0"/>
        <w:spacing w:before="120" w:after="0"/>
        <w:jc w:val="left"/>
        <w:rPr>
          <w:rFonts w:ascii="Times New Roman" w:hAnsi="Times New Roman"/>
          <w:sz w:val="20"/>
        </w:rPr>
      </w:pPr>
      <w:r>
        <w:rPr>
          <w:rFonts w:ascii="Times New Roman" w:hAnsi="Times New Roman"/>
          <w:sz w:val="20"/>
        </w:rPr>
        <w:t xml:space="preserve">(b) The Trustee shall comply with Trust Indenture Act Section 310(b).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8 </w:t>
      </w:r>
    </w:p>
    <w:p>
      <w:pPr>
        <w:pStyle w:val="TextBody"/>
        <w:bidi w:val="0"/>
        <w:spacing w:before="240" w:after="0"/>
        <w:jc w:val="center"/>
        <w:rPr>
          <w:rFonts w:ascii="Times New Roman" w:hAnsi="Times New Roman"/>
          <w:sz w:val="20"/>
        </w:rPr>
      </w:pPr>
      <w:r>
        <w:rPr>
          <w:rFonts w:ascii="Times New Roman" w:hAnsi="Times New Roman"/>
          <w:sz w:val="20"/>
        </w:rPr>
        <w:t xml:space="preserve">LEGAL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Option to Effect Legal Defeasance or Covenant Defeasance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its option and at any time, elect to have either Section 8.02 or Section 8.03 applied to all outstanding Notes upon compliance with the conditions set forth below in this Article 8.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Legal Defeasance and Discharge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the Company’s exercise under Section 8.01 of the option applicable to this Section 8.02, the Company and the Guarantors shall, subject to the satisfaction of the conditions set forth in Section 8.04, be deemed to have been discharged from their obligations with respect to this Indenture, all outstanding Notes and Guarantees on the date the conditions set forth below are satisfied (“</w:t>
      </w:r>
      <w:r>
        <w:rPr>
          <w:rFonts w:ascii="Times New Roman" w:hAnsi="Times New Roman"/>
          <w:i/>
          <w:sz w:val="20"/>
        </w:rPr>
        <w:t>Legal Defeasance</w:t>
      </w:r>
      <w:r>
        <w:rPr>
          <w:rFonts w:ascii="Times New Roman" w:hAnsi="Times New Roman"/>
          <w:sz w:val="20"/>
        </w:rPr>
        <w:t xml:space="preserve">”). For this purpose, Legal Defeasance means that the Company shall be deemed to have paid and discharged the entire Debt represented by the outstanding Notes, which shall thereafter be deemed to be “outstanding” only for the purposes of Section 8.05 and the other Sections of this Indenture referred to in clauses (1) through (4) below, and to have satisfied all of its other obligations under such Notes and this Indenture, including that of the Guarantors under their Guarantees (and the Trustee, at the request of the Company, shall execute proper instruments acknowledging the same), except for the following provisions which shall survive until otherwise terminated or discharged hereunder: </w:t>
      </w:r>
    </w:p>
    <w:p>
      <w:pPr>
        <w:pStyle w:val="TextBody"/>
        <w:bidi w:val="0"/>
        <w:spacing w:before="120" w:after="0"/>
        <w:jc w:val="left"/>
        <w:rPr>
          <w:rFonts w:ascii="Times New Roman" w:hAnsi="Times New Roman"/>
          <w:sz w:val="20"/>
        </w:rPr>
      </w:pPr>
      <w:r>
        <w:rPr>
          <w:rFonts w:ascii="Times New Roman" w:hAnsi="Times New Roman"/>
          <w:sz w:val="20"/>
        </w:rPr>
        <w:t xml:space="preserve">(1) the rights of holders to receive payments in respect of the principal of, and premium (if any) and interest on, the Notes when such payments are due, solely out of the trust referred to in Section 8.04; </w:t>
      </w:r>
    </w:p>
    <w:p>
      <w:pPr>
        <w:pStyle w:val="TextBody"/>
        <w:bidi w:val="0"/>
        <w:spacing w:before="120" w:after="0"/>
        <w:jc w:val="left"/>
        <w:rPr>
          <w:rFonts w:ascii="Times New Roman" w:hAnsi="Times New Roman"/>
          <w:sz w:val="20"/>
        </w:rPr>
      </w:pPr>
      <w:r>
        <w:rPr>
          <w:rFonts w:ascii="Times New Roman" w:hAnsi="Times New Roman"/>
          <w:sz w:val="20"/>
        </w:rPr>
        <w:t xml:space="preserve">(2) the Company’s obligations with respect to the Notes concerning issuing temporary Notes, registration of Notes, mutilated, destroyed, lost or stolen Notes and the maintenance of an office or agency for payment and money for Note payments held in trust; </w:t>
      </w:r>
    </w:p>
    <w:p>
      <w:pPr>
        <w:pStyle w:val="TextBody"/>
        <w:bidi w:val="0"/>
        <w:spacing w:before="120" w:after="0"/>
        <w:jc w:val="left"/>
        <w:rPr>
          <w:rFonts w:ascii="Times New Roman" w:hAnsi="Times New Roman"/>
          <w:sz w:val="20"/>
        </w:rPr>
      </w:pPr>
      <w:r>
        <w:rPr>
          <w:rFonts w:ascii="Times New Roman" w:hAnsi="Times New Roman"/>
          <w:sz w:val="20"/>
        </w:rPr>
        <w:t xml:space="preserve">(3) the rights, powers, trusts, duties and immunities of the Trustee, and the Company’s obligations in connection therewith; and </w:t>
      </w:r>
    </w:p>
    <w:p>
      <w:pPr>
        <w:pStyle w:val="TextBody"/>
        <w:bidi w:val="0"/>
        <w:spacing w:before="120" w:after="0"/>
        <w:jc w:val="left"/>
        <w:rPr>
          <w:rFonts w:ascii="Times New Roman" w:hAnsi="Times New Roman"/>
          <w:sz w:val="20"/>
        </w:rPr>
      </w:pPr>
      <w:r>
        <w:rPr>
          <w:rFonts w:ascii="Times New Roman" w:hAnsi="Times New Roman"/>
          <w:sz w:val="20"/>
        </w:rPr>
        <w:t xml:space="preserve">(4) this Section 8.02.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exercises its Legal Defeasance option, payment of the Notes may not be accelerated because of an Event of Default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(c) Subject to compliance with this Article 8, the Company may exercise its option under this Section 8.02 notwithstanding its prior exercise of its option under Section 8.03.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Upon the Company’s exercise under Section 8.01 of the option applicable to this Section 8.03, the Company and the Guarantors shall, subject to the satisfaction of the conditions set forth in Section 8.04, be released from their obligations under the covenants contained in Sections 4.03, 4.05, 4.06, 4.07, 4.08, 4.09, 4.10, 4.11 and 4.12, and the Guarantors shall be deemed to have been discharged from their obligations with respect to all Guarantees, on and after the date the conditions set forth in Section 8.04 are satisfied (“</w:t>
      </w:r>
      <w:r>
        <w:rPr>
          <w:rFonts w:ascii="Times New Roman" w:hAnsi="Times New Roman"/>
          <w:i/>
          <w:sz w:val="20"/>
        </w:rPr>
        <w:t>Covenant Defeasance</w:t>
      </w:r>
      <w:r>
        <w:rPr>
          <w:rFonts w:ascii="Times New Roman" w:hAnsi="Times New Roman"/>
          <w:sz w:val="20"/>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this Indenture and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provision herein or in any other document and such omission to comply shall not constitute a Default or an Event of Default under Section 6.01, but, except as specified above, the remainder of this Indenture and such Notes and the Guarantees shall be unaffected thereby. If the Company exercises its Covenant Defeasance option, an Event of Default specified in Section 6.01(a)(4), 6.01(a)(5), 6.01(a)(6) (only with respect to covenants that are released as a result of such Covenant Defeasance), 6.01(a)(7), 6.01(a)(8) (solely with respect to Significant Subsidiaries), Section 6.01(a)(9) or 6.01(a)(10), in each case, shall not constitute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Conditions to Legal or Covenant Defeasance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following shall be the conditions to the exercise of either the Legal Defeasance option under Section 8.02 or the Covenant Defeasance option under Section 8.03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must irrevocably deposit with the Trustee, in trust, for the benefit of the holders, cash in U.S. dollars, Government Securities, or a combination thereof, in amounts as will be sufficient, in the opinion of a nationally recognized firm of independent public accountants, a nationally recognized investment bank or a nationally recognized appraisal or valuation firm delivered to the Trustee, without consideration of any reinvestment of interest, to pay the principal of, and premium (if any) and interest due on the outstanding Notes on the Stated Maturity or on the applicable redemption date, as the case may be, and the Company must specify whether the Notes are being defeased to maturity or to a particular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Legal Defeasance, the Company has delivered to the Trustee an Opinion of Counsel confirming that, subject to customary assumptions and exclusions,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received from, or there has been published by, the U.S. Internal Revenue Service a ruling, or </w:t>
      </w:r>
    </w:p>
    <w:p>
      <w:pPr>
        <w:pStyle w:val="TextBody"/>
        <w:bidi w:val="0"/>
        <w:spacing w:before="120" w:after="0"/>
        <w:jc w:val="left"/>
        <w:rPr>
          <w:rFonts w:ascii="Times New Roman" w:hAnsi="Times New Roman"/>
          <w:sz w:val="20"/>
        </w:rPr>
      </w:pPr>
      <w:r>
        <w:rPr>
          <w:rFonts w:ascii="Times New Roman" w:hAnsi="Times New Roman"/>
          <w:sz w:val="20"/>
        </w:rPr>
        <w:t xml:space="preserve">(B) since the Issue Date, there has been a change in the applicable U.S. federal income tax law, in either case to the effect that, and based thereon such Opinion of Counsel will confirm that the beneficial owners will be subject to U.S. federal income tax on the same amounts, in the same manner and at the same times as would have been the case if such Legal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Covenant Defeasance, the Company has delivered to the Trustee an Opinion of Counsel confirming that, subject to customary assumptions and exclusions, the beneficial owners will be subject to U.S. federal income tax on the same amounts, in the same manner and at the same times as would have been the case if such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(4) no Default or Event of Default has occurred and is continuing on the date of such deposit or will occur as a result of such deposit (other than a Default or an Event of Default resulting from the borrowing of funds to be applied to make such deposit and any similar and simultaneous deposit relating to other Debt and, in each case, the granting of Liens in connection therewith) and the deposit will not result in a breach or violation of, or constitute a default under, the Credit Agreement or any other material agreement or material debt instrument (other than this Indenture) to which the Company or any Guarantor is a party or by which the Company or any Guarantor is bound; </w:t>
      </w:r>
    </w:p>
    <w:p>
      <w:pPr>
        <w:pStyle w:val="TextBody"/>
        <w:bidi w:val="0"/>
        <w:spacing w:before="120" w:after="0"/>
        <w:jc w:val="left"/>
        <w:rPr>
          <w:rFonts w:ascii="Times New Roman" w:hAnsi="Times New Roman"/>
          <w:sz w:val="20"/>
        </w:rPr>
      </w:pPr>
      <w:r>
        <w:rPr>
          <w:rFonts w:ascii="Times New Roman" w:hAnsi="Times New Roman"/>
          <w:sz w:val="20"/>
        </w:rPr>
        <w:t xml:space="preserve">(5) the Company has delivered to the Trustee an Officer’s Certificate and an Opinion of Counsel (which Opinion of Counsel may be subject to customary assumptions and exclusions), each stating that all conditions precedent relating to the Legal Defeasance or the Covenant Defeasance, as the case may be,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(6) the Company has delivered irrevocable instructions to the Trustee to apply the deposited money toward the payment of the Notes at maturity or the redemption date,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Deposited Money and Government Securities to Be Held in Trust; Other 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Section 8.06, all money and Government Securities (including the proceeds thereof) deposited with the Trustee pursuant to Section 8.04 in respect of the outstanding Notes shall be held in trust and applied by the Trustee, in accordance with the provisions of such Notes and this Indenture, to the payment, either directly or through any Paying Agent (including the Company or a Guarantor acting as Paying Agent) as the Trustee may determine, to the holders of all sums due and to become due thereon in respect of principal of, and premium (if any) and interest on, the Notes, but such money need not be segregated from other funds except to the extent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(b) Anything in this Article 8 to the contrary notwithstanding, the Trustee will deliver or pay to the Company from time to time upon the request of the Company any money or Government Securities held by it as provided in Section 8.04 which, in the opinion of a nationally recognized firm of independent public accountants, a nationally recognized investment bank or a nationally recognized appraisal or valuation firm expressed in a written certification thereof delivered to the Trustee (which may be the opinion delivered under Section 8.04(a)), are in excess of the amount thereof that would then be required to be deposited to effect an equivalent Legal Defeasance or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Repayment to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money deposited with the Trustee or any Paying Agent, or then held by the Company, in trust for the payment of the principal of, or premium (if any) or interest on, any Note and remaining unclaimed for two years after such principal, premium (if any) or interest has become due and payable shall be paid to the Company on its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and for so long as the Trustee or Paying Agent is unable to apply any U.S. dollars or Government Securities in accordance with Section 8.02 or Section 8.03, as the case may be, by reason of any order or judgment of any court or governmental authority enjoining, restraining or otherwise prohibiting such application, then the Company’s and the Guarantors’ obligations under this Indenture, the Notes and the Guarantees shall be revived and reinstated as though no deposit had occurred pursuant to Section 8.02 or Section 8.03 until such time as the Trustee or Paying Agent is permitted to apply all such money in accordance with Section 8.02 or Section 8.03, as the case may be; </w:t>
      </w:r>
      <w:r>
        <w:rPr>
          <w:rFonts w:ascii="Times New Roman" w:hAnsi="Times New Roman"/>
          <w:i/>
          <w:sz w:val="20"/>
        </w:rPr>
        <w:t>provided</w:t>
      </w:r>
      <w:r>
        <w:rPr>
          <w:rFonts w:ascii="Times New Roman" w:hAnsi="Times New Roman"/>
          <w:sz w:val="20"/>
        </w:rPr>
        <w:t xml:space="preserve"> that, if the Company makes any payment of principal of, or premium (if any) or interest on, any Note following the reinstatement of its obligations, the Company shall be subrogated to the rights of the holders to receive such payment from the money held by the Trustee or Paying Agent. </w:t>
      </w:r>
    </w:p>
    <w:p>
      <w:pPr>
        <w:pStyle w:val="TextBody"/>
        <w:bidi w:val="0"/>
        <w:spacing w:before="240" w:after="0"/>
        <w:jc w:val="center"/>
        <w:rPr>
          <w:rFonts w:ascii="Times New Roman" w:hAnsi="Times New Roman"/>
          <w:sz w:val="20"/>
        </w:rPr>
      </w:pPr>
      <w:r>
        <w:rPr>
          <w:rFonts w:ascii="Times New Roman" w:hAnsi="Times New Roman"/>
          <w:sz w:val="20"/>
        </w:rPr>
        <w:t xml:space="preserve">ARTICLE 9 </w:t>
      </w:r>
    </w:p>
    <w:p>
      <w:pPr>
        <w:pStyle w:val="TextBody"/>
        <w:bidi w:val="0"/>
        <w:spacing w:before="240" w:after="0"/>
        <w:jc w:val="center"/>
        <w:rPr>
          <w:rFonts w:ascii="Times New Roman" w:hAnsi="Times New Roman"/>
          <w:sz w:val="20"/>
        </w:rPr>
      </w:pPr>
      <w:r>
        <w:rPr>
          <w:rFonts w:ascii="Times New Roman" w:hAnsi="Times New Roman"/>
          <w:sz w:val="20"/>
        </w:rPr>
        <w:t xml:space="preserve">AMENDMENT, SUPPLEMENT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Without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Section 9.02, without the consent of any holder of the Notes, the Company, the Guarantors and Trustee may amend or supplement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 to cure any ambiguity, omission, defect or inconsistency, as determined in good faith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(2) to provide for the assumption by a successor Person of the obligations of the Company or any Guarantor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 to provide for uncertificated Notes in addition to or in place of certificated Notes (</w:t>
      </w:r>
      <w:r>
        <w:rPr>
          <w:rFonts w:ascii="Times New Roman" w:hAnsi="Times New Roman"/>
          <w:i/>
          <w:sz w:val="20"/>
        </w:rPr>
        <w:t>provided</w:t>
      </w:r>
      <w:r>
        <w:rPr>
          <w:rFonts w:ascii="Times New Roman" w:hAnsi="Times New Roman"/>
          <w:sz w:val="20"/>
        </w:rPr>
        <w:t xml:space="preserve"> that the uncertificated Notes are issued in registered form for purposes of Section 163(f) of the Code); </w:t>
      </w:r>
    </w:p>
    <w:p>
      <w:pPr>
        <w:pStyle w:val="TextBody"/>
        <w:bidi w:val="0"/>
        <w:spacing w:before="120" w:after="0"/>
        <w:jc w:val="left"/>
        <w:rPr>
          <w:rFonts w:ascii="Times New Roman" w:hAnsi="Times New Roman"/>
          <w:sz w:val="20"/>
        </w:rPr>
      </w:pPr>
      <w:r>
        <w:rPr>
          <w:rFonts w:ascii="Times New Roman" w:hAnsi="Times New Roman"/>
          <w:sz w:val="20"/>
        </w:rPr>
        <w:t xml:space="preserve">(4) to add guarantees with respect to the Notes, including any Guarantees, or to secure the Notes; </w:t>
      </w:r>
    </w:p>
    <w:p>
      <w:pPr>
        <w:pStyle w:val="TextBody"/>
        <w:bidi w:val="0"/>
        <w:spacing w:before="120" w:after="0"/>
        <w:jc w:val="left"/>
        <w:rPr>
          <w:rFonts w:ascii="Times New Roman" w:hAnsi="Times New Roman"/>
          <w:sz w:val="20"/>
        </w:rPr>
      </w:pPr>
      <w:r>
        <w:rPr>
          <w:rFonts w:ascii="Times New Roman" w:hAnsi="Times New Roman"/>
          <w:sz w:val="20"/>
        </w:rPr>
        <w:t xml:space="preserve">(5) to add to the covenants of the Company or any Subsidiary for the benefit of the holders of the Notes or to surrender any right or power conferred upon the Company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(6) to make any change that does not materially adversely affect the rights of any holder of the Notes, as determined in good faith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(7) to conform the text of this Indenture, the Guarantees or the Notes to any provision of the “Description of Notes” section of the Offering Memorandum, to the extent that such provision in the “Description of Notes” section of the Offering Memorandum was intended to be a substantially verbatim recitation of a provision of this Indenture, the Guarantees or the Notes; </w:t>
      </w:r>
    </w:p>
    <w:p>
      <w:pPr>
        <w:pStyle w:val="TextBody"/>
        <w:bidi w:val="0"/>
        <w:spacing w:before="120" w:after="0"/>
        <w:jc w:val="left"/>
        <w:rPr>
          <w:rFonts w:ascii="Times New Roman" w:hAnsi="Times New Roman"/>
          <w:sz w:val="20"/>
        </w:rPr>
      </w:pPr>
      <w:r>
        <w:rPr>
          <w:rFonts w:ascii="Times New Roman" w:hAnsi="Times New Roman"/>
          <w:sz w:val="20"/>
        </w:rPr>
        <w:t xml:space="preserve">(8) to release a Guarantor from its Guarantee when permitted by the terms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(9) to provide for successor trustees or to add to or change any provisions to the extent necessary to appoint a separate trustee for the Notes; or </w:t>
      </w:r>
    </w:p>
    <w:p>
      <w:pPr>
        <w:pStyle w:val="TextBody"/>
        <w:bidi w:val="0"/>
        <w:spacing w:before="120" w:after="0"/>
        <w:jc w:val="left"/>
        <w:rPr>
          <w:rFonts w:ascii="Times New Roman" w:hAnsi="Times New Roman"/>
          <w:sz w:val="20"/>
        </w:rPr>
      </w:pPr>
      <w:r>
        <w:rPr>
          <w:rFonts w:ascii="Times New Roman" w:hAnsi="Times New Roman"/>
          <w:sz w:val="20"/>
        </w:rPr>
        <w:t xml:space="preserve">(10) to make any amendment to the provisions of this Indenture relating to the transfer and legending of Notes as permitted by this Indenture, including, without limitation, to facilitate the issuance and administration of the Notes or, if incurred in compliance with this Indenture, Additional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compliance with this Indenture as so amended would not result in Notes being transferred in violation of the Securities Act or any applicable securities law and (b) such amendment does not materially and adversely affect the rights of holders to transfer Notes, as determined in good faith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in Section 9.01 and this Section 9.02, this Indenture may be amended with the consent of the holders of a majority in principal amount of the Notes then outstanding (including consents obtained in connection with a tender offer or exchange offer for the Notes) and any past default or compliance with any provisions may also be waived with the consent of the holders of a majority in principal amount of the Notes then outstanding. However, without the consent of each holder of an outstanding Note affected thereby, an amendment or waiver may not, among other things: </w:t>
      </w:r>
    </w:p>
    <w:p>
      <w:pPr>
        <w:pStyle w:val="TextBody"/>
        <w:bidi w:val="0"/>
        <w:spacing w:before="120" w:after="0"/>
        <w:jc w:val="left"/>
        <w:rPr>
          <w:rFonts w:ascii="Times New Roman" w:hAnsi="Times New Roman"/>
          <w:sz w:val="20"/>
        </w:rPr>
      </w:pPr>
      <w:r>
        <w:rPr>
          <w:rFonts w:ascii="Times New Roman" w:hAnsi="Times New Roman"/>
          <w:sz w:val="20"/>
        </w:rPr>
        <w:t xml:space="preserve">(1) reduce the amount of Notes whose holders must consent to an amendment; </w:t>
      </w:r>
    </w:p>
    <w:p>
      <w:pPr>
        <w:pStyle w:val="TextBody"/>
        <w:bidi w:val="0"/>
        <w:spacing w:before="120" w:after="0"/>
        <w:jc w:val="left"/>
        <w:rPr>
          <w:rFonts w:ascii="Times New Roman" w:hAnsi="Times New Roman"/>
          <w:sz w:val="20"/>
        </w:rPr>
      </w:pPr>
      <w:r>
        <w:rPr>
          <w:rFonts w:ascii="Times New Roman" w:hAnsi="Times New Roman"/>
          <w:sz w:val="20"/>
        </w:rPr>
        <w:t xml:space="preserve">(2) reduce the rate of or extend the time for payment of interest on any Note; </w:t>
      </w:r>
    </w:p>
    <w:p>
      <w:pPr>
        <w:pStyle w:val="TextBody"/>
        <w:bidi w:val="0"/>
        <w:spacing w:before="120" w:after="0"/>
        <w:jc w:val="left"/>
        <w:rPr>
          <w:rFonts w:ascii="Times New Roman" w:hAnsi="Times New Roman"/>
          <w:sz w:val="20"/>
        </w:rPr>
      </w:pPr>
      <w:r>
        <w:rPr>
          <w:rFonts w:ascii="Times New Roman" w:hAnsi="Times New Roman"/>
          <w:sz w:val="20"/>
        </w:rPr>
        <w:t xml:space="preserve">(3) reduce the principal of or extend the Stated Maturity of any Note; </w:t>
      </w:r>
    </w:p>
    <w:p>
      <w:pPr>
        <w:pStyle w:val="TextBody"/>
        <w:bidi w:val="0"/>
        <w:spacing w:before="120" w:after="0"/>
        <w:jc w:val="left"/>
        <w:rPr>
          <w:rFonts w:ascii="Times New Roman" w:hAnsi="Times New Roman"/>
          <w:sz w:val="20"/>
        </w:rPr>
      </w:pPr>
      <w:r>
        <w:rPr>
          <w:rFonts w:ascii="Times New Roman" w:hAnsi="Times New Roman"/>
          <w:sz w:val="20"/>
        </w:rPr>
        <w:t xml:space="preserve">(4) change the optional redemption dates or prices or calculations from those described in Section 3.07; </w:t>
      </w:r>
    </w:p>
    <w:p>
      <w:pPr>
        <w:pStyle w:val="TextBody"/>
        <w:bidi w:val="0"/>
        <w:spacing w:before="120" w:after="0"/>
        <w:jc w:val="left"/>
        <w:rPr>
          <w:rFonts w:ascii="Times New Roman" w:hAnsi="Times New Roman"/>
          <w:sz w:val="20"/>
        </w:rPr>
      </w:pPr>
      <w:r>
        <w:rPr>
          <w:rFonts w:ascii="Times New Roman" w:hAnsi="Times New Roman"/>
          <w:sz w:val="20"/>
        </w:rPr>
        <w:t xml:space="preserve">(5) make any Note payable in money other than that stated in the Note; </w:t>
      </w:r>
    </w:p>
    <w:p>
      <w:pPr>
        <w:pStyle w:val="TextBody"/>
        <w:bidi w:val="0"/>
        <w:spacing w:before="120" w:after="0"/>
        <w:jc w:val="left"/>
        <w:rPr>
          <w:rFonts w:ascii="Times New Roman" w:hAnsi="Times New Roman"/>
          <w:sz w:val="20"/>
        </w:rPr>
      </w:pPr>
      <w:r>
        <w:rPr>
          <w:rFonts w:ascii="Times New Roman" w:hAnsi="Times New Roman"/>
          <w:sz w:val="20"/>
        </w:rPr>
        <w:t xml:space="preserve">(6) impair the right of any holder of the Notes to institute suit for the enforcement of any payment on or with respect to such holder’s Notes after any Interest Payment Date, Stated Maturity or any redemption date,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make any change in the amendment provisions which require each holder’s consent or in the waiver provisions; </w:t>
      </w:r>
    </w:p>
    <w:p>
      <w:pPr>
        <w:pStyle w:val="TextBody"/>
        <w:bidi w:val="0"/>
        <w:spacing w:before="120" w:after="0"/>
        <w:jc w:val="left"/>
        <w:rPr>
          <w:rFonts w:ascii="Times New Roman" w:hAnsi="Times New Roman"/>
          <w:sz w:val="20"/>
        </w:rPr>
      </w:pPr>
      <w:r>
        <w:rPr>
          <w:rFonts w:ascii="Times New Roman" w:hAnsi="Times New Roman"/>
          <w:sz w:val="20"/>
        </w:rPr>
        <w:t xml:space="preserve">(8) make any change in the ranking or priority of any Note or Guarantee that would adversely affect the noteholders; or </w:t>
      </w:r>
    </w:p>
    <w:p>
      <w:pPr>
        <w:pStyle w:val="TextBody"/>
        <w:bidi w:val="0"/>
        <w:spacing w:before="120" w:after="0"/>
        <w:jc w:val="left"/>
        <w:rPr>
          <w:rFonts w:ascii="Times New Roman" w:hAnsi="Times New Roman"/>
          <w:sz w:val="20"/>
        </w:rPr>
      </w:pPr>
      <w:r>
        <w:rPr>
          <w:rFonts w:ascii="Times New Roman" w:hAnsi="Times New Roman"/>
          <w:sz w:val="20"/>
        </w:rPr>
        <w:t xml:space="preserve">(9) release any Guarantor from its Guarantee, except as provided for in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holders of the Notes is not necessary under this Indenture to approve the particular form of any proposed amendment. It is sufficient if such consent approves the substance of the proposed amendment. </w:t>
      </w:r>
    </w:p>
    <w:p>
      <w:pPr>
        <w:pStyle w:val="TextBody"/>
        <w:bidi w:val="0"/>
        <w:spacing w:before="120" w:after="0"/>
        <w:jc w:val="left"/>
        <w:rPr>
          <w:rFonts w:ascii="Times New Roman" w:hAnsi="Times New Roman"/>
          <w:sz w:val="20"/>
        </w:rPr>
      </w:pPr>
      <w:r>
        <w:rPr>
          <w:rFonts w:ascii="Times New Roman" w:hAnsi="Times New Roman"/>
          <w:sz w:val="20"/>
        </w:rPr>
        <w:t xml:space="preserve">(c) After an amendment under this Indenture becomes effective, the Company is required to mail (or deliver by electronic transmission in accordance with the applicable procedures of DTC) to holders of the Notes a notice briefly describing such amendment. However, the failure to give such notice to all holders of the Notes, or any defect therein, will not impair or affect the validity of the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(b) After an amendment, supplement or waiver becomes effective, it will bind every holder unless it is of the type requiring the consent of each holder affected. If the amendment, supplement or waiver is of the type requiring the consent of each holder affected, the amendment, supplement or waiver will bind each holder that has consented to it and every subsequent holder of a Note that evidences the same debt as the Note of the consenting holder. </w:t>
      </w:r>
    </w:p>
    <w:p>
      <w:pPr>
        <w:pStyle w:val="TextBody"/>
        <w:bidi w:val="0"/>
        <w:spacing w:before="120" w:after="0"/>
        <w:jc w:val="left"/>
        <w:rPr>
          <w:rFonts w:ascii="Times New Roman" w:hAnsi="Times New Roman"/>
          <w:sz w:val="20"/>
        </w:rPr>
      </w:pPr>
      <w:r>
        <w:rPr>
          <w:rFonts w:ascii="Times New Roman" w:hAnsi="Times New Roman"/>
          <w:sz w:val="20"/>
        </w:rPr>
        <w:t xml:space="preserve">(c) The Company may, but shall not be obligated to, fix a record date pursuant to Section 1.04 for the purpose of determining the holders entitled to consent to any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Notation on or Exchange of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place an appropriate notation about an amendment, supplement or waiver on any Note thereafter authenticated. The Company in exchange for all outstanding Notes may issue and the Trustee shall, upon receipt of an Authentication Order, authenticate new Notes that reflect the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(b) Failure to make the appropriate notation or issue a new Note shall not affect the validity and effect of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Trustee to Sign Amendments,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request of the Company, and if applicable upon the filing with the Trustee of evidence of the consent of holders, the trustee shall sign any amendment, supplement or waiver authorized pursuant to this Article 9 if the amendment, supplement or waiver does not adversely affect the rights, duties, liabilities or immunities of the Trustee. In executing any amendment, supplement or waiver, the Trustee shall receive and (subject to Section 7.01) shall be fully protected in relying upon, in addition to the documents required by Section 12.04, an Officer’s Certificate and an Opinion of Counsel stating that the execution of such amendment, supplement or waiver is authorized or permitted by this Indenture, subject to customary exceptions, and complies with the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 Opinion of Counsel stating that such amendment, supplement or waiver is the legal, valid and binding obligation of the Company and any Guarantor party thereto, enforceable against them in accordance with its terms, subject to customary exceptions. The Trustee may, but is not obligated to, execute any amendment, supplement or waiver that affects the Trustee’s own rights, duties or immunities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240" w:after="0"/>
        <w:jc w:val="center"/>
        <w:rPr>
          <w:rFonts w:ascii="Times New Roman" w:hAnsi="Times New Roman"/>
          <w:sz w:val="20"/>
        </w:rPr>
      </w:pPr>
      <w:r>
        <w:rPr>
          <w:rFonts w:ascii="Times New Roman" w:hAnsi="Times New Roman"/>
          <w:sz w:val="20"/>
        </w:rPr>
        <w:t xml:space="preserve">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Guarantee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Subject to this Article 10, each of the Guarantors hereby, jointly and severally, irrevocably and unconditionally guarantees, on a senior unsecured basis, to each holder and to the Trustee and its successors and assigns, irrespective of the validity and enforceability of this Indenture, the Notes or the obligations of the Company hereunder or thereunder, that: (1) the principal of, and premium (if any) and interest on, the Notes shall be promptly paid in full when due, whether at Stated Maturity, by acceleration, redemption or otherwise, and interest on the overdue principal of, and premium (if any) and interest on, the Notes, if any, if lawful, and all other obligations of the Company to the holders or the Trustee hereunder or under the Notes shall be promptly paid in full or performed, all in accordance with the terms hereof and thereof; and (2) in case of any extension of time of payment or renewal of any Notes or any of such other obligations, that same shall be promptly paid in full when due or performed in accordance with the terms of the extension or renewal, whether at Stated Maturity, by acceleration or otherwise collectively, the “</w:t>
      </w:r>
      <w:r>
        <w:rPr>
          <w:rFonts w:ascii="Times New Roman" w:hAnsi="Times New Roman"/>
          <w:i/>
          <w:sz w:val="20"/>
        </w:rPr>
        <w:t>Guaranteed Obligations</w:t>
      </w:r>
      <w:r>
        <w:rPr>
          <w:rFonts w:ascii="Times New Roman" w:hAnsi="Times New Roman"/>
          <w:sz w:val="20"/>
        </w:rPr>
        <w:t xml:space="preserve">”. Failing payment by the Company when due of any amount so guaranteed or any performance so guaranteed for whatever reason, the Guarantors shall be jointly and severally obligated to pay the same immediately. Each Guarantor agrees that this is a guarantee of payment and not a guarantee of collection. </w:t>
      </w:r>
    </w:p>
    <w:p>
      <w:pPr>
        <w:pStyle w:val="TextBody"/>
        <w:bidi w:val="0"/>
        <w:spacing w:before="120" w:after="0"/>
        <w:jc w:val="left"/>
        <w:rPr>
          <w:rFonts w:ascii="Times New Roman" w:hAnsi="Times New Roman"/>
          <w:sz w:val="20"/>
        </w:rPr>
      </w:pPr>
      <w:r>
        <w:rPr>
          <w:rFonts w:ascii="Times New Roman" w:hAnsi="Times New Roman"/>
          <w:sz w:val="20"/>
        </w:rPr>
        <w:t xml:space="preserve">(b) The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Company, any action to enforce the same or any other circumstance which might otherwise constitute a legal or equitable discharge or defense of a guarantor. Each Guarantor hereby waives the benefit of diligence, presentment, demand of payment, filing of claims with a court in the event of insolvency or bankruptcy of the Company, any right to require a proceeding first against the Company, protest, notice and all demands whatsoever and covenants that this Guarantee shall not be discharged except by complete performance of the obligations contained in the Notes and this Indenture, or pursuant to Section 10.06. </w:t>
      </w:r>
    </w:p>
    <w:p>
      <w:pPr>
        <w:pStyle w:val="TextBody"/>
        <w:bidi w:val="0"/>
        <w:spacing w:before="120" w:after="0"/>
        <w:jc w:val="left"/>
        <w:rPr>
          <w:rFonts w:ascii="Times New Roman" w:hAnsi="Times New Roman"/>
          <w:sz w:val="20"/>
        </w:rPr>
      </w:pPr>
      <w:r>
        <w:rPr>
          <w:rFonts w:ascii="Times New Roman" w:hAnsi="Times New Roman"/>
          <w:sz w:val="20"/>
        </w:rPr>
        <w:t xml:space="preserve">(c) Each Guarantor’s obligations hereunder will remain in full force and effect until the principal of, and premium (if any) and interest on, the Notes and all other amounts payable by the Company under this Indenture have been paid in full. If at any time any payment of the principal of, or premium (if any) or interest on, any Note or any other amount payable by the Company under this Indenture is rescinded or must be otherwise restored or returned upon the insolvency, bankruptcy or reorganization of the Company or otherwise, each Guarantor’s obligations hereunder with respect to such payment will be reinstated as though such payment had been due but not made at such time. </w:t>
      </w:r>
    </w:p>
    <w:p>
      <w:pPr>
        <w:pStyle w:val="TextBody"/>
        <w:bidi w:val="0"/>
        <w:spacing w:before="120" w:after="0"/>
        <w:jc w:val="left"/>
        <w:rPr>
          <w:rFonts w:ascii="Times New Roman" w:hAnsi="Times New Roman"/>
          <w:sz w:val="20"/>
        </w:rPr>
      </w:pPr>
      <w:r>
        <w:rPr>
          <w:rFonts w:ascii="Times New Roman" w:hAnsi="Times New Roman"/>
          <w:sz w:val="20"/>
        </w:rPr>
        <w:t xml:space="preserve">(d) Each of the Guarantors also agrees, jointly and severally, to pay any and all costs and expenses (including reasonable attorneys’ fees and expenses) incurred by the Trustee or any holder in enforcing any rights under this Section 10.01. </w:t>
      </w:r>
    </w:p>
    <w:p>
      <w:pPr>
        <w:pStyle w:val="TextBody"/>
        <w:bidi w:val="0"/>
        <w:spacing w:before="120" w:after="0"/>
        <w:jc w:val="left"/>
        <w:rPr>
          <w:rFonts w:ascii="Times New Roman" w:hAnsi="Times New Roman"/>
          <w:sz w:val="20"/>
        </w:rPr>
      </w:pPr>
      <w:r>
        <w:rPr>
          <w:rFonts w:ascii="Times New Roman" w:hAnsi="Times New Roman"/>
          <w:sz w:val="20"/>
        </w:rPr>
        <w:t xml:space="preserve">(e) If any holder or the Trustee is required by any court or otherwise to return to the Company, the Guarantors or any custodian, trustee, liquidator or other similar official acting in relation to the Company or the Guarantors, any amount paid either to the Trustee or such holder, such Guarantor’s Guarantee, to the extent theretofore discharged, shall be reinstated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(f) Each Guarantor further agrees that, as between the Guarantors, on the one hand, and the holders and the Trustee, on the other hand, (1) the maturity of the obligations guaranteed hereby may be accelerated as provided in Article 6 for the purposes of this Guarantee, notwithstanding any stay, injunction or other prohibition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preventing such acceleration in respect of the obligations guaranteed hereby, and (2) in the event of any declaration of acceleration of such obligations as provided in Article 6, such obligations (whether or not due and payable) shall forthwith become due and payable by the Guarantors for the purpose of this Guarantee. Each Guarantor that makes a payment under its Guarantee will be entitled upon payment in full of all guaranteed obligations under this Indenture to a contribution from each other Guarantor in an amount equal to such other Guarantor’s pro rata portion of such payment based on the respective net assets of all the Guarantors at the time of such payment determined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(g) Each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the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 </w:t>
      </w:r>
    </w:p>
    <w:p>
      <w:pPr>
        <w:pStyle w:val="TextBody"/>
        <w:bidi w:val="0"/>
        <w:spacing w:before="120" w:after="0"/>
        <w:jc w:val="left"/>
        <w:rPr>
          <w:rFonts w:ascii="Times New Roman" w:hAnsi="Times New Roman"/>
          <w:sz w:val="20"/>
        </w:rPr>
      </w:pPr>
      <w:r>
        <w:rPr>
          <w:rFonts w:ascii="Times New Roman" w:hAnsi="Times New Roman"/>
          <w:sz w:val="20"/>
        </w:rPr>
        <w:t xml:space="preserve">(h) In case any provision of any Guarantee shall be invalid, illegal or unenforceable, the validity, legality and enforceability of the remaining provisions shall not in any way be affected or impaired thereby. </w:t>
      </w:r>
    </w:p>
    <w:p>
      <w:pPr>
        <w:pStyle w:val="TextBody"/>
        <w:bidi w:val="0"/>
        <w:spacing w:before="120" w:after="0"/>
        <w:jc w:val="left"/>
        <w:rPr>
          <w:rFonts w:ascii="Times New Roman" w:hAnsi="Times New Roman"/>
          <w:sz w:val="20"/>
        </w:rPr>
      </w:pPr>
      <w:r>
        <w:rPr>
          <w:rFonts w:ascii="Times New Roman" w:hAnsi="Times New Roman"/>
          <w:sz w:val="20"/>
        </w:rPr>
        <w:t xml:space="preserve">(i) Each payment to be made by a Guarantor in respect of its Guarantee shall be made without set-off, counterclaim, reduction or diminution of any kind or nature.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Limitation on Guarantor Liability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Guarantor, and by its acceptance of Notes, each holder, hereby confirms that it is the intention of all such parties that the Guarantee of such Guarantor not constitute a fraudulent conveyance or a fraudulent transfer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conveyance or fraudulent transfer under Bankruptcy Law, the Uniform Fraudulent Conveyance Act, the Uniform Fraudulent Transfer Act or any similar federal or state law. Each Guarantor that makes a payment under its Guarantee will be entitled upon payment in full of all Guaranteed Obligations under this Indenture to a contribution from each other Guarantor in an amount equal to such other Guarantor’s pro rata portion of such payment based on the respective net assets of all the Guarantors at the time of such payment, determined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Execution and Delivery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evidence its Guarantee set forth in Section 10.01, each Guarantor hereby agrees that this Indenture (or a supplemental indenture in the form of Exhibit C hereto) shall be executed on behalf of such Guarantor by an Officer or person holding an equivalent title. </w:t>
      </w:r>
    </w:p>
    <w:p>
      <w:pPr>
        <w:pStyle w:val="TextBody"/>
        <w:bidi w:val="0"/>
        <w:spacing w:before="120" w:after="0"/>
        <w:jc w:val="left"/>
        <w:rPr>
          <w:rFonts w:ascii="Times New Roman" w:hAnsi="Times New Roman"/>
          <w:sz w:val="20"/>
        </w:rPr>
      </w:pPr>
      <w:r>
        <w:rPr>
          <w:rFonts w:ascii="Times New Roman" w:hAnsi="Times New Roman"/>
          <w:sz w:val="20"/>
        </w:rPr>
        <w:t xml:space="preserve">(b) Each Guarantor hereby agrees that its Guarantee set forth in Section 10.01 shall remain in full force and effect notwithstanding the absence of the endorsement of any notation of such Guarantee on the Notes. </w:t>
      </w:r>
    </w:p>
    <w:p>
      <w:pPr>
        <w:pStyle w:val="TextBody"/>
        <w:bidi w:val="0"/>
        <w:spacing w:before="120" w:after="0"/>
        <w:jc w:val="left"/>
        <w:rPr>
          <w:rFonts w:ascii="Times New Roman" w:hAnsi="Times New Roman"/>
          <w:sz w:val="20"/>
        </w:rPr>
      </w:pPr>
      <w:r>
        <w:rPr>
          <w:rFonts w:ascii="Times New Roman" w:hAnsi="Times New Roman"/>
          <w:sz w:val="20"/>
        </w:rPr>
        <w:t xml:space="preserve">(c) If an Officer of a Guarantor whose signature is on this Indenture no longer holds that office at the time the Trustee authenticates the Note, such Guarantor’s Guarantees shall be valid nevertheless.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delivery of any Note by the Trustee, after the authentication thereof hereunder, shall constitute due delivery of the Guarantee set forth in this Indenture on behalf of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Waiver of Subrogation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this Indenture is discharged and all of the Notes are discharged and paid in full, each Guarantor hereby irrevocably waives and agrees not to exercise any claim or other rights which it may now or hereafter acquire against the Company that arise from the existence, payment, performance or enforcement of the Company’s obligations under the Notes or this Indenture and such Guarantor’s obligations under the Guarantee and this Indenture, in any such instance including, without limitation, any right of subrogation, reimbursement, exoneration, contribution, indemnification, and any right to participate in any claim or remedy of the holders against the Company, whether or not such claim, remedy or right arises in equity, or under contract, statute or common law, including, without limitation, the right to take or receive from the Company, directly or indirectly, in cash or other assets or by set-off or in any other manner, payment or security on account of such claim or other rights. If any amount shall be paid to any Guarantor in violation of the preceding sentence and any amounts owing to the Trustee or the holders of Notes under the Notes, this Indenture, or any other document or instrument delivered under or in connection with such agreements or instruments, shall not have been paid in full, such amount shall have been deemed to have been paid to such Guarantor for the benefit of, and held in trust for the benefit of, the Trustee or the holders and shall forthwith be paid to the Trustee for the benefit of itself or such holders to be credited and applied to the obligations in favor of the Trustee or the holders, as the case may be, whether matured or unmatured,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Benefits Acknowledged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Guarantor acknowledges that it will receive direct and indirect benefits from the financing arrangements contemplated by this Indenture and that the guarantee and waivers made by it pursuant to its Guarantee are knowingly made in contemplation of such benefits.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Release of Guarantees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Guarantee of a Guarantor will be automatically released: </w:t>
      </w:r>
    </w:p>
    <w:p>
      <w:pPr>
        <w:pStyle w:val="TextBody"/>
        <w:bidi w:val="0"/>
        <w:spacing w:before="120" w:after="0"/>
        <w:jc w:val="left"/>
        <w:rPr>
          <w:rFonts w:ascii="Times New Roman" w:hAnsi="Times New Roman"/>
          <w:sz w:val="20"/>
        </w:rPr>
      </w:pPr>
      <w:r>
        <w:rPr>
          <w:rFonts w:ascii="Times New Roman" w:hAnsi="Times New Roman"/>
          <w:sz w:val="20"/>
        </w:rPr>
        <w:t xml:space="preserve">(1) upon the sale or other disposition (including by way of consolidation or merger) of all of the Capital Stock, or all or substantially all of the assets, of such Guarantor to a Person that is not the Company or a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 at any such time that such Guarantor ceases to be a Significant Domestic Subsidiary; or </w:t>
      </w:r>
    </w:p>
    <w:p>
      <w:pPr>
        <w:pStyle w:val="TextBody"/>
        <w:bidi w:val="0"/>
        <w:spacing w:before="120" w:after="0"/>
        <w:jc w:val="left"/>
        <w:rPr>
          <w:rFonts w:ascii="Times New Roman" w:hAnsi="Times New Roman"/>
          <w:sz w:val="20"/>
        </w:rPr>
      </w:pPr>
      <w:r>
        <w:rPr>
          <w:rFonts w:ascii="Times New Roman" w:hAnsi="Times New Roman"/>
          <w:sz w:val="20"/>
        </w:rPr>
        <w:t xml:space="preserve">(3) upon (x) the defeasance of the Notes, as provided under Article 8 or (y) the discharge of such Guarantor’s obligations under this Indenture in accordance with the terms of this Indenture, as provided under Article 11. </w:t>
      </w:r>
    </w:p>
    <w:p>
      <w:pPr>
        <w:pStyle w:val="TextBody"/>
        <w:bidi w:val="0"/>
        <w:spacing w:before="120" w:after="0"/>
        <w:jc w:val="left"/>
        <w:rPr>
          <w:rFonts w:ascii="Times New Roman" w:hAnsi="Times New Roman"/>
          <w:sz w:val="20"/>
        </w:rPr>
      </w:pPr>
      <w:r>
        <w:rPr>
          <w:rFonts w:ascii="Times New Roman" w:hAnsi="Times New Roman"/>
          <w:sz w:val="20"/>
        </w:rPr>
        <w:t xml:space="preserve">(b) If the Guarantee of any Guarantor is deemed to be released or is automatically released, the Company shall deliver to the Trustee an Officer’s Certificate stating the identity of the released Guarantor, the basis for release in reasonable detail, and that such release complies with this Indenture. At the written request of the Company, and upon delivery to the Trustee of an Officer’s Certificate and an Opinion of Counsel, which may be subject to customary exceptions and qualifications, each stating that all conditions provided for in this Indenture to the release of such Guarantor have been complied with, the Trustee shall execute and deliver any documents reasonably required in order to evidence such release, discharge and termination in respect of the applicable Guarantee (it being understood that the failure to obtain any such instrument shall not impair any automatic release pursuant to Section 10.06(a)).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11 </w:t>
      </w:r>
    </w:p>
    <w:p>
      <w:pPr>
        <w:pStyle w:val="TextBody"/>
        <w:bidi w:val="0"/>
        <w:spacing w:before="240" w:after="0"/>
        <w:jc w:val="center"/>
        <w:rPr>
          <w:rFonts w:ascii="Times New Roman" w:hAnsi="Times New Roman"/>
          <w:sz w:val="20"/>
        </w:rPr>
      </w:pPr>
      <w:r>
        <w:rPr>
          <w:rFonts w:ascii="Times New Roman" w:hAnsi="Times New Roman"/>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Satisfaction and Discharge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Indenture will be discharged, and will cease to be of further effect as to all Notes issued hereunder, when either: </w:t>
      </w:r>
    </w:p>
    <w:p>
      <w:pPr>
        <w:pStyle w:val="TextBody"/>
        <w:bidi w:val="0"/>
        <w:spacing w:before="120" w:after="0"/>
        <w:jc w:val="left"/>
        <w:rPr>
          <w:rFonts w:ascii="Times New Roman" w:hAnsi="Times New Roman"/>
          <w:sz w:val="20"/>
        </w:rPr>
      </w:pPr>
      <w:r>
        <w:rPr>
          <w:rFonts w:ascii="Times New Roman" w:hAnsi="Times New Roman"/>
          <w:sz w:val="20"/>
        </w:rPr>
        <w:t xml:space="preserve">(1) all Notes that have been authenticated and delivered (except lost, stolen or destroyed Notes that have been replaced or paid and Notes for whose payment money has been deposited in trust)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(2) (A) all Notes not theretofore delivered to the Trustee for cancellation have become due and payable by reason of the giving of a notice of redemption or otherwise, will become due and payable within one year or are to be called for redemption within one year under arrangements satisfactory to the Trustee for the giving of notice of redemption by the Trustee in the name, and at the expense, of the Company, and the Company or any Guarantor has irrevocably deposited or caused to be deposited with the Trustee, as trust funds in trust solely for the benefit of the holders, cash in U.S. dollars, Government Securities, or a combination thereof, in such amounts as will be sufficient, in the opinion of a nationally recognized firm of independent public accountants, a nationally recognized investment bank or a nationally recognized appraisal or valuation firm delivered to the Trustee if Government Securities are delivered, without consideration of any reinvestment of interest, to pay and discharge the entire Debt on the Notes not theretofore delivered to the Trustee for cancellation for principal, premium, if any, and accrued interest to the date of maturity or redemption,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no Default or Event of Default has occurred and is continuing on the date of such deposit or will occur as a result of such deposit (other than a Default or an Event of Default resulting from the borrowing of funds to be applied to make such deposit and any similar and simultaneous deposit relating to other Debt and, in each case, the granting of Liens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(C) the Company or any Guarantor has paid or caused to be paid all sums payable by the Company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has delivered irrevocable instructions to the Trustee to apply the deposited money toward the payment of the Notes at maturity or the redemption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the Company shall deliver to the Trustee an Officer’s Certificate and an Opinion of Counsel (which Opinion of Counsel may be subject to customary assumptions and exclusions) each stating that all conditions precedent to satisfaction and discharge have been satisfied. Notwithstanding the satisfaction and discharge of this Indenture, the rights, powers, trusts, duties and immunities of the Trustee hereunder and the Company’s and Guarantors’ obligations in connection therewith shall survive, and if money shall have been deposited with the Trustee pursuant to Section 11.01(a)(2)(A), the provisions of Section 11.02 and Section 8.06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Application of Trust Money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8.06, all money deposited with the Trustee pursuant to Section 11.01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Trustee or Paying Agent is unable to apply any money or Government Securities in accordance with Section 11.01 by reason of any legal proceeding or by reason of any order or judgment of any court or governmental authority enjoining, restraining or otherwise prohibiting such application, the Company’s and any Guarantor’s obligations under this Indenture, the Notes and the Guarantees shall be revived and reinstated as though no deposit had occurred pursuant to Section 11.01; </w:t>
      </w:r>
      <w:r>
        <w:rPr>
          <w:rFonts w:ascii="Times New Roman" w:hAnsi="Times New Roman"/>
          <w:i/>
          <w:sz w:val="20"/>
        </w:rPr>
        <w:t>provided</w:t>
      </w:r>
      <w:r>
        <w:rPr>
          <w:rFonts w:ascii="Times New Roman" w:hAnsi="Times New Roman"/>
          <w:sz w:val="20"/>
        </w:rPr>
        <w:t xml:space="preserve"> that if the Company has made any payment of principal of, or premium (if any) or interest on, any Notes because of the reinstatement of its obligations, the Company shall be subrogated to the rights of the holders of such Notes to receive such payment from the money or Government Securities held by the Trustee or Paying Agent, as the case may be. </w:t>
      </w:r>
    </w:p>
    <w:p>
      <w:pPr>
        <w:pStyle w:val="TextBody"/>
        <w:bidi w:val="0"/>
        <w:spacing w:before="240" w:after="0"/>
        <w:jc w:val="center"/>
        <w:rPr>
          <w:rFonts w:ascii="Times New Roman" w:hAnsi="Times New Roman"/>
          <w:sz w:val="20"/>
        </w:rPr>
      </w:pPr>
      <w:r>
        <w:rPr>
          <w:rFonts w:ascii="Times New Roman" w:hAnsi="Times New Roman"/>
          <w:sz w:val="20"/>
        </w:rPr>
        <w:t xml:space="preserve">ARTICLE 12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No Qualification Under the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is not qualified under the TIA and, unless expressly provided for in the terms of this Indenture, the TIA shall not apply to or in any way govern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notice or communication to the Company, any Guarantor or the Trustee is duly given if in writing and (1) delivered in person, (2) mailed by first-class mail (certified or registered, return receipt requested), postage prepaid, or overnight air courier guaranteeing next day delivery or (3) sent by facsimile or electronic transmission, to its address: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or any Guarantor: </w:t>
      </w:r>
    </w:p>
    <w:p>
      <w:pPr>
        <w:pStyle w:val="TextBody"/>
        <w:bidi w:val="0"/>
        <w:spacing w:before="120" w:after="0"/>
        <w:jc w:val="left"/>
        <w:rPr>
          <w:rFonts w:ascii="Times New Roman" w:hAnsi="Times New Roman"/>
          <w:sz w:val="20"/>
        </w:rPr>
      </w:pPr>
      <w:r>
        <w:rPr>
          <w:rFonts w:ascii="Times New Roman" w:hAnsi="Times New Roman"/>
          <w:sz w:val="20"/>
        </w:rPr>
        <w:t xml:space="preserve">Fair Isaac Corporation </w:t>
      </w:r>
    </w:p>
    <w:p>
      <w:pPr>
        <w:pStyle w:val="TextBody"/>
        <w:bidi w:val="0"/>
        <w:spacing w:before="0" w:after="0"/>
        <w:jc w:val="left"/>
        <w:rPr>
          <w:rFonts w:ascii="Times New Roman" w:hAnsi="Times New Roman"/>
          <w:sz w:val="20"/>
        </w:rPr>
      </w:pPr>
      <w:r>
        <w:rPr>
          <w:rFonts w:ascii="Times New Roman" w:hAnsi="Times New Roman"/>
          <w:sz w:val="20"/>
        </w:rPr>
        <w:t xml:space="preserve">50 South 6th Street, Suite 1360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55402 </w:t>
      </w:r>
    </w:p>
    <w:p>
      <w:pPr>
        <w:pStyle w:val="TextBody"/>
        <w:bidi w:val="0"/>
        <w:spacing w:before="0" w:after="0"/>
        <w:jc w:val="left"/>
        <w:rPr>
          <w:rFonts w:ascii="Times New Roman" w:hAnsi="Times New Roman"/>
          <w:sz w:val="20"/>
        </w:rPr>
      </w:pPr>
      <w:r>
        <w:rPr>
          <w:rFonts w:ascii="Times New Roman" w:hAnsi="Times New Roman"/>
          <w:sz w:val="20"/>
        </w:rPr>
        <w:t xml:space="preserve">Attention: Treasurer </w:t>
      </w:r>
    </w:p>
    <w:p>
      <w:pPr>
        <w:pStyle w:val="TextBody"/>
        <w:bidi w:val="0"/>
        <w:spacing w:before="0" w:after="0"/>
        <w:jc w:val="left"/>
        <w:rPr>
          <w:rFonts w:ascii="Times New Roman" w:hAnsi="Times New Roman"/>
          <w:sz w:val="20"/>
        </w:rPr>
      </w:pPr>
      <w:r>
        <w:rPr>
          <w:rFonts w:ascii="Times New Roman" w:hAnsi="Times New Roman"/>
          <w:sz w:val="20"/>
        </w:rPr>
        <w:t xml:space="preserve">Telephone: (651) 214-6338 </w:t>
      </w:r>
    </w:p>
    <w:p>
      <w:pPr>
        <w:pStyle w:val="TextBody"/>
        <w:bidi w:val="0"/>
        <w:spacing w:before="0" w:after="0"/>
        <w:jc w:val="left"/>
        <w:rPr>
          <w:rFonts w:ascii="Times New Roman" w:hAnsi="Times New Roman"/>
          <w:sz w:val="20"/>
        </w:rPr>
      </w:pPr>
      <w:r>
        <w:rPr>
          <w:rFonts w:ascii="Times New Roman" w:hAnsi="Times New Roman"/>
          <w:sz w:val="20"/>
        </w:rPr>
        <w:t xml:space="preserve">Email: tomcolling@fico.com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Fair Isaac Corporation </w:t>
      </w:r>
    </w:p>
    <w:p>
      <w:pPr>
        <w:pStyle w:val="TextBody"/>
        <w:bidi w:val="0"/>
        <w:spacing w:before="0" w:after="0"/>
        <w:jc w:val="left"/>
        <w:rPr>
          <w:rFonts w:ascii="Times New Roman" w:hAnsi="Times New Roman"/>
          <w:sz w:val="20"/>
        </w:rPr>
      </w:pPr>
      <w:r>
        <w:rPr>
          <w:rFonts w:ascii="Times New Roman" w:hAnsi="Times New Roman"/>
          <w:sz w:val="20"/>
        </w:rPr>
        <w:t xml:space="preserve">181 Metro Drive </w:t>
      </w:r>
    </w:p>
    <w:p>
      <w:pPr>
        <w:pStyle w:val="TextBody"/>
        <w:bidi w:val="0"/>
        <w:spacing w:before="0" w:after="0"/>
        <w:jc w:val="left"/>
        <w:rPr>
          <w:rFonts w:ascii="Times New Roman" w:hAnsi="Times New Roman"/>
          <w:sz w:val="20"/>
        </w:rPr>
      </w:pPr>
      <w:r>
        <w:rPr>
          <w:rFonts w:ascii="Times New Roman" w:hAnsi="Times New Roman"/>
          <w:sz w:val="20"/>
        </w:rPr>
        <w:t xml:space="preserve">San Jose, CA 95110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 (408) 535-1500 </w:t>
      </w:r>
    </w:p>
    <w:p>
      <w:pPr>
        <w:pStyle w:val="TextBody"/>
        <w:bidi w:val="0"/>
        <w:spacing w:before="0" w:after="0"/>
        <w:jc w:val="left"/>
        <w:rPr>
          <w:rFonts w:ascii="Times New Roman" w:hAnsi="Times New Roman"/>
          <w:sz w:val="20"/>
        </w:rPr>
      </w:pPr>
      <w:r>
        <w:rPr>
          <w:rFonts w:ascii="Times New Roman" w:hAnsi="Times New Roman"/>
          <w:sz w:val="20"/>
        </w:rPr>
        <w:t xml:space="preserve">Email: markscadina@fico.com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Faegre Drinker Biddle &amp; Reath LLP </w:t>
      </w:r>
    </w:p>
    <w:p>
      <w:pPr>
        <w:pStyle w:val="TextBody"/>
        <w:bidi w:val="0"/>
        <w:spacing w:before="0" w:after="0"/>
        <w:jc w:val="left"/>
        <w:rPr>
          <w:rFonts w:ascii="Times New Roman" w:hAnsi="Times New Roman"/>
          <w:sz w:val="20"/>
        </w:rPr>
      </w:pPr>
      <w:r>
        <w:rPr>
          <w:rFonts w:ascii="Times New Roman" w:hAnsi="Times New Roman"/>
          <w:sz w:val="20"/>
        </w:rPr>
        <w:t xml:space="preserve">2200 Wells Fargo Center </w:t>
      </w:r>
    </w:p>
    <w:p>
      <w:pPr>
        <w:pStyle w:val="TextBody"/>
        <w:bidi w:val="0"/>
        <w:spacing w:before="0" w:after="0"/>
        <w:jc w:val="left"/>
        <w:rPr>
          <w:rFonts w:ascii="Times New Roman" w:hAnsi="Times New Roman"/>
          <w:sz w:val="20"/>
        </w:rPr>
      </w:pPr>
      <w:r>
        <w:rPr>
          <w:rFonts w:ascii="Times New Roman" w:hAnsi="Times New Roman"/>
          <w:sz w:val="20"/>
        </w:rPr>
        <w:t xml:space="preserve">90 South Seventh Street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55402-3901 </w:t>
      </w:r>
    </w:p>
    <w:p>
      <w:pPr>
        <w:pStyle w:val="TextBody"/>
        <w:bidi w:val="0"/>
        <w:spacing w:before="0" w:after="0"/>
        <w:jc w:val="left"/>
        <w:rPr>
          <w:rFonts w:ascii="Times New Roman" w:hAnsi="Times New Roman"/>
          <w:sz w:val="20"/>
        </w:rPr>
      </w:pPr>
      <w:r>
        <w:rPr>
          <w:rFonts w:ascii="Times New Roman" w:hAnsi="Times New Roman"/>
          <w:sz w:val="20"/>
        </w:rPr>
        <w:t xml:space="preserve">Fax No:   612-766-1600 </w:t>
      </w:r>
    </w:p>
    <w:p>
      <w:pPr>
        <w:pStyle w:val="TextBody"/>
        <w:bidi w:val="0"/>
        <w:spacing w:before="0" w:after="0"/>
        <w:jc w:val="left"/>
        <w:rPr>
          <w:rFonts w:ascii="Times New Roman" w:hAnsi="Times New Roman"/>
          <w:sz w:val="20"/>
        </w:rPr>
      </w:pPr>
      <w:r>
        <w:rPr>
          <w:rFonts w:ascii="Times New Roman" w:hAnsi="Times New Roman"/>
          <w:sz w:val="20"/>
        </w:rPr>
        <w:t xml:space="preserve">Email:    ben.stacke@faegredrinker.com </w:t>
      </w:r>
    </w:p>
    <w:p>
      <w:pPr>
        <w:pStyle w:val="TextBody"/>
        <w:bidi w:val="0"/>
        <w:spacing w:before="0" w:after="0"/>
        <w:jc w:val="left"/>
        <w:rPr>
          <w:rFonts w:ascii="Times New Roman" w:hAnsi="Times New Roman"/>
          <w:sz w:val="20"/>
        </w:rPr>
      </w:pPr>
      <w:r>
        <w:rPr>
          <w:rFonts w:ascii="Times New Roman" w:hAnsi="Times New Roman"/>
          <w:sz w:val="20"/>
        </w:rPr>
        <w:t xml:space="preserve">Attention:  Ben A. Stacke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West Side Flats, St. Paul </w:t>
      </w:r>
    </w:p>
    <w:p>
      <w:pPr>
        <w:pStyle w:val="TextBody"/>
        <w:bidi w:val="0"/>
        <w:spacing w:before="0" w:after="0"/>
        <w:jc w:val="left"/>
        <w:rPr>
          <w:rFonts w:ascii="Times New Roman" w:hAnsi="Times New Roman"/>
          <w:sz w:val="20"/>
        </w:rPr>
      </w:pPr>
      <w:r>
        <w:rPr>
          <w:rFonts w:ascii="Times New Roman" w:hAnsi="Times New Roman"/>
          <w:sz w:val="20"/>
        </w:rPr>
        <w:t xml:space="preserve">60 Livingston Ave </w:t>
      </w:r>
    </w:p>
    <w:p>
      <w:pPr>
        <w:pStyle w:val="TextBody"/>
        <w:bidi w:val="0"/>
        <w:spacing w:before="0" w:after="0"/>
        <w:jc w:val="left"/>
        <w:rPr>
          <w:rFonts w:ascii="Times New Roman" w:hAnsi="Times New Roman"/>
          <w:sz w:val="20"/>
        </w:rPr>
      </w:pPr>
      <w:r>
        <w:rPr>
          <w:rFonts w:ascii="Times New Roman" w:hAnsi="Times New Roman"/>
          <w:sz w:val="20"/>
        </w:rPr>
        <w:t xml:space="preserve">Saint Paul, MN 55107 </w:t>
      </w:r>
    </w:p>
    <w:p>
      <w:pPr>
        <w:pStyle w:val="TextBody"/>
        <w:bidi w:val="0"/>
        <w:spacing w:before="0" w:after="0"/>
        <w:jc w:val="left"/>
        <w:rPr>
          <w:rFonts w:ascii="Times New Roman" w:hAnsi="Times New Roman"/>
          <w:sz w:val="20"/>
        </w:rPr>
      </w:pPr>
      <w:r>
        <w:rPr>
          <w:rFonts w:ascii="Times New Roman" w:hAnsi="Times New Roman"/>
          <w:sz w:val="20"/>
        </w:rPr>
        <w:t xml:space="preserve">Fax No.:   651-466-7430 </w:t>
      </w:r>
    </w:p>
    <w:p>
      <w:pPr>
        <w:pStyle w:val="TextBody"/>
        <w:bidi w:val="0"/>
        <w:spacing w:before="0" w:after="0"/>
        <w:jc w:val="left"/>
        <w:rPr>
          <w:rFonts w:ascii="Times New Roman" w:hAnsi="Times New Roman"/>
          <w:sz w:val="20"/>
        </w:rPr>
      </w:pPr>
      <w:r>
        <w:rPr>
          <w:rFonts w:ascii="Times New Roman" w:hAnsi="Times New Roman"/>
          <w:sz w:val="20"/>
        </w:rPr>
        <w:t xml:space="preserve">Email:    quinn.depompolo@usbank.com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 Fair Isaac 6.25% Notes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Company, any Guarantor or the Trustee, by like notice, may designate additional or different addresses for subsequent notices or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(b) All notices and communications (other than those sent to holders) shall be deemed to have been duly given: at the time delivered 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Times New Roman" w:hAnsi="Times New Roman"/>
          <w:i/>
          <w:sz w:val="20"/>
        </w:rPr>
        <w:t>provided</w:t>
      </w:r>
      <w:r>
        <w:rPr>
          <w:rFonts w:ascii="Times New Roman" w:hAnsi="Times New Roman"/>
          <w:sz w:val="20"/>
        </w:rPr>
        <w:t xml:space="preserve"> that any notice or communication delivered to the Trustee shall be deemed effective upon actual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(c) Any notice or communication to a holder shall be mailed by first-class mail (certified or registered, return receipt requested) or by overnight air courier guaranteeing next day delivery to its address shown on the Note Register or by such other delivery system as the Trustee agrees to accept. Failure to mail a notice or communication to a holder or any defect in it shall not affect its sufficiency with respect to other holders. </w:t>
      </w:r>
    </w:p>
    <w:p>
      <w:pPr>
        <w:pStyle w:val="TextBody"/>
        <w:bidi w:val="0"/>
        <w:spacing w:before="120" w:after="0"/>
        <w:jc w:val="left"/>
        <w:rPr>
          <w:rFonts w:ascii="Times New Roman" w:hAnsi="Times New Roman"/>
          <w:sz w:val="20"/>
        </w:rPr>
      </w:pPr>
      <w:r>
        <w:rPr>
          <w:rFonts w:ascii="Times New Roman" w:hAnsi="Times New Roman"/>
          <w:sz w:val="20"/>
        </w:rPr>
        <w:t xml:space="preserve">(d)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 other provision herein, where this Indenture provides for notice of any event to any holder of an interest in a Global Note (whether by mail or otherwise), such notice shall be sufficiently given if given to the Depositary for such Note (or its designee), according to the applicable procedures of such Depositary, if any, prescribed for the giving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(f) The Trustee agrees to accept and act upon notice, instructions or directions pursuant to this Indenture sent by unsecured facsimile or electronic transmission;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(1) the party providing such written notice, instructions or directions, subsequent to such transmission of written instructions, shall provide the originally executed instructions or directions to the Trustee in a timely manner, and (2) such originally executed notice, instructions or directions shall be signed by an authorized representative of the party providing such notice, instructions or directions. The Trustee shall not be liable for any losses, costs or expenses arising directly or indirectly from the Trustee’s reasonable reliance upon and compliance with such notice, instructions or directions notwithstanding such notice, instructions or directions conflict or are inconsistent with a subsequent notice, instructions or directions. </w:t>
      </w:r>
    </w:p>
    <w:p>
      <w:pPr>
        <w:pStyle w:val="TextBody"/>
        <w:bidi w:val="0"/>
        <w:spacing w:before="120" w:after="0"/>
        <w:jc w:val="left"/>
        <w:rPr>
          <w:rFonts w:ascii="Times New Roman" w:hAnsi="Times New Roman"/>
          <w:sz w:val="20"/>
        </w:rPr>
      </w:pPr>
      <w:r>
        <w:rPr>
          <w:rFonts w:ascii="Times New Roman" w:hAnsi="Times New Roman"/>
          <w:sz w:val="20"/>
        </w:rPr>
        <w:t xml:space="preserve">(g) If a notice or communication is sent in the manner provided above within the time prescribed, it is duly given, whether or not the addressee receives it. </w:t>
      </w:r>
    </w:p>
    <w:p>
      <w:pPr>
        <w:pStyle w:val="TextBody"/>
        <w:bidi w:val="0"/>
        <w:spacing w:before="120" w:after="0"/>
        <w:jc w:val="left"/>
        <w:rPr>
          <w:rFonts w:ascii="Times New Roman" w:hAnsi="Times New Roman"/>
          <w:sz w:val="20"/>
        </w:rPr>
      </w:pPr>
      <w:r>
        <w:rPr>
          <w:rFonts w:ascii="Times New Roman" w:hAnsi="Times New Roman"/>
          <w:sz w:val="20"/>
        </w:rPr>
        <w:t xml:space="preserve">(h) If the Company mails a notice or communication to holders, it shall mail a copy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sz w:val="20"/>
          <w:u w:val="single"/>
        </w:rPr>
        <w:t>Communication by Holders with Other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Holders may communicate pursuant to Trust Indenture Act Section 312(b) with other holders with respect to their rights under this Indenture or the Notes. The Company, the Guarantors, the Trustee, the Registrar and anyone else shall have the protection of Trust Indenture Act Section 312(c).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or any Guarantor to the Trustee to take any action under this Indenture, the Company or such Guarantor, as the case may be,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in form and substance reasonably satisfactory to the Trustee (which shall include the statements set forth in Section 12.05) stating that, in the opinion of the signer(s), all conditions precedent and covenants, if any, provided for in this Indenture relating to the proposed action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(2) an Opinion of Counsel in form and substance reasonably satisfactory to the Trustee (which shall include the statements set forth in Section 12.05) stating that, subject to customary exceptions and qualifications in the opinion of such counsel, all such conditions precedent and covenants have been complied with; </w:t>
      </w:r>
      <w:r>
        <w:rPr>
          <w:rFonts w:ascii="Times New Roman" w:hAnsi="Times New Roman"/>
          <w:i/>
          <w:sz w:val="20"/>
        </w:rPr>
        <w:t>provided</w:t>
      </w:r>
      <w:r>
        <w:rPr>
          <w:rFonts w:ascii="Times New Roman" w:hAnsi="Times New Roman"/>
          <w:sz w:val="20"/>
        </w:rPr>
        <w:t xml:space="preserve"> that (A) subject to Section 5.01(c) and 9.06, no Opinion of Counsel pursuant to this Section 12.04 shall be required in connection with the addition of a Guarantor under this Indenture upon execution and delivery by such Guarantor and the Trustee of a supplemental indenture to this Indenture, the form of which is attached as Exhibit C and (B) no Opinion of Counsel pursuant to this Section shall be required in connection with the issuance of Notes on the Issue Date. </w:t>
      </w:r>
    </w:p>
    <w:p>
      <w:pPr>
        <w:pStyle w:val="TextBody"/>
        <w:bidi w:val="0"/>
        <w:spacing w:before="240" w:after="0"/>
        <w:jc w:val="left"/>
        <w:rPr>
          <w:rFonts w:ascii="Times New Roman" w:hAnsi="Times New Roman"/>
          <w:sz w:val="20"/>
        </w:rPr>
      </w:pPr>
      <w:r>
        <w:rPr>
          <w:rFonts w:ascii="Times New Roman" w:hAnsi="Times New Roman"/>
          <w:sz w:val="20"/>
        </w:rPr>
        <w:t xml:space="preserve">SECTION 12.05 </w:t>
      </w:r>
      <w:r>
        <w:rPr>
          <w:rFonts w:ascii="Times New Roman" w:hAnsi="Times New Roman"/>
          <w:sz w:val="20"/>
          <w:u w:val="single"/>
        </w:rPr>
        <w:t>Statements Required in Certificate or Opinion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Section 4.07)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(c) a statement that, in the opinion of such Person, he or she has made such examination or investigation as he or she deems necessary to enable him or her to express an informed opinion as to whether or not such covenant or condition has been complied with (and, in the case of an Opinion of Counsel, may be subject to customary exceptions and qualifications and limited to reliance on an Officer’s Certificate as to matters of fact);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12.06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at a meeting of holders. The Registrar or Paying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12.07 </w:t>
      </w:r>
      <w:r>
        <w:rPr>
          <w:rFonts w:ascii="Times New Roman" w:hAnsi="Times New Roman"/>
          <w:sz w:val="20"/>
          <w:u w:val="single"/>
        </w:rPr>
        <w:t>No Personal Liability of Directors, Officers, Employees, Members, Partners and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past, present or future director, officer, employee, incorporator, member, partner or stockholder of the Company or any Guarantor, as such, shall have any liability for any obligations of the Company or any Guarantor (other than the Company in respect of the Notes and each Guarantor in respect of its Guarantee) under the Notes, the Guarantees or this Indenture or for any claim based on, in respect of, or by reason of, such obligations or their creation. </w:t>
      </w:r>
    </w:p>
    <w:p>
      <w:pPr>
        <w:pStyle w:val="TextBody"/>
        <w:bidi w:val="0"/>
        <w:spacing w:before="240" w:after="0"/>
        <w:jc w:val="left"/>
        <w:rPr>
          <w:rFonts w:ascii="Times New Roman" w:hAnsi="Times New Roman"/>
          <w:sz w:val="20"/>
        </w:rPr>
      </w:pPr>
      <w:r>
        <w:rPr>
          <w:rFonts w:ascii="Times New Roman" w:hAnsi="Times New Roman"/>
          <w:sz w:val="20"/>
        </w:rPr>
        <w:t xml:space="preserve">Each holder by accepting a Note waives and releases all such liability.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12.08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THE NOTES AND ANY GUARANTEE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12.09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THE COMPANY, THE GUARANTORS AND THE TRUSTEE HEREBY IRREVOCABLY WAIVES, TO THE FULLEST EXTENT PERMITTED BY APPLICABLE LAW, ANY AND ALL RIGHT TO TRIAL BY JURY IN ANY LEGAL PROCEEDING ARISING OUT OF OR RELATING TO THIS INDENTURE, THE NOTES, THE GUARANTEES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12.10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pandemics, epidemics, recognized public emergencies, quarantine restrictions, nuclear or natural catastrophes or acts of God, and interruptions, loss or malfunctions of utilities, communications or computer (software or hardware) services, and hacking, cyber-attacks, or other use or infiltration of the Trustee’s technological infrastructure exceeding authorized access;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12.11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not be used to interpret any other indenture, loan or debt agreement of the Company or of any other Person.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12.12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and agreements of the parties hereto in this Indenture and the Notes shall bind their respective successors and permitted assigns of the rights and obligations of this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12.13 </w:t>
      </w:r>
      <w:r>
        <w:rPr>
          <w:rFonts w:ascii="Times New Roman" w:hAnsi="Times New Roman"/>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any provision in this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12.14 </w:t>
      </w:r>
      <w:r>
        <w:rPr>
          <w:rFonts w:ascii="Times New Roman" w:hAnsi="Times New Roman"/>
          <w:sz w:val="20"/>
          <w:u w:val="single"/>
        </w:rPr>
        <w:t>Counterpart Originals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any number of copies of this Indenture. Each signed copy shall be an original, but all of them together represent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12.15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12.16 </w:t>
      </w:r>
      <w:r>
        <w:rPr>
          <w:rFonts w:ascii="Times New Roman" w:hAnsi="Times New Roman"/>
          <w:sz w:val="20"/>
          <w:u w:val="single"/>
        </w:rPr>
        <w:t>Facsimile and PDF Delivery of Signature Pages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copies of this Indenture and of signature pages by facsimile or portable document format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12.17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12.18 </w:t>
      </w:r>
      <w:r>
        <w:rPr>
          <w:rFonts w:ascii="Times New Roman" w:hAnsi="Times New Roman"/>
          <w:sz w:val="20"/>
          <w:u w:val="single"/>
        </w:rPr>
        <w:t>Payments Due on Non-Business Days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any case where any Interest Payment Date, redemption date or repurchase date or the Stated Maturity of the Notes shall not be a Business Day, then (notwithstanding any other provision of this Indenture or of the Notes) payment of principal of, or premium (if any) or interest on, the Notes need not be made on such date, but may be made on the next succeeding Business Day with the same force and effect as if made on the Interest Payment Date, redemption date or repurchase date, or at the Stated Maturity of the Notes, </w:t>
      </w:r>
      <w:r>
        <w:rPr>
          <w:rFonts w:ascii="Times New Roman" w:hAnsi="Times New Roman"/>
          <w:i/>
          <w:sz w:val="20"/>
        </w:rPr>
        <w:t>provided</w:t>
      </w:r>
      <w:r>
        <w:rPr>
          <w:rFonts w:ascii="Times New Roman" w:hAnsi="Times New Roman"/>
          <w:sz w:val="20"/>
        </w:rPr>
        <w:t xml:space="preserve"> that no interest will accrue for the period from and after such Interest Payment Date, redemption date, repurchase date or Stated Maturity,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12.19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12.20 </w:t>
      </w:r>
      <w:r>
        <w:rPr>
          <w:rFonts w:ascii="Times New Roman" w:hAnsi="Times New Roman"/>
          <w:sz w:val="20"/>
          <w:u w:val="single"/>
        </w:rPr>
        <w:t>Consent to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hereby (“</w:t>
      </w:r>
      <w:r>
        <w:rPr>
          <w:rFonts w:ascii="Times New Roman" w:hAnsi="Times New Roman"/>
          <w:i/>
          <w:sz w:val="20"/>
        </w:rPr>
        <w:t>Related Proceedings</w:t>
      </w:r>
      <w:r>
        <w:rPr>
          <w:rFonts w:ascii="Times New Roman" w:hAnsi="Times New Roman"/>
          <w:sz w:val="20"/>
        </w:rPr>
        <w:t>”) may be instituted in the federal courts of the United States of America located in the City of New York or the courts of the State of New York in each case located in the City of New York (collectively, the “</w:t>
      </w:r>
      <w:r>
        <w:rPr>
          <w:rFonts w:ascii="Times New Roman" w:hAnsi="Times New Roman"/>
          <w:i/>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FAIR ISAAC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P. Weber</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Steven P. Weber</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Executive Vice President and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 as Trustee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Quinn DePompolo</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Quinn DePompolo</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APPENDIX A </w:t>
      </w:r>
    </w:p>
    <w:p>
      <w:pPr>
        <w:pStyle w:val="TextBody"/>
        <w:bidi w:val="0"/>
        <w:spacing w:before="480" w:after="0"/>
        <w:jc w:val="center"/>
        <w:rPr>
          <w:rFonts w:ascii="Times New Roman" w:hAnsi="Times New Roman"/>
          <w:sz w:val="20"/>
        </w:rPr>
      </w:pPr>
      <w:r>
        <w:rPr>
          <w:rFonts w:ascii="Times New Roman" w:hAnsi="Times New Roman"/>
          <w:sz w:val="20"/>
        </w:rPr>
        <w:t xml:space="preserve">PROVISIONS RELATING TO INITIAL NOTES AND </w:t>
      </w:r>
    </w:p>
    <w:p>
      <w:pPr>
        <w:pStyle w:val="TextBody"/>
        <w:bidi w:val="0"/>
        <w:spacing w:before="0" w:after="0"/>
        <w:jc w:val="center"/>
        <w:rPr>
          <w:rFonts w:ascii="Times New Roman" w:hAnsi="Times New Roman"/>
          <w:sz w:val="20"/>
        </w:rPr>
      </w:pPr>
      <w:r>
        <w:rPr>
          <w:rFonts w:ascii="Times New Roman" w:hAnsi="Times New Roman"/>
          <w:sz w:val="20"/>
        </w:rPr>
        <w:t xml:space="preserve">ADDITIONAL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Capitalized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in this Appendix A have the meanings given to them in this Indenture. The following capitalized terms have the following meanings: </w:t>
      </w:r>
    </w:p>
    <w:p>
      <w:pPr>
        <w:pStyle w:val="TextBody"/>
        <w:bidi w:val="0"/>
        <w:spacing w:before="240" w:after="0"/>
        <w:jc w:val="left"/>
        <w:rPr/>
      </w:pPr>
      <w:r>
        <w:rPr/>
        <w:t>“</w:t>
      </w:r>
      <w:r>
        <w:rPr>
          <w:rFonts w:ascii="Times New Roman" w:hAnsi="Times New Roman"/>
          <w:i/>
          <w:sz w:val="20"/>
        </w:rPr>
        <w:t>Applicable Procedures</w:t>
      </w:r>
      <w:r>
        <w:rPr>
          <w:rFonts w:ascii="Times New Roman" w:hAnsi="Times New Roman"/>
          <w:sz w:val="20"/>
        </w:rPr>
        <w:t xml:space="preserve">” means, with respect to any payment, tender, redemption, transfer or transaction involving a Global Note or beneficial interest therein, the rules and procedures of the Depositary for such Global Note, Euroclear or Clearstream, in each case to the extent applicable to such transaction and as in effect from time to time. </w:t>
      </w:r>
    </w:p>
    <w:p>
      <w:pPr>
        <w:pStyle w:val="TextBody"/>
        <w:bidi w:val="0"/>
        <w:spacing w:before="240" w:after="0"/>
        <w:jc w:val="left"/>
        <w:rPr/>
      </w:pPr>
      <w:r>
        <w:rPr/>
        <w:t>“</w:t>
      </w:r>
      <w:r>
        <w:rPr>
          <w:rFonts w:ascii="Times New Roman" w:hAnsi="Times New Roman"/>
          <w:i/>
          <w:sz w:val="20"/>
        </w:rPr>
        <w:t>Clearstream</w:t>
      </w:r>
      <w:r>
        <w:rPr>
          <w:rFonts w:ascii="Times New Roman" w:hAnsi="Times New Roman"/>
          <w:sz w:val="20"/>
        </w:rPr>
        <w:t xml:space="preserve">” means Clearstream Banking, société anonyme, or any successor securities clearing agency. </w:t>
      </w:r>
    </w:p>
    <w:p>
      <w:pPr>
        <w:pStyle w:val="TextBody"/>
        <w:bidi w:val="0"/>
        <w:spacing w:before="240" w:after="0"/>
        <w:jc w:val="left"/>
        <w:rPr/>
      </w:pPr>
      <w:r>
        <w:rPr/>
        <w:t>“</w:t>
      </w:r>
      <w:r>
        <w:rPr>
          <w:rFonts w:ascii="Times New Roman" w:hAnsi="Times New Roman"/>
          <w:i/>
          <w:sz w:val="20"/>
        </w:rPr>
        <w:t>Distribution Compliance Period,</w:t>
      </w:r>
      <w:r>
        <w:rPr>
          <w:rFonts w:ascii="Times New Roman" w:hAnsi="Times New Roman"/>
          <w:sz w:val="20"/>
        </w:rPr>
        <w:t xml:space="preserve">” with respect to any Note, means the period of 40 consecutive days beginning on and including the later of (a) the day on which such Note is first offered to Persons other than distributors (as defined in Regulation S) in reliance on Regulation S, notice of which day shall be promptly given by the Company to the Trustee, and (b) the date of issuance with respect to such Note or any predecessor of such Note. </w:t>
      </w:r>
    </w:p>
    <w:p>
      <w:pPr>
        <w:pStyle w:val="TextBody"/>
        <w:bidi w:val="0"/>
        <w:spacing w:before="240" w:after="0"/>
        <w:jc w:val="left"/>
        <w:rPr/>
      </w:pPr>
      <w:r>
        <w:rPr/>
        <w:t>“</w:t>
      </w:r>
      <w:r>
        <w:rPr>
          <w:rFonts w:ascii="Times New Roman" w:hAnsi="Times New Roman"/>
          <w:i/>
          <w:sz w:val="20"/>
        </w:rPr>
        <w:t>Euroclear</w:t>
      </w:r>
      <w:r>
        <w:rPr>
          <w:rFonts w:ascii="Times New Roman" w:hAnsi="Times New Roman"/>
          <w:sz w:val="20"/>
        </w:rPr>
        <w:t xml:space="preserve">” means Euroclear Bank S.A./N.Y., as operator of Euroclear systems Clearance System or any successor securities clearing agency. </w:t>
      </w:r>
    </w:p>
    <w:p>
      <w:pPr>
        <w:pStyle w:val="TextBody"/>
        <w:bidi w:val="0"/>
        <w:spacing w:before="240" w:after="0"/>
        <w:jc w:val="left"/>
        <w:rPr/>
      </w:pPr>
      <w:r>
        <w:rPr/>
        <w:t>“</w:t>
      </w:r>
      <w:r>
        <w:rPr>
          <w:rFonts w:ascii="Times New Roman" w:hAnsi="Times New Roman"/>
          <w:i/>
          <w:sz w:val="20"/>
        </w:rPr>
        <w:t>IAI</w:t>
      </w:r>
      <w:r>
        <w:rPr>
          <w:rFonts w:ascii="Times New Roman" w:hAnsi="Times New Roman"/>
          <w:sz w:val="20"/>
        </w:rPr>
        <w:t xml:space="preserve">” means an institution that is an “accredited investor” as described in Rule 501(a)(1), (2), (3) or (7) under the Securities Act and is not a QIB. </w:t>
      </w:r>
    </w:p>
    <w:p>
      <w:pPr>
        <w:pStyle w:val="TextBody"/>
        <w:bidi w:val="0"/>
        <w:spacing w:before="240" w:after="0"/>
        <w:jc w:val="left"/>
        <w:rPr/>
      </w:pPr>
      <w:r>
        <w:rPr/>
        <w:t>“</w:t>
      </w:r>
      <w:r>
        <w:rPr>
          <w:rFonts w:ascii="Times New Roman" w:hAnsi="Times New Roman"/>
          <w:i/>
          <w:sz w:val="20"/>
        </w:rPr>
        <w:t>QIB</w:t>
      </w:r>
      <w:r>
        <w:rPr>
          <w:rFonts w:ascii="Times New Roman" w:hAnsi="Times New Roman"/>
          <w:sz w:val="20"/>
        </w:rPr>
        <w:t xml:space="preserve">” means a “qualified institutional buyer” as defined in Rule 144A. </w:t>
      </w:r>
    </w:p>
    <w:p>
      <w:pPr>
        <w:pStyle w:val="TextBody"/>
        <w:bidi w:val="0"/>
        <w:spacing w:before="240" w:after="0"/>
        <w:jc w:val="left"/>
        <w:rPr/>
      </w:pPr>
      <w:r>
        <w:rPr/>
        <w:t>“</w:t>
      </w:r>
      <w:r>
        <w:rPr>
          <w:rFonts w:ascii="Times New Roman" w:hAnsi="Times New Roman"/>
          <w:i/>
          <w:sz w:val="20"/>
        </w:rPr>
        <w:t>Regulation S</w:t>
      </w:r>
      <w:r>
        <w:rPr>
          <w:rFonts w:ascii="Times New Roman" w:hAnsi="Times New Roman"/>
          <w:sz w:val="20"/>
        </w:rPr>
        <w:t xml:space="preserve">” means Regulation S promulgated under the Securities Act. </w:t>
      </w:r>
    </w:p>
    <w:p>
      <w:pPr>
        <w:pStyle w:val="TextBody"/>
        <w:bidi w:val="0"/>
        <w:spacing w:before="240" w:after="0"/>
        <w:jc w:val="left"/>
        <w:rPr/>
      </w:pPr>
      <w:r>
        <w:rPr/>
        <w:t>“</w:t>
      </w:r>
      <w:r>
        <w:rPr>
          <w:rFonts w:ascii="Times New Roman" w:hAnsi="Times New Roman"/>
          <w:i/>
          <w:sz w:val="20"/>
        </w:rPr>
        <w:t>Rule 144</w:t>
      </w:r>
      <w:r>
        <w:rPr>
          <w:rFonts w:ascii="Times New Roman" w:hAnsi="Times New Roman"/>
          <w:sz w:val="20"/>
        </w:rPr>
        <w:t xml:space="preserve">” means Rule 144 promulgated under the Securities Act. </w:t>
      </w:r>
    </w:p>
    <w:p>
      <w:pPr>
        <w:pStyle w:val="TextBody"/>
        <w:bidi w:val="0"/>
        <w:spacing w:before="240" w:after="0"/>
        <w:jc w:val="left"/>
        <w:rPr/>
      </w:pPr>
      <w:r>
        <w:rPr/>
        <w:t>“</w:t>
      </w:r>
      <w:r>
        <w:rPr>
          <w:rFonts w:ascii="Times New Roman" w:hAnsi="Times New Roman"/>
          <w:i/>
          <w:sz w:val="20"/>
        </w:rPr>
        <w:t>Rule 144A</w:t>
      </w:r>
      <w:r>
        <w:rPr>
          <w:rFonts w:ascii="Times New Roman" w:hAnsi="Times New Roman"/>
          <w:sz w:val="20"/>
        </w:rPr>
        <w:t xml:space="preserve">” means Rule 144A promulgated under the Securities Act. </w:t>
      </w:r>
    </w:p>
    <w:p>
      <w:pPr>
        <w:pStyle w:val="TextBody"/>
        <w:bidi w:val="0"/>
        <w:spacing w:before="240" w:after="0"/>
        <w:jc w:val="left"/>
        <w:rPr/>
      </w:pPr>
      <w:r>
        <w:rPr/>
        <w:t>“</w:t>
      </w:r>
      <w:r>
        <w:rPr>
          <w:rFonts w:ascii="Times New Roman" w:hAnsi="Times New Roman"/>
          <w:i/>
          <w:sz w:val="20"/>
        </w:rPr>
        <w:t>Unrestricted Global Note</w:t>
      </w:r>
      <w:r>
        <w:rPr>
          <w:rFonts w:ascii="Times New Roman" w:hAnsi="Times New Roman"/>
          <w:sz w:val="20"/>
        </w:rPr>
        <w:t xml:space="preserve">” means any Note in global form that does not bear or is not required to bear the Restricted Notes Legend. </w:t>
      </w:r>
    </w:p>
    <w:p>
      <w:pPr>
        <w:pStyle w:val="TextBody"/>
        <w:bidi w:val="0"/>
        <w:spacing w:before="240" w:after="0"/>
        <w:jc w:val="left"/>
        <w:rPr/>
      </w:pPr>
      <w:r>
        <w:rPr/>
        <w:t>“</w:t>
      </w:r>
      <w:r>
        <w:rPr>
          <w:rFonts w:ascii="Times New Roman" w:hAnsi="Times New Roman"/>
          <w:i/>
          <w:sz w:val="20"/>
        </w:rPr>
        <w:t>U.S. person</w:t>
      </w:r>
      <w:r>
        <w:rPr>
          <w:rFonts w:ascii="Times New Roman" w:hAnsi="Times New Roman"/>
          <w:sz w:val="20"/>
        </w:rPr>
        <w:t xml:space="preserve">” means a “U.S. person” as defined in Regulation 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120"/>
        <w:gridCol w:w="4880"/>
      </w:tblGrid>
      <w:tr>
        <w:trPr/>
        <w:tc>
          <w:tcPr>
            <w:tcW w:w="52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0"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120" w:type="dxa"/>
            <w:tcBorders/>
            <w:vAlign w:val="bottom"/>
          </w:tcPr>
          <w:p>
            <w:pPr>
              <w:pStyle w:val="TableContents"/>
              <w:bidi w:val="0"/>
              <w:spacing w:before="0" w:after="283"/>
              <w:jc w:val="left"/>
              <w:rPr/>
            </w:pPr>
            <w:r>
              <w:rPr/>
              <w:t>  </w:t>
            </w:r>
          </w:p>
        </w:tc>
        <w:tc>
          <w:tcPr>
            <w:tcW w:w="488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Defined in</w:t>
            </w:r>
          </w:p>
          <w:p>
            <w:pPr>
              <w:pStyle w:val="TableContents"/>
              <w:bidi w:val="0"/>
              <w:spacing w:before="0" w:after="20"/>
              <w:jc w:val="center"/>
              <w:rPr>
                <w:rFonts w:ascii="Times New Roman" w:hAnsi="Times New Roman"/>
                <w:sz w:val="16"/>
              </w:rPr>
            </w:pPr>
            <w:r>
              <w:rPr>
                <w:rFonts w:ascii="Times New Roman" w:hAnsi="Times New Roman"/>
                <w:sz w:val="16"/>
              </w:rPr>
              <w:t>Section</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Agent Members</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2.1(c)</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Definitive Notes Legend</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2.2(e)</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Global Note</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2.1(b)</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Global Notes Legend</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2.2(e)</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IAI Global Note</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2.1(b)</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Regulation S Global Note</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2.1(b)</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Regulation S Legend</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2.2(e)</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Regulation S Notes</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2.1(a)</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Restricted Notes Legend</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2.2(e)</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Rule 144A Global Note</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2.1(b)</w:t>
            </w:r>
          </w:p>
        </w:tc>
      </w:tr>
      <w:tr>
        <w:trPr/>
        <w:tc>
          <w:tcPr>
            <w:tcW w:w="5205" w:type="dxa"/>
            <w:tcBorders/>
            <w:vAlign w:val="bottom"/>
          </w:tcPr>
          <w:p>
            <w:pPr>
              <w:pStyle w:val="TableContents"/>
              <w:bidi w:val="0"/>
              <w:spacing w:before="0" w:after="0"/>
              <w:jc w:val="left"/>
              <w:rPr/>
            </w:pPr>
            <w:r>
              <w:rPr/>
              <w:t>“</w:t>
            </w:r>
            <w:r>
              <w:rPr>
                <w:rFonts w:ascii="Times New Roman" w:hAnsi="Times New Roman"/>
                <w:i/>
                <w:sz w:val="20"/>
              </w:rPr>
              <w:t>Rule 144A Notes</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4880" w:type="dxa"/>
            <w:tcBorders/>
            <w:vAlign w:val="bottom"/>
          </w:tcPr>
          <w:p>
            <w:pPr>
              <w:pStyle w:val="TableContents"/>
              <w:bidi w:val="0"/>
              <w:spacing w:before="0" w:after="283"/>
              <w:jc w:val="center"/>
              <w:rPr/>
            </w:pPr>
            <w:r>
              <w:rPr/>
              <w:t>2.1(a)</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Form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Initial Notes issued on the date hereof shall be (i) offered and sold by the Company to the initial purchasers thereof and (ii) resold, initially only to (1) QIBs in reliance on Rule 144A (“</w:t>
      </w:r>
      <w:r>
        <w:rPr>
          <w:rFonts w:ascii="Times New Roman" w:hAnsi="Times New Roman"/>
          <w:i/>
          <w:sz w:val="20"/>
        </w:rPr>
        <w:t>Rule 144A Notes</w:t>
      </w:r>
      <w:r>
        <w:rPr>
          <w:rFonts w:ascii="Times New Roman" w:hAnsi="Times New Roman"/>
          <w:sz w:val="20"/>
        </w:rPr>
        <w:t>”) and (2) Persons other than U.S. persons in reliance on Regulation S (“</w:t>
      </w:r>
      <w:r>
        <w:rPr>
          <w:rFonts w:ascii="Times New Roman" w:hAnsi="Times New Roman"/>
          <w:i/>
          <w:sz w:val="20"/>
        </w:rPr>
        <w:t>Regulation S Notes</w:t>
      </w:r>
      <w:r>
        <w:rPr>
          <w:rFonts w:ascii="Times New Roman" w:hAnsi="Times New Roman"/>
          <w:sz w:val="20"/>
        </w:rPr>
        <w:t xml:space="preserve">”). Additional Notes may also be considered to be Rule 144A Notes, Regulation S Notes or IAI Notes,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Global Notes</w:t>
      </w:r>
      <w:r>
        <w:rPr>
          <w:rFonts w:ascii="Times New Roman" w:hAnsi="Times New Roman"/>
          <w:sz w:val="20"/>
        </w:rPr>
        <w:t>. Rule 144A Notes shall be issued initially in the form of one or more permanent global Notes in definitive, fully registered form, numbered RA-1 upward (collectively, the “</w:t>
      </w:r>
      <w:r>
        <w:rPr>
          <w:rFonts w:ascii="Times New Roman" w:hAnsi="Times New Roman"/>
          <w:i/>
          <w:sz w:val="20"/>
        </w:rPr>
        <w:t>Rule</w:t>
      </w:r>
      <w:r>
        <w:rPr>
          <w:rFonts w:ascii="Times New Roman" w:hAnsi="Times New Roman"/>
          <w:sz w:val="20"/>
        </w:rPr>
        <w:t> </w:t>
      </w:r>
      <w:r>
        <w:rPr>
          <w:rFonts w:ascii="Times New Roman" w:hAnsi="Times New Roman"/>
          <w:i/>
          <w:sz w:val="20"/>
        </w:rPr>
        <w:t>144A Global Note</w:t>
      </w:r>
      <w:r>
        <w:rPr>
          <w:rFonts w:ascii="Times New Roman" w:hAnsi="Times New Roman"/>
          <w:sz w:val="20"/>
        </w:rPr>
        <w:t>”) and Regulation S Notes shall be issued initially in the form of one or more global Notes, numbered RS-1 upward (collectively, the “</w:t>
      </w:r>
      <w:r>
        <w:rPr>
          <w:rFonts w:ascii="Times New Roman" w:hAnsi="Times New Roman"/>
          <w:i/>
          <w:sz w:val="20"/>
        </w:rPr>
        <w:t>Regulation S Global Note</w:t>
      </w:r>
      <w:r>
        <w:rPr>
          <w:rFonts w:ascii="Times New Roman" w:hAnsi="Times New Roman"/>
          <w:sz w:val="20"/>
        </w:rPr>
        <w:t>”), in each case without interest coupons and bearing the Global Notes Legend and Restricted Notes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 One or more global Notes in definitive, fully registered form without interest coupons and bearing the Global Notes Legend and the Restricted Notes Legend, numbered RIAI-1 upward (collectively, the “</w:t>
      </w:r>
      <w:r>
        <w:rPr>
          <w:rFonts w:ascii="Times New Roman" w:hAnsi="Times New Roman"/>
          <w:i/>
          <w:sz w:val="20"/>
        </w:rPr>
        <w:t>IAI Global Note</w:t>
      </w:r>
      <w:r>
        <w:rPr>
          <w:rFonts w:ascii="Times New Roman" w:hAnsi="Times New Roman"/>
          <w:sz w:val="20"/>
        </w:rPr>
        <w:t>”) shall also be issued on the Issue Date at the request of the Trustee, deposited with the Custodian, and registered in the name of the Depositary or a nominee of the Depositary, duly executed by the Company and authenticated by the Trustee as provided in this Indenture to accommodate transfers of beneficial interests in the Notes to IAIs subsequent to the initial distribution. The Rule 144A Global Note, the IAI Global Note, the Regulation S Global Note and any Unrestricted Global Note are each referred to herein as a “</w:t>
      </w:r>
      <w:r>
        <w:rPr>
          <w:rFonts w:ascii="Times New Roman" w:hAnsi="Times New Roman"/>
          <w:i/>
          <w:sz w:val="20"/>
        </w:rPr>
        <w:t>Global Note</w:t>
      </w:r>
      <w:r>
        <w:rPr>
          <w:rFonts w:ascii="Times New Roman" w:hAnsi="Times New Roman"/>
          <w:sz w:val="20"/>
        </w:rPr>
        <w:t>” and are collectively referred to herein as “</w:t>
      </w:r>
      <w:r>
        <w:rPr>
          <w:rFonts w:ascii="Times New Roman" w:hAnsi="Times New Roman"/>
          <w:i/>
          <w:sz w:val="20"/>
        </w:rPr>
        <w:t>Global Notes.</w:t>
      </w:r>
      <w:r>
        <w:rPr>
          <w:rFonts w:ascii="Times New Roman" w:hAnsi="Times New Roman"/>
          <w:sz w:val="20"/>
        </w:rPr>
        <w:t xml:space="preserve">”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this Indenture and Section 2.2(c) of this Appendix 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Book-Entry Provisions.</w:t>
      </w:r>
      <w:r>
        <w:rPr>
          <w:rFonts w:ascii="Times New Roman" w:hAnsi="Times New Roman"/>
          <w:sz w:val="20"/>
        </w:rPr>
        <w:t xml:space="preserve"> This Section 2.1(c) shall apply only to a Global Note deposited with or on behalf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execute and the Trustee shall, in accordance with this Section 2.1(c) and Section 2.02 of this Indenture and pursuant to an order of the Company signed by one Officer of the Company,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 </w:t>
      </w:r>
    </w:p>
    <w:p>
      <w:pPr>
        <w:pStyle w:val="TextBody"/>
        <w:bidi w:val="0"/>
        <w:spacing w:before="240" w:after="0"/>
        <w:jc w:val="left"/>
        <w:rPr>
          <w:rFonts w:ascii="Times New Roman" w:hAnsi="Times New Roman"/>
          <w:sz w:val="20"/>
        </w:rPr>
      </w:pPr>
      <w:r>
        <w:rPr>
          <w:rFonts w:ascii="Times New Roman" w:hAnsi="Times New Roman"/>
          <w:sz w:val="20"/>
        </w:rPr>
        <w:t>Members of, or participants in, the Depositary (“</w:t>
      </w:r>
      <w:r>
        <w:rPr>
          <w:rFonts w:ascii="Times New Roman" w:hAnsi="Times New Roman"/>
          <w:i/>
          <w:sz w:val="20"/>
        </w:rPr>
        <w:t>Agent Members</w:t>
      </w:r>
      <w:r>
        <w:rPr>
          <w:rFonts w:ascii="Times New Roman" w:hAnsi="Times New Roman"/>
          <w:sz w:val="20"/>
        </w:rPr>
        <w:t xml:space="preserve">”) shall have no rights under the Indenture with respect to any Global Note held on their behalf by the Depositary or by the Trustee as Custodian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Definitive Notes.</w:t>
      </w:r>
      <w:r>
        <w:rPr>
          <w:rFonts w:ascii="Times New Roman" w:hAnsi="Times New Roman"/>
          <w:sz w:val="20"/>
        </w:rPr>
        <w:t xml:space="preserve"> Except as provided in Section 2.2 or Section 2.3 of this Appendix A, owners of beneficial interests in Global Notes shall not be entitled to receive physical delivery of Definitive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Transfer and Exchange of Definitive Notes for Definitive Notes</w:t>
      </w:r>
      <w:r>
        <w:rPr>
          <w:rFonts w:ascii="Times New Roman" w:hAnsi="Times New Roman"/>
          <w:sz w:val="20"/>
        </w:rPr>
        <w:t xml:space="preserve">. When Definitive Notes are presented to the Registrar with a request: </w:t>
      </w:r>
    </w:p>
    <w:p>
      <w:pPr>
        <w:pStyle w:val="TextBody"/>
        <w:bidi w:val="0"/>
        <w:spacing w:before="120" w:after="0"/>
        <w:jc w:val="left"/>
        <w:rPr>
          <w:rFonts w:ascii="Times New Roman" w:hAnsi="Times New Roman"/>
          <w:sz w:val="20"/>
        </w:rPr>
      </w:pPr>
      <w:r>
        <w:rPr>
          <w:rFonts w:ascii="Times New Roman" w:hAnsi="Times New Roman"/>
          <w:sz w:val="20"/>
        </w:rPr>
        <w:t xml:space="preserve">(i) to register the transfer of such Definitive Notes; or </w:t>
      </w:r>
    </w:p>
    <w:p>
      <w:pPr>
        <w:pStyle w:val="TextBody"/>
        <w:bidi w:val="0"/>
        <w:spacing w:before="120" w:after="0"/>
        <w:jc w:val="left"/>
        <w:rPr>
          <w:rFonts w:ascii="Times New Roman" w:hAnsi="Times New Roman"/>
          <w:sz w:val="20"/>
        </w:rPr>
      </w:pPr>
      <w:r>
        <w:rPr>
          <w:rFonts w:ascii="Times New Roman" w:hAnsi="Times New Roman"/>
          <w:sz w:val="20"/>
        </w:rPr>
        <w:t xml:space="preserve">(ii) to exchange such Definitive Notes for an equal principal amount of Definitive Notes of other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the Registrar shall register the transfer or make the exchange as requested if its reasonable requirements for such transaction are met;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Definitive Notes surrendered for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(1) shall be duly endorsed or accompanied by a written instrument of transfer in form reasonably satisfactory to the Company and the Registrar, duly executed by the holder thereof or his attorney duly authorized in writing; and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Transfer Restricted Notes, they are being transferred or exchanged pursuant to an effective registration statement under the Securities Act or pursuant to Section 2.2(b) of this Appendix A or otherwise in accordance with the Restricted Notes Legend, and are accompanied by a certification from the transferor in the form provided on the reverse side of the Form of Note in Exhibit A. for exchange or registration of transfers and, as applicable, delivery of such legal opinions, certifications and other information as may be requested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Restrictions on Transfer of a Definitive Note for a Beneficial Interest in a Global Note</w:t>
      </w:r>
      <w:r>
        <w:rPr>
          <w:rFonts w:ascii="Times New Roman" w:hAnsi="Times New Roman"/>
          <w:sz w:val="20"/>
        </w:rPr>
        <w:t xml:space="preserve">.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 </w:t>
      </w:r>
    </w:p>
    <w:p>
      <w:pPr>
        <w:pStyle w:val="TextBody"/>
        <w:bidi w:val="0"/>
        <w:spacing w:before="120" w:after="0"/>
        <w:jc w:val="left"/>
        <w:rPr>
          <w:rFonts w:ascii="Times New Roman" w:hAnsi="Times New Roman"/>
          <w:sz w:val="20"/>
        </w:rPr>
      </w:pPr>
      <w:r>
        <w:rPr>
          <w:rFonts w:ascii="Times New Roman" w:hAnsi="Times New Roman"/>
          <w:sz w:val="20"/>
        </w:rPr>
        <w:t xml:space="preserve">(i) a certification from the transferor in the form provided on the reverse side of the Form of Note in Exhibit A for exchange or registration of transfers and, as applicable, delivery of such legal opinions, certifications and other information as may be requested pursuant thereto; and </w:t>
      </w:r>
    </w:p>
    <w:p>
      <w:pPr>
        <w:pStyle w:val="TextBody"/>
        <w:bidi w:val="0"/>
        <w:spacing w:before="120" w:after="0"/>
        <w:jc w:val="left"/>
        <w:rPr>
          <w:rFonts w:ascii="Times New Roman" w:hAnsi="Times New Roman"/>
          <w:sz w:val="20"/>
        </w:rPr>
      </w:pPr>
      <w:r>
        <w:rPr>
          <w:rFonts w:ascii="Times New Roman" w:hAnsi="Times New Roman"/>
          <w:sz w:val="20"/>
        </w:rPr>
        <w:t xml:space="preserve">(ii) 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 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Company shall issue and the Trustee shall authenticate, upon an Authentication Order, a new applicable Global Note in the appropriate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 and Exchange of 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transfer and exchange of Global Notes or beneficial interests therein shall be effected through the Depositary, in accordance with the Indenture (including applicable restrictions on transfer set forth in Section 2.2(d) of this Appendix A, if any) and the procedures of the Depositary therefor. A transferor of a beneficial interest in a Global Note shall deliver to the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any other provisions of this Appendix A (other than the provisions set forth in Section 2.3 of this Appendix A),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Restrictions on Transfer of Global Notes; Voluntary Exchange of Interests in Transfer Restricted Global Notes for Interests in Unrestricted 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Transfers by an owner of a beneficial interest in a Rule 144A Global Note or an IAI Global Note to a transferee who takes delivery of such interest through another Transfer Restricted Global Note shall be made in accordance with the Applicable Procedures and the Restricted Notes Legend and only upon receipt by the Trustee of a certification from the transferor in the form provided on the reverse side of the Form of Note in Exhibit A for exchange or registration of transfers and, as applicable, delivery of such legal opinions, certifications and other information as may be requested pursuant thereto. In addition, in the case of a transfer of a beneficial interest in either a Regulation S Global Note or a Rule 144A Global Note for an interest in an IAI Global Note, the transferee must furnish a signed letter substantially in the form of Exhibit B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(ii) During the Distribution Compliance Period, beneficial ownership interests in the Regulation S Global Note may only be sold, pledged or transferred through Euroclear or Clearstream in accordance with the Applicable Procedures, the Restricted Notes Legend on such Regulation S Global Note and any applicable securities laws of any state of the U.S. Prior to the expiration of the Distribution Compliance Period, transfers by an owner of a beneficial interest in the Regulation S Global Note to a transferee who takes delivery of such interest through a Rule 144A Global Note or an IAI Global Note shall be made only in accordance with the Applicable Procedures and the Restricted Notes Legend and upon receipt by the Trustee of a written certification from the transferor of the beneficial interest in the form provided on the reverse side of the Form of Note in Exhibit A for exchange or registration of transfers. Such written certification shall no longer be required after the expiration of the Distribution Compliance Period. Upon the expiration of the Distribution Compliance Period, beneficial ownership interests in the Regulation S Global Note shall be transferable in accordance with applicable law and the other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(iii) Upon the expiration of the Distribution Compliance Period, beneficial interests in the Regulation S Global Note may be exchanged for beneficial interests in an Unrestricted Global Note pursuant to Applicable Procedures or upon certification in the form provided on the reverse side of the Form of Note in Exhibit A for an exchange from a Regulation S Global Note to an Unrestricted Global Note. </w:t>
      </w:r>
    </w:p>
    <w:p>
      <w:pPr>
        <w:pStyle w:val="TextBody"/>
        <w:bidi w:val="0"/>
        <w:spacing w:before="240" w:after="0"/>
        <w:jc w:val="left"/>
        <w:rPr>
          <w:rFonts w:ascii="Times New Roman" w:hAnsi="Times New Roman"/>
          <w:sz w:val="20"/>
        </w:rPr>
      </w:pPr>
      <w:r>
        <w:rPr>
          <w:rFonts w:ascii="Times New Roman" w:hAnsi="Times New Roman"/>
          <w:sz w:val="20"/>
        </w:rPr>
        <w:t xml:space="preserve">(iv) Beneficial interests in a Transfer Restricted Note that is a Rule 144A Global Note or an IAI Global Note may be exchanged for beneficial interests in an Unrestricted Global Note if the holder certifies in writing to the Registrar that its request for such exchange is in respect of a transfer made in reliance on Rule 144 (such certification to be in the form set forth on the reverse side of the Form of Note in Exhibit A) and/or upon delivery of such legal opinions, certifications and other information as the Company or the Trustee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(v) If no Unrestricted Global Note is outstanding at the time of a transfer contemplated by the preceding clauses (iii) and (iv), the Company shall issue and the Trustee shall authenticate, upon an Authentication Order, a new Unrestricted Global Note in the appropriate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Except as permitted by Section 2.2(d), this Section 2.2(e) and Section 2.2(i) of this Appendix A,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Times New Roman" w:hAnsi="Times New Roman"/>
          <w:i/>
          <w:sz w:val="20"/>
        </w:rPr>
        <w:t>Restricted Notes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NOTE HAS NOT BEEN REGISTERED UNDER THE SECURITIES ACT OF 1993, AS AMENDED (THE “SECURITIES ACT”), OR ANY STATE SECURITIES LAWS. NEITHER THIS NOTE, NOR ANY INTEREST OR PARTICIPATION HEREIN MAY BE OFFERED, SOLD, ASSIGNED, TRANSFERRED, PLEDGED, ENCUMBERED OR OTHERWISE DISPOSED OF IN THE ABSENCE OF SUCH REGISTRATION UNLESS SUCH TRANSACTION IS EXEMPT FROM, OR NOT SUBJECT TO, SUCH REGISTRATION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THIS NOTE, BY ITS ACCEPTANCE HEREOF, AGREES ON ITS OWN BEHALF AND ON BEHALF OF ANY INVESTOR ACCOUNT FOR WHICH IT HAS PURCHASED NOTES, TO OFFER, SELL, OR OTHERWISE TRANSFER SUCH NOTE, PRIOR TO THE DATE (THE “RESALE RESTRICTION TERMINATION DATE”) THAT IS ONE YEAR (IN THE CASE OF RULE 144A NOTES) AFTER THE LATER OF THE ISSUE DATE HEREOF (OR THE DATE OF ANY SUBSEQUENT REOFFERING OF THE NOTES) AND THE LAST DATE ON WHICH THE ISSUER OR ANY AFFILIATE OF THE ISSUER WAS THE OWNER OF THIS NOTE (OR ANY PREDECESSOR OF SUCH NOTE) OR 40 DAYS (IN THE CASE OF REGULATION S NOTES) AFTER THE LATER OF THE ORIGINAL ISSUE DATE HEREOF AND THE DATE ON WHICH THIS NOTE (OR ANY PREDECESSOR OF SUCH NOTE) WAS FIRST OFFERED TO PERSONS OTHER THAN DISTRIBUTORS (AS DEFINED IN RULE 902 OF REGULATION S) IN RELIANCE ON REGULATION S, ONLY (A) TO THE ISSUER OR ANY SUBSIDIARY THEREOF, (B) PURSUANT TO A REGISTRATION STATEMENT THAT HAS BEEN DECLARED EFFECTIVE UNDER THE SECURITIES ACT, (C) FOR SO LONG AS THE NOTES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THAT OCCUR OUTSIDE THE UNITED STATES WITHIN THE MEANING OF REGULATION S UNDER THE SECURITIES ACT, OR (E) PURSUANT TO ANOTHER AVAILABLE EXEMPTION FROM THE REGISTRATION REQUIREMENTS OF THE SECURITIES ACT, SUBJECT TO THE ISSUER’S AND THE TRUSTEE’S RIGHT PRIOR TO ANY SUCH OFFER, SALE, OR TRANSFER PURSUANT TO CLAUSE (D) OR (E) TO REQUIRE THE DELIVERY OF AN OPINION OF COUNSEL, CERTIFICATION AND/OR OTHER INFORMATION SATISFACTORY TO EACH OF THEM. THE HOLDER AGREES THAT IT WILL DELIVER TO EACH PERSON TO WHOM THIS NOTE OR AN INTEREST HEREIN IS TRANSFERRED A NOTICE SUBSTANTIALLY TO THE EFFECT OF THIS LEGEND. THIS LEGEND WILL BE REMOVED UPON THE REQUEST OF THE HOLDER OR THE ISSUER ON OR AFTER THE RESALE RESTRICTION TERMINATION DATE. </w:t>
      </w:r>
    </w:p>
    <w:p>
      <w:pPr>
        <w:pStyle w:val="TextBody"/>
        <w:bidi w:val="0"/>
        <w:spacing w:before="120" w:after="0"/>
        <w:jc w:val="left"/>
        <w:rPr>
          <w:rFonts w:ascii="Times New Roman" w:hAnsi="Times New Roman"/>
          <w:sz w:val="20"/>
        </w:rPr>
      </w:pPr>
      <w:r>
        <w:rPr>
          <w:rFonts w:ascii="Times New Roman" w:hAnsi="Times New Roman"/>
          <w:sz w:val="20"/>
        </w:rPr>
        <w:t>Each Regulation S Note shall bear the following additional legend (“</w:t>
      </w:r>
      <w:r>
        <w:rPr>
          <w:rFonts w:ascii="Times New Roman" w:hAnsi="Times New Roman"/>
          <w:i/>
          <w:sz w:val="20"/>
        </w:rPr>
        <w:t>Regulation S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BY ITS ACQUISITION HEREOF, THE HOLDER HEREOF REPRESENTS THAT IT IS NOT A U.S. PERSON NOR IS IT PURCHASING FOR THE ACCOUNT OF A U.S. PERSON AND IS ACQUIRING THIS NOTE IN AN OFFSHORE TRANSACTION IN ACCORDANCE WITH REGULATION S UNDER THE SECURITIES ACT. </w:t>
      </w:r>
    </w:p>
    <w:p>
      <w:pPr>
        <w:pStyle w:val="TextBody"/>
        <w:bidi w:val="0"/>
        <w:spacing w:before="240" w:after="0"/>
        <w:jc w:val="left"/>
        <w:rPr>
          <w:rFonts w:ascii="Times New Roman" w:hAnsi="Times New Roman"/>
          <w:sz w:val="20"/>
        </w:rPr>
      </w:pPr>
      <w:r>
        <w:rPr>
          <w:rFonts w:ascii="Times New Roman" w:hAnsi="Times New Roman"/>
          <w:sz w:val="20"/>
        </w:rPr>
        <w:t>Each Definitive Note shall bear the following additional legend (“</w:t>
      </w:r>
      <w:r>
        <w:rPr>
          <w:rFonts w:ascii="Times New Roman" w:hAnsi="Times New Roman"/>
          <w:i/>
          <w:sz w:val="20"/>
        </w:rPr>
        <w:t>Definitive Notes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ANY TRANSFER, THE HOLDER WILL DELIVER TO THE REGISTRAR AND TRANSFER AGENT SUCH CERTIFICATES AND OTHER INFORMATION AS SUCH REGISTRAR AND TRANSFER AGENT MAY REASONABLY REQUIRE TO CONFIRM THAT THE TRANSFER COMPLIES WITH THE FOREGOING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Each Global Note shall bear the following additional legend (“</w:t>
      </w:r>
      <w:r>
        <w:rPr>
          <w:rFonts w:ascii="Times New Roman" w:hAnsi="Times New Roman"/>
          <w:i/>
          <w:sz w:val="20"/>
        </w:rPr>
        <w:t>Global Notes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UNLESS THIS CERTIFICATE IS PRESENTED BY AN AUTHORIZED REPRESENTATIVE OF THE DEPOSITORY TRUST COMPANY, A NEW YORK CORPORATION (“</w:t>
      </w:r>
      <w:r>
        <w:rPr>
          <w:rFonts w:ascii="Times New Roman" w:hAnsi="Times New Roman"/>
          <w:i/>
          <w:sz w:val="20"/>
        </w:rPr>
        <w:t>DTC</w:t>
      </w:r>
      <w:r>
        <w:rPr>
          <w:rFonts w:ascii="Times New Roman" w:hAnsi="Times New Roman"/>
          <w:sz w:val="20"/>
        </w:rPr>
        <w:t xml:space="preserve">”),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12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 </w:t>
      </w:r>
    </w:p>
    <w:p>
      <w:pPr>
        <w:pStyle w:val="TextBody"/>
        <w:bidi w:val="0"/>
        <w:spacing w:before="240" w:after="0"/>
        <w:jc w:val="left"/>
        <w:rPr>
          <w:rFonts w:ascii="Times New Roman" w:hAnsi="Times New Roman"/>
          <w:sz w:val="20"/>
        </w:rPr>
      </w:pPr>
      <w:r>
        <w:rPr>
          <w:rFonts w:ascii="Times New Roman" w:hAnsi="Times New Roman"/>
          <w:sz w:val="20"/>
        </w:rPr>
        <w:t>Any Note issued with original issue discount will also bear the following additional legend (“</w:t>
      </w:r>
      <w:r>
        <w:rPr>
          <w:rFonts w:ascii="Times New Roman" w:hAnsi="Times New Roman"/>
          <w:i/>
          <w:sz w:val="20"/>
        </w:rPr>
        <w:t>OID Notes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NOTE HAS BEEN ISSUED WITH “ORIGINAL ISSUE DISCOUNT” (WITHIN THE MEANING OF SECTION 1272 OF THE INTERNAL REVENUE CODE OF 1986, AS AMENDED) FOR U.S. FEDERAL INCOME TAX PURPOSES. UPON WRITTEN REQUEST, THE COMPANY WILL PROMPTLY MAKE AVAILABLE TO ANY HOLDER OF THIS NOTE THE FOLLOWING INFORMATION: (1) THE ISSUE PRICE AND DATE OF THE NOTE, (2) THE AMOUNT OF ORIGINAL ISSUE DISCOUNT ON THE NOTE AND (3) THE YIELD TO MATURITY OF THE NOTE. HOLDERS SHOULD CONTACT THE TREASURER OF THE COMPANY AT 50 SOUTH 6TH STREET, SUITE 1360, MINNEAPOLIS, MN 55402. </w:t>
      </w:r>
    </w:p>
    <w:p>
      <w:pPr>
        <w:pStyle w:val="TextBody"/>
        <w:bidi w:val="0"/>
        <w:spacing w:before="240" w:after="0"/>
        <w:jc w:val="left"/>
        <w:rPr>
          <w:rFonts w:ascii="Times New Roman" w:hAnsi="Times New Roman"/>
          <w:sz w:val="20"/>
        </w:rPr>
      </w:pPr>
      <w:r>
        <w:rPr>
          <w:rFonts w:ascii="Times New Roman" w:hAnsi="Times New Roman"/>
          <w:sz w:val="20"/>
        </w:rPr>
        <w:t xml:space="preserve">(ii) Upon any sale or transfer of a Transfer Restricted Note that is a Definitive Note, the Registrar shall permit the holder thereof to exchange such Transfer Restricted Note for a Definitive Note that does not bear the Restricted Notes Legend and the Definitive Notes Legend and rescind any restriction on the transfer of such Transfer Restricted Note if the holder certifies in writing to the Registrar that its request for such exchange is in respect of a transfer made in reliance on Rule 144 (such certification to be in the form set forth on the reverse side of the Form of Note in Exhibit A) and provides such legal opinions, certifications and other information as the Company or the Trustee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(iii) After a transfer of any Initial Notes or Additional Notes during the period of the effectiveness of a Shelf Registration Statement with respect to such Initial Notes or Additional Notes, as the case may be, all requirements pertaining to the Restricted Notes Legend on such Initial Notes or Additional Notes shall cease to apply and the requirements that any such Initial Notes or Additional Notes be issued in global form shall continue to apply.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Cancellation or Adjustment of Global Note.</w:t>
      </w:r>
      <w:r>
        <w:rPr>
          <w:rFonts w:ascii="Times New Roman" w:hAnsi="Times New Roman"/>
          <w:sz w:val="20"/>
        </w:rPr>
        <w:t xml:space="preserve"> At such time as all beneficial interests in a Global Note have either been exchanged for Definitive Notes, transferred in exchange for an interest in another Global Note,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(if it is then the Custodian for such Global Note) with respect to such Global Note, by the Registrar or the Custodian, to reflect such reduction.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Obligations with Respect to Transfers and Exchanges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To permit registrations of transfers and exchanges, the Company shall execute and the Trustee shall authenticate, Definitive Notes and Global Notes at the Registrar’s request. </w:t>
      </w:r>
    </w:p>
    <w:p>
      <w:pPr>
        <w:pStyle w:val="TextBody"/>
        <w:bidi w:val="0"/>
        <w:spacing w:before="240" w:after="0"/>
        <w:jc w:val="left"/>
        <w:rPr>
          <w:rFonts w:ascii="Times New Roman" w:hAnsi="Times New Roman"/>
          <w:sz w:val="20"/>
        </w:rPr>
      </w:pPr>
      <w:r>
        <w:rPr>
          <w:rFonts w:ascii="Times New Roman" w:hAnsi="Times New Roman"/>
          <w:sz w:val="20"/>
        </w:rPr>
        <w:t xml:space="preserve">(ii) No service charge shall be imposed in connection with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Sections 2.10, 3.06 and 9.05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(iii) Prior to the due presentation for registration of transfer of any Note, the Company, the Trustee, the Paying Agent or the Registrar may deem and treat the person in whose name a Note is registered as the absolute owner of such Note for the purpose of receiving payment of principal of, and premium (if any) and interest on, such Note and for all other purposes whatsoever, whether or not such Note is overdue, and none of the Company, the Trustee, the Paying Agent or the Registrar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(iv) All Notes issued upon any transfer or exchange pursuant to the terms of this Indenture shall evidence the same debt and shall be entitled to the same benefits under this Indenture as the Notes surrendered upon such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(v) In order to effect any transfer or exchange of an interest in any Transfer Restricted Note for an interest in a Note that does not bear the Restricted Notes Legend and has not been registered under the Securities Act, if the Registrar so requests or if the Applicable Procedures so require, an Opinion of Counsel, in form reasonably acceptable to the Registrar to the effect that no registration under the Securities Act is required in respect of such exchange or transfer or the re-sale of such interest by the beneficial holder thereof, shall be required to be delivered to the Registrar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Obligation of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Neither the Trustee nor any Agent shall have responsibility for any actions taken or not taken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(iii)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Definitive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Global Note deposited with the Depositary or with the Trustee as Custodian pursuant to Section 2.1 may be transferred to the beneficial owners thereof in the form of Definitive Notes in an aggregate principal amount equal to the principal amount of such Global Note, in exchange for such Global Note, only if such transfer complies with Section 2.2 of this Appendix A and (i) the Depositary notifies the Company that it is unwilling or unable to continue as a Depositary for such Global Note or if at any time the Depositary ceases to be a “clearing agency” registered under the Exchange Act and, in each case, a successor depositary is not appointed by the Company within 90 days of such notice or after the Company becomes aware of such cessation, or (ii) an Event of Default has occurred and is continuing and the Registrar has received a request from the Depository. In addition, any Affiliate of the Company or any Guarantor that is a beneficial owner of all or part of a Global Note may have such Affiliate’s beneficial interest transferred to such Affiliate in the form of a Definitive Note by providing a written request to the Company and the Trustee and such Opinions of Counsel, certificates or other information as may be required by this Indenture or the Company or Trustee. </w:t>
      </w:r>
    </w:p>
    <w:p>
      <w:pPr>
        <w:pStyle w:val="TextBody"/>
        <w:bidi w:val="0"/>
        <w:spacing w:before="240" w:after="0"/>
        <w:jc w:val="left"/>
        <w:rPr>
          <w:rFonts w:ascii="Times New Roman" w:hAnsi="Times New Roman"/>
          <w:sz w:val="20"/>
        </w:rPr>
      </w:pPr>
      <w:r>
        <w:rPr>
          <w:rFonts w:ascii="Times New Roman" w:hAnsi="Times New Roman"/>
          <w:sz w:val="20"/>
        </w:rPr>
        <w:t xml:space="preserve">(b) Any Global Note that is transferable to the beneficial owners thereof pursuant to this Section 2.3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2.3 shall be executed, authenticated and delivered only in denominations of $2,000 and integral multiples of $1,000 in excess thereof and registered in such names as the Depositary shall direct. Any Definitive Note delivered in exchange for an interest in a Global Note that is a Transfer Restricted Note shall, except as otherwise provided by Section 2.2(e) of this Appendix A, bear the Restricted Notes Legend. </w:t>
      </w:r>
    </w:p>
    <w:p>
      <w:pPr>
        <w:pStyle w:val="TextBody"/>
        <w:bidi w:val="0"/>
        <w:spacing w:before="240" w:after="0"/>
        <w:jc w:val="left"/>
        <w:rPr>
          <w:rFonts w:ascii="Times New Roman" w:hAnsi="Times New Roman"/>
          <w:sz w:val="20"/>
        </w:rPr>
      </w:pPr>
      <w:r>
        <w:rPr>
          <w:rFonts w:ascii="Times New Roman" w:hAnsi="Times New Roman"/>
          <w:sz w:val="20"/>
        </w:rPr>
        <w:t xml:space="preserve">(c) The registered holder of a Global Note may grant proxies and otherwise authorize any Person, including Agent Members and Persons that may hold interests through Agent Members, to take any action which a holder is entitled to take under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of the occurrence of any of the events specified in Section 2.3(a) of this Appendix A, the Company shall promptly make available to the Trustee a reasonable supply of Definitive Notes in fully registered form without interest coupons.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[FORM OF FACE OF NOTE] </w:t>
      </w:r>
    </w:p>
    <w:p>
      <w:pPr>
        <w:pStyle w:val="TextBody"/>
        <w:bidi w:val="0"/>
        <w:spacing w:before="240" w:after="0"/>
        <w:jc w:val="left"/>
        <w:rPr>
          <w:rFonts w:ascii="Times New Roman" w:hAnsi="Times New Roman"/>
          <w:sz w:val="20"/>
        </w:rPr>
      </w:pPr>
      <w:r>
        <w:rPr>
          <w:rFonts w:ascii="Times New Roman" w:hAnsi="Times New Roman"/>
          <w:sz w:val="20"/>
        </w:rPr>
        <w:t xml:space="preserve">[Insert the Restricted Notes Legend, if applicable, pursuant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[Insert the Regulation S Legend, if applicable, pursuant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[Insert the Global Notes Legend, if applicable, pursuant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[Insert the Definitive Notes Legend, if applicable, pursuant to the provisions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[    ] </w:t>
      </w:r>
    </w:p>
    <w:p>
      <w:pPr>
        <w:pStyle w:val="TextBody"/>
        <w:bidi w:val="0"/>
        <w:spacing w:before="0" w:after="0"/>
        <w:jc w:val="right"/>
        <w:rPr>
          <w:rFonts w:ascii="Times New Roman" w:hAnsi="Times New Roman"/>
          <w:sz w:val="20"/>
        </w:rPr>
      </w:pPr>
      <w:r>
        <w:rPr>
          <w:rFonts w:ascii="Times New Roman" w:hAnsi="Times New Roman"/>
          <w:sz w:val="20"/>
        </w:rPr>
        <w:t xml:space="preserve">ISIN [    ]1 </w:t>
      </w:r>
    </w:p>
    <w:p>
      <w:pPr>
        <w:pStyle w:val="TextBody"/>
        <w:bidi w:val="0"/>
        <w:spacing w:before="240" w:after="0"/>
        <w:jc w:val="center"/>
        <w:rPr>
          <w:rFonts w:ascii="Times New Roman" w:hAnsi="Times New Roman"/>
          <w:sz w:val="20"/>
        </w:rPr>
      </w:pPr>
      <w:r>
        <w:rPr>
          <w:rFonts w:ascii="Times New Roman" w:hAnsi="Times New Roman"/>
          <w:sz w:val="20"/>
        </w:rPr>
        <w:t xml:space="preserve">[RULE 144A][REGULATION S][IAI][GLOBAL] NOTE </w:t>
      </w:r>
    </w:p>
    <w:p>
      <w:pPr>
        <w:pStyle w:val="TextBody"/>
        <w:bidi w:val="0"/>
        <w:spacing w:before="0" w:after="0"/>
        <w:jc w:val="center"/>
        <w:rPr>
          <w:rFonts w:ascii="Times New Roman" w:hAnsi="Times New Roman"/>
          <w:sz w:val="20"/>
        </w:rPr>
      </w:pPr>
      <w:r>
        <w:rPr>
          <w:rFonts w:ascii="Times New Roman" w:hAnsi="Times New Roman"/>
          <w:sz w:val="20"/>
        </w:rPr>
        <w:t xml:space="preserve">6.250% Senior Notes due 2034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96"/>
        <w:gridCol w:w="120"/>
        <w:gridCol w:w="4689"/>
      </w:tblGrid>
      <w:tr>
        <w:trPr/>
        <w:tc>
          <w:tcPr>
            <w:tcW w:w="53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89" w:type="dxa"/>
            <w:tcBorders/>
            <w:vAlign w:val="center"/>
          </w:tcPr>
          <w:p>
            <w:pPr>
              <w:pStyle w:val="TableContents"/>
              <w:bidi w:val="0"/>
              <w:spacing w:before="0" w:after="283"/>
              <w:jc w:val="left"/>
              <w:rPr>
                <w:sz w:val="4"/>
                <w:szCs w:val="4"/>
              </w:rPr>
            </w:pPr>
            <w:r>
              <w:rPr>
                <w:sz w:val="4"/>
                <w:szCs w:val="4"/>
              </w:rPr>
            </w:r>
          </w:p>
        </w:tc>
      </w:tr>
      <w:tr>
        <w:trPr/>
        <w:tc>
          <w:tcPr>
            <w:tcW w:w="5396" w:type="dxa"/>
            <w:tcBorders/>
          </w:tcPr>
          <w:p>
            <w:pPr>
              <w:pStyle w:val="TableContents"/>
              <w:bidi w:val="0"/>
              <w:spacing w:before="0" w:after="283"/>
              <w:jc w:val="left"/>
              <w:rPr/>
            </w:pPr>
            <w:r>
              <w:rPr/>
              <w:t>No. [RA- ] [RS- ] [RIAI- ] [U- ]</w:t>
            </w:r>
          </w:p>
        </w:tc>
        <w:tc>
          <w:tcPr>
            <w:tcW w:w="120" w:type="dxa"/>
            <w:tcBorders/>
            <w:vAlign w:val="bottom"/>
          </w:tcPr>
          <w:p>
            <w:pPr>
              <w:pStyle w:val="TableContents"/>
              <w:bidi w:val="0"/>
              <w:spacing w:before="0" w:after="283"/>
              <w:jc w:val="left"/>
              <w:rPr/>
            </w:pPr>
            <w:r>
              <w:rPr/>
              <w:t>  </w:t>
            </w:r>
          </w:p>
        </w:tc>
        <w:tc>
          <w:tcPr>
            <w:tcW w:w="4689" w:type="dxa"/>
            <w:tcBorders/>
          </w:tcPr>
          <w:p>
            <w:pPr>
              <w:pStyle w:val="TableContents"/>
              <w:bidi w:val="0"/>
              <w:spacing w:before="0" w:after="283"/>
              <w:jc w:val="right"/>
              <w:rPr/>
            </w:pPr>
            <w:r>
              <w:rPr/>
              <w:t>[$ ]2</w:t>
            </w:r>
          </w:p>
        </w:tc>
      </w:tr>
    </w:tbl>
    <w:p>
      <w:pPr>
        <w:pStyle w:val="TextBody"/>
        <w:bidi w:val="0"/>
        <w:spacing w:before="240" w:after="0"/>
        <w:jc w:val="center"/>
        <w:rPr>
          <w:rFonts w:ascii="Times New Roman" w:hAnsi="Times New Roman"/>
          <w:sz w:val="20"/>
        </w:rPr>
      </w:pPr>
      <w:r>
        <w:rPr>
          <w:rFonts w:ascii="Times New Roman" w:hAnsi="Times New Roman"/>
          <w:sz w:val="20"/>
        </w:rPr>
        <w:t xml:space="preserve">FAIR ISAAC CORPORATION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CEDE &amp; CO. or registered assigns the principal sum [set forth on the Schedule of Exchanges of Interests in the Global Note attached hereto] [of $     (    Dollars)]3 on September 15, 2034.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Record Dates: March 1 and September 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144A Note CUSIP: 303250 AJ3 </w:t>
            </w:r>
          </w:p>
        </w:tc>
      </w:tr>
    </w:tbl>
    <w:p>
      <w:pPr>
        <w:pStyle w:val="TextBody"/>
        <w:bidi w:val="0"/>
        <w:spacing w:before="0" w:after="0"/>
        <w:jc w:val="left"/>
        <w:rPr>
          <w:rFonts w:ascii="Times New Roman" w:hAnsi="Times New Roman"/>
          <w:sz w:val="20"/>
        </w:rPr>
      </w:pPr>
      <w:r>
        <w:rPr>
          <w:rFonts w:ascii="Times New Roman" w:hAnsi="Times New Roman"/>
          <w:sz w:val="20"/>
        </w:rPr>
        <w:t xml:space="preserve">Rule 144A Note ISIN: US303250AJ38 </w:t>
      </w:r>
    </w:p>
    <w:p>
      <w:pPr>
        <w:pStyle w:val="TextBody"/>
        <w:bidi w:val="0"/>
        <w:spacing w:before="0" w:after="0"/>
        <w:jc w:val="left"/>
        <w:rPr>
          <w:rFonts w:ascii="Times New Roman" w:hAnsi="Times New Roman"/>
          <w:sz w:val="20"/>
        </w:rPr>
      </w:pPr>
      <w:r>
        <w:rPr>
          <w:rFonts w:ascii="Times New Roman" w:hAnsi="Times New Roman"/>
          <w:sz w:val="20"/>
        </w:rPr>
        <w:t xml:space="preserve">Regulation S Note CUSIP: U2947R AF6 </w:t>
      </w:r>
    </w:p>
    <w:p>
      <w:pPr>
        <w:pStyle w:val="TextBody"/>
        <w:bidi w:val="0"/>
        <w:spacing w:before="0" w:after="0"/>
        <w:jc w:val="left"/>
        <w:rPr>
          <w:rFonts w:ascii="Times New Roman" w:hAnsi="Times New Roman"/>
          <w:sz w:val="20"/>
        </w:rPr>
      </w:pPr>
      <w:r>
        <w:rPr>
          <w:rFonts w:ascii="Times New Roman" w:hAnsi="Times New Roman"/>
          <w:sz w:val="20"/>
        </w:rPr>
        <w:t xml:space="preserve">Regulation S Note ISIN: USU2947RAF65 </w:t>
      </w:r>
    </w:p>
    <w:p>
      <w:pPr>
        <w:pStyle w:val="TextBody"/>
        <w:bidi w:val="0"/>
        <w:spacing w:before="0" w:after="0"/>
        <w:jc w:val="left"/>
        <w:rPr>
          <w:rFonts w:ascii="Times New Roman" w:hAnsi="Times New Roman"/>
          <w:sz w:val="20"/>
        </w:rPr>
      </w:pPr>
      <w:r>
        <w:rPr>
          <w:rFonts w:ascii="Times New Roman" w:hAnsi="Times New Roman"/>
          <w:sz w:val="20"/>
        </w:rPr>
        <w:t xml:space="preserve">IAI Note CUSIP: To be obtained if necessary </w:t>
      </w:r>
    </w:p>
    <w:p>
      <w:pPr>
        <w:pStyle w:val="TextBody"/>
        <w:bidi w:val="0"/>
        <w:spacing w:before="0" w:after="0"/>
        <w:jc w:val="left"/>
        <w:rPr>
          <w:rFonts w:ascii="Times New Roman" w:hAnsi="Times New Roman"/>
          <w:sz w:val="20"/>
        </w:rPr>
      </w:pPr>
      <w:r>
        <w:rPr>
          <w:rFonts w:ascii="Times New Roman" w:hAnsi="Times New Roman"/>
          <w:sz w:val="20"/>
        </w:rPr>
        <w:t xml:space="preserve">IAI Note ISIN: To be obtained if necessary </w:t>
      </w:r>
    </w:p>
    <w:p>
      <w:pPr>
        <w:pStyle w:val="TextBody"/>
        <w:bidi w:val="0"/>
        <w:spacing w:before="0" w:after="0"/>
        <w:jc w:val="left"/>
        <w:rPr>
          <w:rFonts w:ascii="Times New Roman" w:hAnsi="Times New Roman"/>
          <w:sz w:val="20"/>
        </w:rPr>
      </w:pPr>
      <w:r>
        <w:rPr>
          <w:rFonts w:ascii="Times New Roman" w:hAnsi="Times New Roman"/>
          <w:sz w:val="20"/>
        </w:rPr>
        <w:t xml:space="preserve">CUSIP for Unrestricted Global Note: To be obtained if necessary </w:t>
      </w:r>
    </w:p>
    <w:p>
      <w:pPr>
        <w:pStyle w:val="TextBody"/>
        <w:bidi w:val="0"/>
        <w:spacing w:before="0" w:after="0"/>
        <w:jc w:val="left"/>
        <w:rPr>
          <w:rFonts w:ascii="Times New Roman" w:hAnsi="Times New Roman"/>
          <w:sz w:val="20"/>
        </w:rPr>
      </w:pPr>
      <w:r>
        <w:rPr>
          <w:rFonts w:ascii="Times New Roman" w:hAnsi="Times New Roman"/>
          <w:sz w:val="20"/>
        </w:rPr>
        <w:t xml:space="preserve">ISIN for Unrestricted Global Note: To be obtained if necessary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Global Notes.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Definitive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FAIR ISAAC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Side of Note] </w:t>
      </w:r>
    </w:p>
    <w:p>
      <w:pPr>
        <w:pStyle w:val="TextBody"/>
        <w:bidi w:val="0"/>
        <w:spacing w:before="240" w:after="0"/>
        <w:jc w:val="center"/>
        <w:rPr>
          <w:rFonts w:ascii="Times New Roman" w:hAnsi="Times New Roman"/>
          <w:sz w:val="20"/>
        </w:rPr>
      </w:pPr>
      <w:r>
        <w:rPr>
          <w:rFonts w:ascii="Times New Roman" w:hAnsi="Times New Roman"/>
          <w:sz w:val="20"/>
        </w:rPr>
        <w:t xml:space="preserve">6.250% Senior Notes due 2034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INTEREST. FAIR ISAAC CORPORATION, a Delaware corporation (the “</w:t>
      </w:r>
      <w:r>
        <w:rPr>
          <w:rFonts w:ascii="Times New Roman" w:hAnsi="Times New Roman"/>
          <w:i/>
          <w:sz w:val="20"/>
        </w:rPr>
        <w:t>Company</w:t>
      </w:r>
      <w:r>
        <w:rPr>
          <w:rFonts w:ascii="Times New Roman" w:hAnsi="Times New Roman"/>
          <w:sz w:val="20"/>
        </w:rPr>
        <w:t>”), promises to pay interest on the principal amount of this Note at 6.250% per annum until but excluding maturity. The Company shall pay interest semi-annually in arrears on March 15 and September 15 of each year (each, an “</w:t>
      </w:r>
      <w:r>
        <w:rPr>
          <w:rFonts w:ascii="Times New Roman" w:hAnsi="Times New Roman"/>
          <w:i/>
          <w:sz w:val="20"/>
        </w:rPr>
        <w:t>Interest Payment Date</w:t>
      </w:r>
      <w:r>
        <w:rPr>
          <w:rFonts w:ascii="Times New Roman" w:hAnsi="Times New Roman"/>
          <w:sz w:val="20"/>
        </w:rPr>
        <w:t xml:space="preserve">”). If any such day is not a Business Day, interest shall be payable on the next succeeding Business Day with the same force and effect and no interest shall accrue for the intervening period. Interest on the Notes shall accrue from the most recent date to which interest has been paid or, if no interest has been paid, from and including March 20, 2026; </w:t>
      </w:r>
      <w:r>
        <w:rPr>
          <w:rFonts w:ascii="Times New Roman" w:hAnsi="Times New Roman"/>
          <w:i/>
          <w:sz w:val="20"/>
        </w:rPr>
        <w:t>provided</w:t>
      </w:r>
      <w:r>
        <w:rPr>
          <w:rFonts w:ascii="Times New Roman" w:hAnsi="Times New Roman"/>
          <w:sz w:val="20"/>
        </w:rPr>
        <w:t xml:space="preserve"> that the first Interest Payment Date shall be September 15, 2026. The Company shall pay interest (including post-petition interest in any proceeding under any Bankruptcy Law) on overdue principal and premium, if any, from time to time on demand at the interest rate on the Notes to the extent lawful; it shall pay interest (including post-petition interest in any proceeding under any Bankruptcy Law) on overdue installments of interest (without regard to any applicable grace periods) from time to time on demand at the interest rate on the Notes to the extent lawful. Interest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The Company shall pay interest on the Notes to the Persons who are registered holders of Notes at the close of business on the March 1 or September 1 (whether or not a Business Day), as the case may be, immediately preceding the related Interest Payment Date, except as provided in Section 2.12 of the Indenture with respect to defaulted interest. Principal, premium, if any, and interest on the Notes shall be payable at the office or agency of the Company maintained for such purpose or, at the option of the Company, payment of interest and premium, if any, may be made by check mailed to the holders at their respective addresses set forth in the Note Register; </w:t>
      </w:r>
      <w:r>
        <w:rPr>
          <w:rFonts w:ascii="Times New Roman" w:hAnsi="Times New Roman"/>
          <w:i/>
          <w:sz w:val="20"/>
        </w:rPr>
        <w:t>provided</w:t>
      </w:r>
      <w:r>
        <w:rPr>
          <w:rFonts w:ascii="Times New Roman" w:hAnsi="Times New Roman"/>
          <w:sz w:val="20"/>
        </w:rPr>
        <w:t xml:space="preserve"> that payment by wire transfer of immediately available funds shall be required with respect to principal, premium, if any, and interest on all Global Notes and all other Notes the holders of which shall have provided wire transfer instructions to the Company or the Paying Agent at least five Business Days prior to the applicable payment date. Such payment shall be in such coin or currency of the United States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AND REGISTRAR. Initially, U.S. Bank Trust Company, National Association, the Trustee under the Indenture, shall act as Paying Agent and Registrar. The Company may change any Paying Agent or Registrar without notice to the holders. The Company may act in any such capacity. </w:t>
      </w:r>
    </w:p>
    <w:p>
      <w:pPr>
        <w:pStyle w:val="TextBody"/>
        <w:bidi w:val="0"/>
        <w:spacing w:before="240" w:after="0"/>
        <w:jc w:val="left"/>
        <w:rPr>
          <w:rFonts w:ascii="Times New Roman" w:hAnsi="Times New Roman"/>
          <w:sz w:val="20"/>
        </w:rPr>
      </w:pPr>
      <w:r>
        <w:rPr>
          <w:rFonts w:ascii="Times New Roman" w:hAnsi="Times New Roman"/>
          <w:sz w:val="20"/>
        </w:rPr>
        <w:t>4. INDENTURE. The Company issued the Notes under an Indenture, dated as of March 20, 2026 (as amended or supplemented from time to time, the “</w:t>
      </w:r>
      <w:r>
        <w:rPr>
          <w:rFonts w:ascii="Times New Roman" w:hAnsi="Times New Roman"/>
          <w:i/>
          <w:sz w:val="20"/>
        </w:rPr>
        <w:t>Indenture</w:t>
      </w:r>
      <w:r>
        <w:rPr>
          <w:rFonts w:ascii="Times New Roman" w:hAnsi="Times New Roman"/>
          <w:sz w:val="20"/>
        </w:rPr>
        <w:t xml:space="preserve">”), among the Company, the Guarantors named therein and the Trustee. This Note is one of a duly authorized issue of notes of the Company designated as its 6.250% Senior Notes due 2034. The Company shall be entitled to issue Additional Notes pursuant to Section 2.01 of the Indenture. The Notes and any Additional Notes issued under the Indenture shall be treated as a single class of securities under the Indenture. The terms of the Notes include those stated in the Indenture. The Notes are subject to all such terms, and holders are referred to the Indenture for a statement of such terms. Any term used in this Note that is defined in the Indenture shall have the meaning assigned to it in the Indenture. To the extent any provision of this Note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5. REDEMPTION AND REPURCHASE. The Notes are subject to optional redemption, and may be the subject of a Change of Control Offer, as further described in the Indenture. The Company shall not be required to make mandatory redemption or sinking fund payments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DENOMINATIONS, TRANSFER, EXCHANGE.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Company need not exchange or register the transfer of any Note or portion of a Note selected for redemption or tendered for repurchase in connection with a Change of Control Offer, except for the unredeemed portion of any Note being redeemed or repurchased in part. </w:t>
      </w:r>
    </w:p>
    <w:p>
      <w:pPr>
        <w:pStyle w:val="TextBody"/>
        <w:bidi w:val="0"/>
        <w:spacing w:before="240" w:after="0"/>
        <w:jc w:val="left"/>
        <w:rPr>
          <w:rFonts w:ascii="Times New Roman" w:hAnsi="Times New Roman"/>
          <w:sz w:val="20"/>
        </w:rPr>
      </w:pPr>
      <w:r>
        <w:rPr>
          <w:rFonts w:ascii="Times New Roman" w:hAnsi="Times New Roman"/>
          <w:sz w:val="20"/>
        </w:rPr>
        <w:t xml:space="preserve">7. PERSONS DEEMED OWNERS. The registered holder of a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AMENDMENT, SUPPLEMENT AND WAIVER. The Indenture, the Guarantees or the Notes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DEFAULTS AND REMEDIES. The Events of Default relating to the Notes are defined in Section 6.01 of the Indenture. Upon the occurrence of an Event of Default, the rights and obligations of the Company, the Guarantors, the Trustee and the holders shall be as set forth in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AUTHENTICATION. This Note shall not be entitled to any benefit under the Indenture or be valid or obligatory for any purpose until authenticated by the manual signature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11. GOVERNING LAW. THIS NOTE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12. CUSIP AND ISIN NUMBERS. Pursuant to a recommendation promulgated by the Committee on Uniform Security Identification Procedures, the Company has caused CUSIP and ISIN numbers to be printed on the Notes, and the Trustee may use CUSIP and ISIN numbers in notices as a convenience to holders. No representation is made as to the accuracy of such numbers either as printed on the Notes or as contained in any notice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furnish to any holder upon written request and without charge a copy of the Indenture. Requests may be made to the Company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Fair Isaac Corporation </w:t>
      </w:r>
    </w:p>
    <w:p>
      <w:pPr>
        <w:pStyle w:val="TextBody"/>
        <w:bidi w:val="0"/>
        <w:spacing w:before="0" w:after="0"/>
        <w:jc w:val="left"/>
        <w:rPr>
          <w:rFonts w:ascii="Times New Roman" w:hAnsi="Times New Roman"/>
          <w:sz w:val="20"/>
        </w:rPr>
      </w:pPr>
      <w:r>
        <w:rPr>
          <w:rFonts w:ascii="Times New Roman" w:hAnsi="Times New Roman"/>
          <w:sz w:val="20"/>
        </w:rPr>
        <w:t xml:space="preserve">50 South 6th Street, Suite 1360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55402 </w:t>
      </w:r>
    </w:p>
    <w:p>
      <w:pPr>
        <w:pStyle w:val="TextBody"/>
        <w:bidi w:val="0"/>
        <w:spacing w:before="0" w:after="0"/>
        <w:jc w:val="left"/>
        <w:rPr>
          <w:rFonts w:ascii="Times New Roman" w:hAnsi="Times New Roman"/>
          <w:sz w:val="20"/>
        </w:rPr>
      </w:pPr>
      <w:r>
        <w:rPr>
          <w:rFonts w:ascii="Times New Roman" w:hAnsi="Times New Roman"/>
          <w:sz w:val="20"/>
        </w:rPr>
        <w:t xml:space="preserve">Attention: Treasurer </w:t>
      </w:r>
    </w:p>
    <w:p>
      <w:pPr>
        <w:pStyle w:val="TextBody"/>
        <w:bidi w:val="0"/>
        <w:spacing w:before="0" w:after="0"/>
        <w:jc w:val="left"/>
        <w:rPr>
          <w:rFonts w:ascii="Times New Roman" w:hAnsi="Times New Roman"/>
          <w:sz w:val="20"/>
        </w:rPr>
      </w:pPr>
      <w:r>
        <w:rPr>
          <w:rFonts w:ascii="Times New Roman" w:hAnsi="Times New Roman"/>
          <w:sz w:val="20"/>
        </w:rPr>
        <w:t xml:space="preserve">Telephone: (651) 214-6338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tomcolling@fico.com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33"/>
        <w:gridCol w:w="201"/>
        <w:gridCol w:w="3371"/>
      </w:tblGrid>
      <w:tr>
        <w:trPr/>
        <w:tc>
          <w:tcPr>
            <w:tcW w:w="663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6633" w:type="dxa"/>
            <w:tcBorders/>
          </w:tcPr>
          <w:p>
            <w:pPr>
              <w:pStyle w:val="TableContents"/>
              <w:bidi w:val="0"/>
              <w:spacing w:before="0" w:after="283"/>
              <w:jc w:val="left"/>
              <w:rPr/>
            </w:pPr>
            <w:r>
              <w:rPr/>
              <w:t>(I) or (we) assign and transfer this Note to:</w:t>
            </w:r>
          </w:p>
        </w:tc>
        <w:tc>
          <w:tcPr>
            <w:tcW w:w="201" w:type="dxa"/>
            <w:tcBorders/>
            <w:vAlign w:val="bottom"/>
          </w:tcPr>
          <w:p>
            <w:pPr>
              <w:pStyle w:val="TableContents"/>
              <w:bidi w:val="0"/>
              <w:spacing w:before="0" w:after="283"/>
              <w:jc w:val="left"/>
              <w:rPr/>
            </w:pPr>
            <w:r>
              <w:rPr/>
              <w:t>  </w:t>
            </w:r>
          </w:p>
        </w:tc>
        <w:tc>
          <w:tcPr>
            <w:tcW w:w="3371" w:type="dxa"/>
            <w:tcBorders/>
          </w:tcPr>
          <w:p>
            <w:pPr>
              <w:pStyle w:val="TableContents"/>
              <w:pBdr>
                <w:bottom w:val="single" w:sz="2" w:space="1" w:color="000000"/>
              </w:pBdr>
              <w:bidi w:val="0"/>
              <w:spacing w:before="0" w:after="20"/>
              <w:jc w:val="left"/>
              <w:rPr/>
            </w:pPr>
            <w:r>
              <w:rPr/>
              <w:t> </w:t>
            </w:r>
          </w:p>
        </w:tc>
      </w:tr>
      <w:tr>
        <w:trPr/>
        <w:tc>
          <w:tcPr>
            <w:tcW w:w="6633" w:type="dxa"/>
            <w:tcBorders/>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3371" w:type="dxa"/>
            <w:tcBorders/>
          </w:tcPr>
          <w:p>
            <w:pPr>
              <w:pStyle w:val="TableContents"/>
              <w:bidi w:val="0"/>
              <w:spacing w:before="0" w:after="283"/>
              <w:jc w:val="center"/>
              <w:rPr/>
            </w:pPr>
            <w:r>
              <w:rPr/>
              <w:t>(Insert assignee’s legal name)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2" w:space="1" w:color="000000"/>
              </w:pBdr>
              <w:bidi w:val="0"/>
              <w:spacing w:before="0" w:after="20"/>
              <w:jc w:val="left"/>
              <w:rPr/>
            </w:pPr>
            <w:r>
              <w:rPr/>
              <w:t> </w:t>
            </w:r>
          </w:p>
        </w:tc>
      </w:tr>
      <w:tr>
        <w:trPr/>
        <w:tc>
          <w:tcPr>
            <w:tcW w:w="10205" w:type="dxa"/>
            <w:gridSpan w:val="3"/>
            <w:tcBorders/>
          </w:tcPr>
          <w:p>
            <w:pPr>
              <w:pStyle w:val="TableContents"/>
              <w:bidi w:val="0"/>
              <w:spacing w:before="0" w:after="283"/>
              <w:jc w:val="center"/>
              <w:rPr/>
            </w:pPr>
            <w:r>
              <w:rPr/>
              <w:t>(Insert assignee’s soc. sec. or tax I.D. no.)</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2" w:space="1" w:color="000000"/>
              </w:pBdr>
              <w:bidi w:val="0"/>
              <w:spacing w:before="0" w:after="20"/>
              <w:jc w:val="center"/>
              <w:rPr/>
            </w:pPr>
            <w:r>
              <w:rPr/>
              <w:t> </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2" w:space="1" w:color="000000"/>
              </w:pBdr>
              <w:bidi w:val="0"/>
              <w:spacing w:before="0" w:after="20"/>
              <w:jc w:val="center"/>
              <w:rPr/>
            </w:pPr>
            <w:r>
              <w:rPr/>
              <w:t> </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2" w:space="1" w:color="000000"/>
              </w:pBdr>
              <w:bidi w:val="0"/>
              <w:spacing w:before="0" w:after="20"/>
              <w:jc w:val="center"/>
              <w:rPr/>
            </w:pPr>
            <w:r>
              <w:rPr/>
              <w:t> </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2" w:space="1" w:color="000000"/>
              </w:pBdr>
              <w:bidi w:val="0"/>
              <w:spacing w:before="0" w:after="20"/>
              <w:jc w:val="center"/>
              <w:rPr/>
            </w:pPr>
            <w:r>
              <w:rPr/>
              <w:t> </w:t>
            </w:r>
          </w:p>
        </w:tc>
      </w:tr>
      <w:tr>
        <w:trPr/>
        <w:tc>
          <w:tcPr>
            <w:tcW w:w="10205" w:type="dxa"/>
            <w:gridSpan w:val="3"/>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(Print or type assignee’s name, address and zip code)</w:t>
            </w:r>
          </w:p>
          <w:p>
            <w:pPr>
              <w:pStyle w:val="TableContents"/>
              <w:bidi w:val="0"/>
              <w:spacing w:before="0" w:after="0"/>
              <w:jc w:val="left"/>
              <w:rPr>
                <w:rFonts w:ascii="Times New Roman" w:hAnsi="Times New Roman"/>
                <w:sz w:val="20"/>
              </w:rPr>
            </w:pPr>
            <w:r>
              <w:rPr>
                <w:rFonts w:ascii="Times New Roman" w:hAnsi="Times New Roman"/>
                <w:sz w:val="20"/>
              </w:rPr>
              <w:t>and irrevocably appoint</w:t>
            </w:r>
            <w:r>
              <w:rPr>
                <w:rFonts w:ascii="Times New Roman" w:hAnsi="Times New Roman"/>
                <w:sz w:val="20"/>
                <w:u w:val="single"/>
              </w:rPr>
              <w:t xml:space="preserve">                                            </w:t>
            </w:r>
          </w:p>
          <w:p>
            <w:pPr>
              <w:pStyle w:val="TableContents"/>
              <w:bidi w:val="0"/>
              <w:spacing w:before="0" w:after="20"/>
              <w:jc w:val="left"/>
              <w:rPr/>
            </w:pPr>
            <w:r>
              <w:rPr>
                <w:u w:val="single"/>
              </w:rPr>
              <w:t>        </w:t>
            </w:r>
            <w:r>
              <w:rPr>
                <w:rFonts w:ascii="Times New Roman" w:hAnsi="Times New Roman"/>
                <w:sz w:val="20"/>
              </w:rPr>
              <w:t>to transfer this Note on the books of the Company. The agent may substitute another to act for him.</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pBdr>
                <w:bottom w:val="single" w:sz="2" w:space="1" w:color="000000"/>
              </w:pBdr>
              <w:bidi w:val="0"/>
              <w:spacing w:before="0" w:after="20"/>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TO BE DELIVERED UPON EXCHANGE OR </w:t>
      </w:r>
    </w:p>
    <w:p>
      <w:pPr>
        <w:pStyle w:val="TextBody"/>
        <w:bidi w:val="0"/>
        <w:spacing w:before="0" w:after="0"/>
        <w:jc w:val="center"/>
        <w:rPr>
          <w:rFonts w:ascii="Times New Roman" w:hAnsi="Times New Roman"/>
          <w:sz w:val="20"/>
        </w:rPr>
      </w:pPr>
      <w:r>
        <w:rPr>
          <w:rFonts w:ascii="Times New Roman" w:hAnsi="Times New Roman"/>
          <w:sz w:val="20"/>
        </w:rPr>
        <w:t xml:space="preserve">REGISTRATION OF TRANSFERS OF TRANSFER RESTRICTED NOTES </w:t>
      </w:r>
    </w:p>
    <w:p>
      <w:pPr>
        <w:pStyle w:val="TextBody"/>
        <w:bidi w:val="0"/>
        <w:spacing w:before="36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West Side Flats, St. Paul </w:t>
      </w:r>
    </w:p>
    <w:p>
      <w:pPr>
        <w:pStyle w:val="TextBody"/>
        <w:bidi w:val="0"/>
        <w:spacing w:before="0" w:after="0"/>
        <w:jc w:val="left"/>
        <w:rPr>
          <w:rFonts w:ascii="Times New Roman" w:hAnsi="Times New Roman"/>
          <w:sz w:val="20"/>
        </w:rPr>
      </w:pPr>
      <w:r>
        <w:rPr>
          <w:rFonts w:ascii="Times New Roman" w:hAnsi="Times New Roman"/>
          <w:sz w:val="20"/>
        </w:rPr>
        <w:t xml:space="preserve">60 Livingston Ave </w:t>
      </w:r>
    </w:p>
    <w:p>
      <w:pPr>
        <w:pStyle w:val="TextBody"/>
        <w:bidi w:val="0"/>
        <w:spacing w:before="0" w:after="0"/>
        <w:jc w:val="left"/>
        <w:rPr>
          <w:rFonts w:ascii="Times New Roman" w:hAnsi="Times New Roman"/>
          <w:sz w:val="20"/>
        </w:rPr>
      </w:pPr>
      <w:r>
        <w:rPr>
          <w:rFonts w:ascii="Times New Roman" w:hAnsi="Times New Roman"/>
          <w:sz w:val="20"/>
        </w:rPr>
        <w:t xml:space="preserve">Saint Paul, MN 55107 </w:t>
      </w:r>
    </w:p>
    <w:p>
      <w:pPr>
        <w:pStyle w:val="TextBody"/>
        <w:bidi w:val="0"/>
        <w:spacing w:before="0" w:after="0"/>
        <w:jc w:val="left"/>
        <w:rPr>
          <w:rFonts w:ascii="Times New Roman" w:hAnsi="Times New Roman"/>
          <w:sz w:val="20"/>
        </w:rPr>
      </w:pPr>
      <w:r>
        <w:rPr>
          <w:rFonts w:ascii="Times New Roman" w:hAnsi="Times New Roman"/>
          <w:sz w:val="20"/>
        </w:rPr>
        <w:t xml:space="preserve">Fax No.:  651-466-7430 </w:t>
      </w:r>
    </w:p>
    <w:p>
      <w:pPr>
        <w:pStyle w:val="TextBody"/>
        <w:bidi w:val="0"/>
        <w:spacing w:before="0" w:after="0"/>
        <w:jc w:val="left"/>
        <w:rPr>
          <w:rFonts w:ascii="Times New Roman" w:hAnsi="Times New Roman"/>
          <w:sz w:val="20"/>
        </w:rPr>
      </w:pPr>
      <w:r>
        <w:rPr>
          <w:rFonts w:ascii="Times New Roman" w:hAnsi="Times New Roman"/>
          <w:sz w:val="20"/>
        </w:rPr>
        <w:t xml:space="preserve">Email:  quinn.depompolo@usbank.com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 Fair Isaac 6.25% Notes Administrator </w:t>
      </w:r>
    </w:p>
    <w:p>
      <w:pPr>
        <w:pStyle w:val="TextBody"/>
        <w:bidi w:val="0"/>
        <w:spacing w:before="120" w:after="0"/>
        <w:jc w:val="left"/>
        <w:rPr>
          <w:rFonts w:ascii="Times New Roman" w:hAnsi="Times New Roman"/>
          <w:sz w:val="20"/>
        </w:rPr>
      </w:pPr>
      <w:r>
        <w:rPr>
          <w:rFonts w:ascii="Times New Roman" w:hAnsi="Times New Roman"/>
          <w:sz w:val="20"/>
        </w:rPr>
        <w:t xml:space="preserve">This certificate relates to $    principal amount of Notes held in (check applicable space)      book-entry or      definitive form by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(check one box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requested the Trustee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requested the Trustee by written order to exchange or register the transfer of a Note or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of any of the Notes evidenced by this certificate, the undersigned confirms that such Notes are being transferred in accordance with its terms: </w:t>
      </w:r>
    </w:p>
    <w:p>
      <w:pPr>
        <w:pStyle w:val="TextBody"/>
        <w:bidi w:val="0"/>
        <w:spacing w:before="360" w:after="0"/>
        <w:jc w:val="left"/>
        <w:rPr>
          <w:rFonts w:ascii="Times New Roman" w:hAnsi="Times New Roman"/>
          <w:sz w:val="20"/>
        </w:rPr>
      </w:pPr>
      <w:r>
        <w:rPr>
          <w:rFonts w:ascii="Times New Roman" w:hAnsi="Times New Roman"/>
          <w:sz w:val="20"/>
        </w:rPr>
        <w:t xml:space="preserve">CHECK ONE BOX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
        <w:gridCol w:w="123"/>
        <w:gridCol w:w="537"/>
        <w:gridCol w:w="123"/>
        <w:gridCol w:w="8695"/>
      </w:tblGrid>
      <w:tr>
        <w:trPr/>
        <w:tc>
          <w:tcPr>
            <w:tcW w:w="72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695" w:type="dxa"/>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right"/>
              <w:rPr/>
            </w:pPr>
            <w:r>
              <w:rPr/>
              <w:t>(1)</w:t>
            </w:r>
          </w:p>
        </w:tc>
        <w:tc>
          <w:tcPr>
            <w:tcW w:w="123" w:type="dxa"/>
            <w:tcBorders/>
            <w:vAlign w:val="bottom"/>
          </w:tcPr>
          <w:p>
            <w:pPr>
              <w:pStyle w:val="TableContents"/>
              <w:bidi w:val="0"/>
              <w:spacing w:before="0" w:after="283"/>
              <w:jc w:val="left"/>
              <w:rPr/>
            </w:pPr>
            <w:r>
              <w:rPr/>
              <w:t>  </w:t>
            </w:r>
          </w:p>
        </w:tc>
        <w:tc>
          <w:tcPr>
            <w:tcW w:w="537"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695" w:type="dxa"/>
            <w:tcBorders/>
          </w:tcPr>
          <w:p>
            <w:pPr>
              <w:pStyle w:val="TableContents"/>
              <w:bidi w:val="0"/>
              <w:spacing w:before="0" w:after="283"/>
              <w:jc w:val="left"/>
              <w:rPr/>
            </w:pPr>
            <w:r>
              <w:rPr/>
              <w:t>to the Company or subsidiary thereof; or</w:t>
            </w:r>
          </w:p>
        </w:tc>
      </w:tr>
      <w:tr>
        <w:trPr>
          <w:trHeight w:val="120" w:hRule="atLeast"/>
        </w:trPr>
        <w:tc>
          <w:tcPr>
            <w:tcW w:w="727" w:type="dxa"/>
            <w:tcBorders/>
            <w:vAlign w:val="center"/>
          </w:tcPr>
          <w:p>
            <w:pPr>
              <w:pStyle w:val="TableContents"/>
              <w:bidi w:val="0"/>
              <w:spacing w:before="0" w:after="283"/>
              <w:jc w:val="left"/>
              <w:rPr>
                <w:sz w:val="4"/>
                <w:szCs w:val="4"/>
              </w:rPr>
            </w:pPr>
            <w:r>
              <w:rPr>
                <w:sz w:val="4"/>
                <w:szCs w:val="4"/>
              </w:rPr>
            </w:r>
          </w:p>
        </w:tc>
        <w:tc>
          <w:tcPr>
            <w:tcW w:w="660" w:type="dxa"/>
            <w:gridSpan w:val="2"/>
            <w:tcBorders/>
            <w:vAlign w:val="center"/>
          </w:tcPr>
          <w:p>
            <w:pPr>
              <w:pStyle w:val="TableContents"/>
              <w:bidi w:val="0"/>
              <w:spacing w:before="0" w:after="283"/>
              <w:jc w:val="left"/>
              <w:rPr>
                <w:sz w:val="4"/>
                <w:szCs w:val="4"/>
              </w:rPr>
            </w:pPr>
            <w:r>
              <w:rPr>
                <w:sz w:val="4"/>
                <w:szCs w:val="4"/>
              </w:rPr>
            </w:r>
          </w:p>
        </w:tc>
        <w:tc>
          <w:tcPr>
            <w:tcW w:w="8818"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right"/>
              <w:rPr/>
            </w:pPr>
            <w:r>
              <w:rPr/>
              <w:t>(2)</w:t>
            </w:r>
          </w:p>
        </w:tc>
        <w:tc>
          <w:tcPr>
            <w:tcW w:w="123" w:type="dxa"/>
            <w:tcBorders/>
            <w:vAlign w:val="bottom"/>
          </w:tcPr>
          <w:p>
            <w:pPr>
              <w:pStyle w:val="TableContents"/>
              <w:bidi w:val="0"/>
              <w:spacing w:before="0" w:after="283"/>
              <w:jc w:val="left"/>
              <w:rPr/>
            </w:pPr>
            <w:r>
              <w:rPr/>
              <w:t>  </w:t>
            </w:r>
          </w:p>
        </w:tc>
        <w:tc>
          <w:tcPr>
            <w:tcW w:w="537"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695" w:type="dxa"/>
            <w:tcBorders/>
          </w:tcPr>
          <w:p>
            <w:pPr>
              <w:pStyle w:val="TableContents"/>
              <w:bidi w:val="0"/>
              <w:spacing w:before="0" w:after="283"/>
              <w:jc w:val="left"/>
              <w:rPr/>
            </w:pPr>
            <w:r>
              <w:rPr/>
              <w:t>to the Registrar for registration in the name of the holder, without transfer; or</w:t>
            </w:r>
          </w:p>
        </w:tc>
      </w:tr>
      <w:tr>
        <w:trPr>
          <w:trHeight w:val="120" w:hRule="atLeast"/>
        </w:trPr>
        <w:tc>
          <w:tcPr>
            <w:tcW w:w="727" w:type="dxa"/>
            <w:tcBorders/>
            <w:vAlign w:val="center"/>
          </w:tcPr>
          <w:p>
            <w:pPr>
              <w:pStyle w:val="TableContents"/>
              <w:bidi w:val="0"/>
              <w:spacing w:before="0" w:after="283"/>
              <w:jc w:val="left"/>
              <w:rPr>
                <w:sz w:val="4"/>
                <w:szCs w:val="4"/>
              </w:rPr>
            </w:pPr>
            <w:r>
              <w:rPr>
                <w:sz w:val="4"/>
                <w:szCs w:val="4"/>
              </w:rPr>
            </w:r>
          </w:p>
        </w:tc>
        <w:tc>
          <w:tcPr>
            <w:tcW w:w="660" w:type="dxa"/>
            <w:gridSpan w:val="2"/>
            <w:tcBorders/>
            <w:vAlign w:val="center"/>
          </w:tcPr>
          <w:p>
            <w:pPr>
              <w:pStyle w:val="TableContents"/>
              <w:bidi w:val="0"/>
              <w:spacing w:before="0" w:after="283"/>
              <w:jc w:val="left"/>
              <w:rPr>
                <w:sz w:val="4"/>
                <w:szCs w:val="4"/>
              </w:rPr>
            </w:pPr>
            <w:r>
              <w:rPr>
                <w:sz w:val="4"/>
                <w:szCs w:val="4"/>
              </w:rPr>
            </w:r>
          </w:p>
        </w:tc>
        <w:tc>
          <w:tcPr>
            <w:tcW w:w="8818"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right"/>
              <w:rPr/>
            </w:pPr>
            <w:r>
              <w:rPr/>
              <w:t>(3)</w:t>
            </w:r>
          </w:p>
        </w:tc>
        <w:tc>
          <w:tcPr>
            <w:tcW w:w="123" w:type="dxa"/>
            <w:tcBorders/>
            <w:vAlign w:val="bottom"/>
          </w:tcPr>
          <w:p>
            <w:pPr>
              <w:pStyle w:val="TableContents"/>
              <w:bidi w:val="0"/>
              <w:spacing w:before="0" w:after="283"/>
              <w:jc w:val="left"/>
              <w:rPr/>
            </w:pPr>
            <w:r>
              <w:rPr/>
              <w:t>  </w:t>
            </w:r>
          </w:p>
        </w:tc>
        <w:tc>
          <w:tcPr>
            <w:tcW w:w="537"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695" w:type="dxa"/>
            <w:tcBorders/>
          </w:tcPr>
          <w:p>
            <w:pPr>
              <w:pStyle w:val="TableContents"/>
              <w:bidi w:val="0"/>
              <w:spacing w:before="0" w:after="283"/>
              <w:jc w:val="left"/>
              <w:rPr/>
            </w:pPr>
            <w:r>
              <w:rPr/>
              <w:t>pursuant to an effective registration statement under the Securities Act of 1933, as amended (the “Securities Act”); or</w:t>
            </w:r>
          </w:p>
        </w:tc>
      </w:tr>
      <w:tr>
        <w:trPr>
          <w:trHeight w:val="120" w:hRule="atLeast"/>
        </w:trPr>
        <w:tc>
          <w:tcPr>
            <w:tcW w:w="727" w:type="dxa"/>
            <w:tcBorders/>
            <w:vAlign w:val="center"/>
          </w:tcPr>
          <w:p>
            <w:pPr>
              <w:pStyle w:val="TableContents"/>
              <w:bidi w:val="0"/>
              <w:spacing w:before="0" w:after="283"/>
              <w:jc w:val="left"/>
              <w:rPr>
                <w:sz w:val="4"/>
                <w:szCs w:val="4"/>
              </w:rPr>
            </w:pPr>
            <w:r>
              <w:rPr>
                <w:sz w:val="4"/>
                <w:szCs w:val="4"/>
              </w:rPr>
            </w:r>
          </w:p>
        </w:tc>
        <w:tc>
          <w:tcPr>
            <w:tcW w:w="660" w:type="dxa"/>
            <w:gridSpan w:val="2"/>
            <w:tcBorders/>
            <w:vAlign w:val="center"/>
          </w:tcPr>
          <w:p>
            <w:pPr>
              <w:pStyle w:val="TableContents"/>
              <w:bidi w:val="0"/>
              <w:spacing w:before="0" w:after="283"/>
              <w:jc w:val="left"/>
              <w:rPr>
                <w:sz w:val="4"/>
                <w:szCs w:val="4"/>
              </w:rPr>
            </w:pPr>
            <w:r>
              <w:rPr>
                <w:sz w:val="4"/>
                <w:szCs w:val="4"/>
              </w:rPr>
            </w:r>
          </w:p>
        </w:tc>
        <w:tc>
          <w:tcPr>
            <w:tcW w:w="8818"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right"/>
              <w:rPr/>
            </w:pPr>
            <w:r>
              <w:rPr/>
              <w:t>(4)</w:t>
            </w:r>
          </w:p>
        </w:tc>
        <w:tc>
          <w:tcPr>
            <w:tcW w:w="123" w:type="dxa"/>
            <w:tcBorders/>
            <w:vAlign w:val="bottom"/>
          </w:tcPr>
          <w:p>
            <w:pPr>
              <w:pStyle w:val="TableContents"/>
              <w:bidi w:val="0"/>
              <w:spacing w:before="0" w:after="283"/>
              <w:jc w:val="left"/>
              <w:rPr/>
            </w:pPr>
            <w:r>
              <w:rPr/>
              <w:t>  </w:t>
            </w:r>
          </w:p>
        </w:tc>
        <w:tc>
          <w:tcPr>
            <w:tcW w:w="537"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695" w:type="dxa"/>
            <w:tcBorders/>
          </w:tcPr>
          <w:p>
            <w:pPr>
              <w:pStyle w:val="TableContents"/>
              <w:bidi w:val="0"/>
              <w:spacing w:before="0" w:after="283"/>
              <w:jc w:val="left"/>
              <w:rPr/>
            </w:pPr>
            <w:r>
              <w:rPr/>
              <w:t>to a Person that the undersigned reasonably believes is a “qualified institutional buyer”(as defined in Rule 144A under the Securities Act (“Rule 144A”)) that purchases for its own account or for the account of a qualified institutional buyer and to whom notice is given that such transfer is being made in reliance on Rule 144A, in each case pursuant to and in compliance with Rule 144A; or</w:t>
            </w:r>
          </w:p>
        </w:tc>
      </w:tr>
      <w:tr>
        <w:trPr>
          <w:trHeight w:val="120" w:hRule="atLeast"/>
        </w:trPr>
        <w:tc>
          <w:tcPr>
            <w:tcW w:w="727" w:type="dxa"/>
            <w:tcBorders/>
            <w:vAlign w:val="center"/>
          </w:tcPr>
          <w:p>
            <w:pPr>
              <w:pStyle w:val="TableContents"/>
              <w:bidi w:val="0"/>
              <w:spacing w:before="0" w:after="283"/>
              <w:jc w:val="left"/>
              <w:rPr>
                <w:sz w:val="4"/>
                <w:szCs w:val="4"/>
              </w:rPr>
            </w:pPr>
            <w:r>
              <w:rPr>
                <w:sz w:val="4"/>
                <w:szCs w:val="4"/>
              </w:rPr>
            </w:r>
          </w:p>
        </w:tc>
        <w:tc>
          <w:tcPr>
            <w:tcW w:w="660" w:type="dxa"/>
            <w:gridSpan w:val="2"/>
            <w:tcBorders/>
            <w:vAlign w:val="center"/>
          </w:tcPr>
          <w:p>
            <w:pPr>
              <w:pStyle w:val="TableContents"/>
              <w:bidi w:val="0"/>
              <w:spacing w:before="0" w:after="283"/>
              <w:jc w:val="left"/>
              <w:rPr>
                <w:sz w:val="4"/>
                <w:szCs w:val="4"/>
              </w:rPr>
            </w:pPr>
            <w:r>
              <w:rPr>
                <w:sz w:val="4"/>
                <w:szCs w:val="4"/>
              </w:rPr>
            </w:r>
          </w:p>
        </w:tc>
        <w:tc>
          <w:tcPr>
            <w:tcW w:w="8818"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right"/>
              <w:rPr/>
            </w:pPr>
            <w:r>
              <w:rPr/>
              <w:t>(5)</w:t>
            </w:r>
          </w:p>
        </w:tc>
        <w:tc>
          <w:tcPr>
            <w:tcW w:w="123" w:type="dxa"/>
            <w:tcBorders/>
            <w:vAlign w:val="bottom"/>
          </w:tcPr>
          <w:p>
            <w:pPr>
              <w:pStyle w:val="TableContents"/>
              <w:bidi w:val="0"/>
              <w:spacing w:before="0" w:after="283"/>
              <w:jc w:val="left"/>
              <w:rPr/>
            </w:pPr>
            <w:r>
              <w:rPr/>
              <w:t>  </w:t>
            </w:r>
          </w:p>
        </w:tc>
        <w:tc>
          <w:tcPr>
            <w:tcW w:w="537"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695" w:type="dxa"/>
            <w:tcBorders/>
          </w:tcPr>
          <w:p>
            <w:pPr>
              <w:pStyle w:val="TableContents"/>
              <w:bidi w:val="0"/>
              <w:spacing w:before="0" w:after="283"/>
              <w:jc w:val="left"/>
              <w:rPr/>
            </w:pPr>
            <w:r>
              <w:rPr/>
              <w:t>pursuant to offers and sales to non-U.S. persons that occur outside the United States within the meaning of Regulation S under the Securities Act (and if the transfer is being made prior to the expiration of the Distribution Compliance Period, the Notes shall be held immediately thereafter through Euroclear or Clearstream); or</w:t>
            </w:r>
          </w:p>
        </w:tc>
      </w:tr>
      <w:tr>
        <w:trPr>
          <w:trHeight w:val="120" w:hRule="atLeast"/>
        </w:trPr>
        <w:tc>
          <w:tcPr>
            <w:tcW w:w="727" w:type="dxa"/>
            <w:tcBorders/>
            <w:vAlign w:val="center"/>
          </w:tcPr>
          <w:p>
            <w:pPr>
              <w:pStyle w:val="TableContents"/>
              <w:bidi w:val="0"/>
              <w:spacing w:before="0" w:after="283"/>
              <w:jc w:val="left"/>
              <w:rPr>
                <w:sz w:val="4"/>
                <w:szCs w:val="4"/>
              </w:rPr>
            </w:pPr>
            <w:r>
              <w:rPr>
                <w:sz w:val="4"/>
                <w:szCs w:val="4"/>
              </w:rPr>
            </w:r>
          </w:p>
        </w:tc>
        <w:tc>
          <w:tcPr>
            <w:tcW w:w="660" w:type="dxa"/>
            <w:gridSpan w:val="2"/>
            <w:tcBorders/>
            <w:vAlign w:val="center"/>
          </w:tcPr>
          <w:p>
            <w:pPr>
              <w:pStyle w:val="TableContents"/>
              <w:bidi w:val="0"/>
              <w:spacing w:before="0" w:after="283"/>
              <w:jc w:val="left"/>
              <w:rPr>
                <w:sz w:val="4"/>
                <w:szCs w:val="4"/>
              </w:rPr>
            </w:pPr>
            <w:r>
              <w:rPr>
                <w:sz w:val="4"/>
                <w:szCs w:val="4"/>
              </w:rPr>
            </w:r>
          </w:p>
        </w:tc>
        <w:tc>
          <w:tcPr>
            <w:tcW w:w="8818"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right"/>
              <w:rPr/>
            </w:pPr>
            <w:r>
              <w:rPr/>
              <w:t>(6)</w:t>
            </w:r>
          </w:p>
        </w:tc>
        <w:tc>
          <w:tcPr>
            <w:tcW w:w="123" w:type="dxa"/>
            <w:tcBorders/>
            <w:vAlign w:val="bottom"/>
          </w:tcPr>
          <w:p>
            <w:pPr>
              <w:pStyle w:val="TableContents"/>
              <w:bidi w:val="0"/>
              <w:spacing w:before="0" w:after="283"/>
              <w:jc w:val="left"/>
              <w:rPr/>
            </w:pPr>
            <w:r>
              <w:rPr/>
              <w:t>  </w:t>
            </w:r>
          </w:p>
        </w:tc>
        <w:tc>
          <w:tcPr>
            <w:tcW w:w="537"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695" w:type="dxa"/>
            <w:tcBorders/>
          </w:tcPr>
          <w:p>
            <w:pPr>
              <w:pStyle w:val="TableContents"/>
              <w:bidi w:val="0"/>
              <w:spacing w:before="0" w:after="283"/>
              <w:jc w:val="left"/>
              <w:rPr/>
            </w:pPr>
            <w:r>
              <w:rPr/>
              <w:t>to an institutional “accredited investor” (as defined in Rule 501(a)(1), (2), (3) or (7) under the Securities Act) that has furnished to the Trustee a signed letter containing certain representations and agreements; or</w:t>
            </w:r>
          </w:p>
        </w:tc>
      </w:tr>
      <w:tr>
        <w:trPr>
          <w:trHeight w:val="120" w:hRule="atLeast"/>
        </w:trPr>
        <w:tc>
          <w:tcPr>
            <w:tcW w:w="727" w:type="dxa"/>
            <w:tcBorders/>
            <w:vAlign w:val="center"/>
          </w:tcPr>
          <w:p>
            <w:pPr>
              <w:pStyle w:val="TableContents"/>
              <w:bidi w:val="0"/>
              <w:spacing w:before="0" w:after="283"/>
              <w:jc w:val="left"/>
              <w:rPr>
                <w:sz w:val="4"/>
                <w:szCs w:val="4"/>
              </w:rPr>
            </w:pPr>
            <w:r>
              <w:rPr>
                <w:sz w:val="4"/>
                <w:szCs w:val="4"/>
              </w:rPr>
            </w:r>
          </w:p>
        </w:tc>
        <w:tc>
          <w:tcPr>
            <w:tcW w:w="660" w:type="dxa"/>
            <w:gridSpan w:val="2"/>
            <w:tcBorders/>
            <w:vAlign w:val="center"/>
          </w:tcPr>
          <w:p>
            <w:pPr>
              <w:pStyle w:val="TableContents"/>
              <w:bidi w:val="0"/>
              <w:spacing w:before="0" w:after="283"/>
              <w:jc w:val="left"/>
              <w:rPr>
                <w:sz w:val="4"/>
                <w:szCs w:val="4"/>
              </w:rPr>
            </w:pPr>
            <w:r>
              <w:rPr>
                <w:sz w:val="4"/>
                <w:szCs w:val="4"/>
              </w:rPr>
            </w:r>
          </w:p>
        </w:tc>
        <w:tc>
          <w:tcPr>
            <w:tcW w:w="8818"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right"/>
              <w:rPr/>
            </w:pPr>
            <w:r>
              <w:rPr/>
              <w:t>(7)</w:t>
            </w:r>
          </w:p>
        </w:tc>
        <w:tc>
          <w:tcPr>
            <w:tcW w:w="123" w:type="dxa"/>
            <w:tcBorders/>
            <w:vAlign w:val="bottom"/>
          </w:tcPr>
          <w:p>
            <w:pPr>
              <w:pStyle w:val="TableContents"/>
              <w:bidi w:val="0"/>
              <w:spacing w:before="0" w:after="283"/>
              <w:jc w:val="left"/>
              <w:rPr/>
            </w:pPr>
            <w:r>
              <w:rPr/>
              <w:t>  </w:t>
            </w:r>
          </w:p>
        </w:tc>
        <w:tc>
          <w:tcPr>
            <w:tcW w:w="537"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695" w:type="dxa"/>
            <w:tcBorders/>
          </w:tcPr>
          <w:p>
            <w:pPr>
              <w:pStyle w:val="TableContents"/>
              <w:bidi w:val="0"/>
              <w:spacing w:before="0" w:after="283"/>
              <w:jc w:val="left"/>
              <w:rPr/>
            </w:pPr>
            <w:r>
              <w:rPr/>
              <w:t>pursuant to Rule 144 under the Securities Act; or</w:t>
            </w:r>
          </w:p>
        </w:tc>
      </w:tr>
      <w:tr>
        <w:trPr>
          <w:trHeight w:val="120" w:hRule="atLeast"/>
        </w:trPr>
        <w:tc>
          <w:tcPr>
            <w:tcW w:w="727" w:type="dxa"/>
            <w:tcBorders/>
            <w:vAlign w:val="center"/>
          </w:tcPr>
          <w:p>
            <w:pPr>
              <w:pStyle w:val="TableContents"/>
              <w:bidi w:val="0"/>
              <w:spacing w:before="0" w:after="283"/>
              <w:jc w:val="left"/>
              <w:rPr>
                <w:sz w:val="4"/>
                <w:szCs w:val="4"/>
              </w:rPr>
            </w:pPr>
            <w:r>
              <w:rPr>
                <w:sz w:val="4"/>
                <w:szCs w:val="4"/>
              </w:rPr>
            </w:r>
          </w:p>
        </w:tc>
        <w:tc>
          <w:tcPr>
            <w:tcW w:w="660" w:type="dxa"/>
            <w:gridSpan w:val="2"/>
            <w:tcBorders/>
            <w:vAlign w:val="center"/>
          </w:tcPr>
          <w:p>
            <w:pPr>
              <w:pStyle w:val="TableContents"/>
              <w:bidi w:val="0"/>
              <w:spacing w:before="0" w:after="283"/>
              <w:jc w:val="left"/>
              <w:rPr>
                <w:sz w:val="4"/>
                <w:szCs w:val="4"/>
              </w:rPr>
            </w:pPr>
            <w:r>
              <w:rPr>
                <w:sz w:val="4"/>
                <w:szCs w:val="4"/>
              </w:rPr>
            </w:r>
          </w:p>
        </w:tc>
        <w:tc>
          <w:tcPr>
            <w:tcW w:w="8818"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right"/>
              <w:rPr/>
            </w:pPr>
            <w:r>
              <w:rPr/>
              <w:t>(8)</w:t>
            </w:r>
          </w:p>
        </w:tc>
        <w:tc>
          <w:tcPr>
            <w:tcW w:w="123" w:type="dxa"/>
            <w:tcBorders/>
            <w:vAlign w:val="bottom"/>
          </w:tcPr>
          <w:p>
            <w:pPr>
              <w:pStyle w:val="TableContents"/>
              <w:bidi w:val="0"/>
              <w:spacing w:before="0" w:after="283"/>
              <w:jc w:val="left"/>
              <w:rPr/>
            </w:pPr>
            <w:r>
              <w:rPr/>
              <w:t>  </w:t>
            </w:r>
          </w:p>
        </w:tc>
        <w:tc>
          <w:tcPr>
            <w:tcW w:w="537"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695" w:type="dxa"/>
            <w:tcBorders/>
          </w:tcPr>
          <w:p>
            <w:pPr>
              <w:pStyle w:val="TableContents"/>
              <w:bidi w:val="0"/>
              <w:spacing w:before="0" w:after="283"/>
              <w:jc w:val="left"/>
              <w:rPr/>
            </w:pPr>
            <w:r>
              <w:rPr/>
              <w:t>pursuant to another available exemption from registration under the Securities 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one of the boxes is checked, the Trustee will refuse to register any of the Notes evidenced by this certificate in the name of any Person other than the registered holder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box (5), (6), (7) or (8) is checked, the Company or the Trustee may require, prior to registering any such transfer of the Notes, such legal opinions, certifications and other information as the Company or the Trustee has reasonably requested to confirm that such transfer is being made pursuant to an exemption from, or in a transaction not subject to, the registration requirements of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4"/>
        <w:gridCol w:w="110"/>
        <w:gridCol w:w="4670"/>
        <w:gridCol w:w="60"/>
        <w:gridCol w:w="23"/>
        <w:gridCol w:w="110"/>
        <w:gridCol w:w="4748"/>
      </w:tblGrid>
      <w:tr>
        <w:trPr/>
        <w:tc>
          <w:tcPr>
            <w:tcW w:w="484"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748" w:type="dxa"/>
            <w:tcBorders/>
            <w:vAlign w:val="center"/>
          </w:tcPr>
          <w:p>
            <w:pPr>
              <w:pStyle w:val="TableContents"/>
              <w:bidi w:val="0"/>
              <w:spacing w:before="0" w:after="283"/>
              <w:jc w:val="left"/>
              <w:rPr>
                <w:sz w:val="4"/>
                <w:szCs w:val="4"/>
              </w:rPr>
            </w:pPr>
            <w:r>
              <w:rPr>
                <w:sz w:val="4"/>
                <w:szCs w:val="4"/>
              </w:rPr>
            </w:r>
          </w:p>
        </w:tc>
      </w:tr>
      <w:tr>
        <w:trPr/>
        <w:tc>
          <w:tcPr>
            <w:tcW w:w="48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748" w:type="dxa"/>
            <w:tcBorders/>
          </w:tcPr>
          <w:p>
            <w:pPr>
              <w:pStyle w:val="TableContents"/>
              <w:pBdr>
                <w:bottom w:val="single" w:sz="2" w:space="1" w:color="000000"/>
              </w:pBdr>
              <w:bidi w:val="0"/>
              <w:spacing w:before="0" w:after="20"/>
              <w:jc w:val="left"/>
              <w:rPr/>
            </w:pPr>
            <w:r>
              <w:rPr/>
              <w:t> </w:t>
            </w:r>
          </w:p>
        </w:tc>
      </w:tr>
      <w:tr>
        <w:trPr/>
        <w:tc>
          <w:tcPr>
            <w:tcW w:w="48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Your Signature</w:t>
            </w:r>
          </w:p>
        </w:tc>
      </w:tr>
      <w:tr>
        <w:trPr>
          <w:trHeight w:val="240" w:hRule="atLeast"/>
        </w:trPr>
        <w:tc>
          <w:tcPr>
            <w:tcW w:w="484" w:type="dxa"/>
            <w:tcBorders/>
            <w:vAlign w:val="center"/>
          </w:tcPr>
          <w:p>
            <w:pPr>
              <w:pStyle w:val="TableContents"/>
              <w:bidi w:val="0"/>
              <w:spacing w:before="0" w:after="283"/>
              <w:jc w:val="left"/>
              <w:rPr>
                <w:sz w:val="4"/>
                <w:szCs w:val="4"/>
              </w:rPr>
            </w:pPr>
            <w:r>
              <w:rPr>
                <w:sz w:val="4"/>
                <w:szCs w:val="4"/>
              </w:rPr>
            </w:r>
          </w:p>
        </w:tc>
        <w:tc>
          <w:tcPr>
            <w:tcW w:w="478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58" w:type="dxa"/>
            <w:gridSpan w:val="2"/>
            <w:tcBorders/>
            <w:vAlign w:val="center"/>
          </w:tcPr>
          <w:p>
            <w:pPr>
              <w:pStyle w:val="TableContents"/>
              <w:bidi w:val="0"/>
              <w:spacing w:before="0" w:after="283"/>
              <w:jc w:val="left"/>
              <w:rPr>
                <w:sz w:val="4"/>
                <w:szCs w:val="4"/>
              </w:rPr>
            </w:pPr>
            <w:r>
              <w:rPr>
                <w:sz w:val="4"/>
                <w:szCs w:val="4"/>
              </w:rPr>
            </w:r>
          </w:p>
        </w:tc>
      </w:tr>
      <w:tr>
        <w:trPr/>
        <w:tc>
          <w:tcPr>
            <w:tcW w:w="484" w:type="dxa"/>
            <w:tcBorders/>
          </w:tcPr>
          <w:p>
            <w:pPr>
              <w:pStyle w:val="TableContents"/>
              <w:bidi w:val="0"/>
              <w:spacing w:before="0" w:after="283"/>
              <w:jc w:val="left"/>
              <w:rPr/>
            </w:pPr>
            <w:r>
              <w:rPr/>
              <w:t>Date:</w:t>
            </w:r>
          </w:p>
        </w:tc>
        <w:tc>
          <w:tcPr>
            <w:tcW w:w="110" w:type="dxa"/>
            <w:tcBorders/>
            <w:vAlign w:val="bottom"/>
          </w:tcPr>
          <w:p>
            <w:pPr>
              <w:pStyle w:val="TableContents"/>
              <w:bidi w:val="0"/>
              <w:spacing w:before="0" w:after="283"/>
              <w:jc w:val="left"/>
              <w:rPr/>
            </w:pPr>
            <w:r>
              <w:rPr/>
              <w:t> </w:t>
            </w:r>
          </w:p>
        </w:tc>
        <w:tc>
          <w:tcPr>
            <w:tcW w:w="4670" w:type="dxa"/>
            <w:tcBorders/>
          </w:tcPr>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748" w:type="dxa"/>
            <w:tcBorders/>
          </w:tcPr>
          <w:p>
            <w:pPr>
              <w:pStyle w:val="TableContents"/>
              <w:pBdr>
                <w:bottom w:val="single" w:sz="2" w:space="1" w:color="000000"/>
              </w:pBdr>
              <w:bidi w:val="0"/>
              <w:spacing w:before="0" w:after="20"/>
              <w:jc w:val="left"/>
              <w:rPr/>
            </w:pPr>
            <w:r>
              <w:rPr/>
              <w:t> </w:t>
            </w:r>
          </w:p>
        </w:tc>
      </w:tr>
      <w:tr>
        <w:trPr/>
        <w:tc>
          <w:tcPr>
            <w:tcW w:w="48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748" w:type="dxa"/>
            <w:tcBorders/>
          </w:tcPr>
          <w:p>
            <w:pPr>
              <w:pStyle w:val="TableContents"/>
              <w:bidi w:val="0"/>
              <w:spacing w:before="0" w:after="283"/>
              <w:jc w:val="left"/>
              <w:rPr/>
            </w:pPr>
            <w:r>
              <w:rPr/>
              <w:t>Signature of Signature Guarantor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TO BE COMPLETED BY PURCHASER IF (4) ABOVE IS CHECKED.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9"/>
        <w:gridCol w:w="109"/>
        <w:gridCol w:w="4752"/>
        <w:gridCol w:w="120"/>
        <w:gridCol w:w="4625"/>
      </w:tblGrid>
      <w:tr>
        <w:trPr/>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7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25" w:type="dxa"/>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283"/>
              <w:jc w:val="left"/>
              <w:rPr/>
            </w:pPr>
            <w:r>
              <w:rPr/>
              <w:t>Dated:</w:t>
            </w:r>
          </w:p>
        </w:tc>
        <w:tc>
          <w:tcPr>
            <w:tcW w:w="109" w:type="dxa"/>
            <w:tcBorders/>
            <w:vAlign w:val="bottom"/>
          </w:tcPr>
          <w:p>
            <w:pPr>
              <w:pStyle w:val="TableContents"/>
              <w:bidi w:val="0"/>
              <w:spacing w:before="0" w:after="283"/>
              <w:jc w:val="left"/>
              <w:rPr/>
            </w:pPr>
            <w:r>
              <w:rPr/>
              <w:t> </w:t>
            </w:r>
          </w:p>
        </w:tc>
        <w:tc>
          <w:tcPr>
            <w:tcW w:w="4752"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4625" w:type="dxa"/>
            <w:tcBorders/>
          </w:tcPr>
          <w:p>
            <w:pPr>
              <w:pStyle w:val="TableContents"/>
              <w:pBdr>
                <w:bottom w:val="single" w:sz="2" w:space="1" w:color="000000"/>
              </w:pBdr>
              <w:bidi w:val="0"/>
              <w:spacing w:before="0" w:after="20"/>
              <w:jc w:val="left"/>
              <w:rPr/>
            </w:pPr>
            <w:r>
              <w:rPr/>
              <w:t> </w:t>
            </w:r>
          </w:p>
        </w:tc>
      </w:tr>
      <w:tr>
        <w:trPr/>
        <w:tc>
          <w:tcPr>
            <w:tcW w:w="59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25" w:type="dxa"/>
            <w:tcBorders/>
          </w:tcPr>
          <w:p>
            <w:pPr>
              <w:pStyle w:val="TableContents"/>
              <w:bidi w:val="0"/>
              <w:spacing w:before="0" w:after="283"/>
              <w:jc w:val="left"/>
              <w:rPr/>
            </w:pPr>
            <w:r>
              <w:rPr/>
              <w:t>NOTICE: To be executed by an executive officer</w:t>
            </w:r>
          </w:p>
        </w:tc>
      </w:tr>
      <w:tr>
        <w:trPr/>
        <w:tc>
          <w:tcPr>
            <w:tcW w:w="59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25" w:type="dxa"/>
            <w:tcBorders/>
          </w:tcPr>
          <w:p>
            <w:pPr>
              <w:pStyle w:val="TableContents"/>
              <w:bidi w:val="0"/>
              <w:spacing w:before="0" w:after="283"/>
              <w:jc w:val="left"/>
              <w:rPr/>
            </w:pPr>
            <w:r>
              <w:rPr/>
              <w:t>Name:</w:t>
            </w:r>
          </w:p>
        </w:tc>
      </w:tr>
      <w:tr>
        <w:trPr/>
        <w:tc>
          <w:tcPr>
            <w:tcW w:w="59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25"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317"/>
        <w:gridCol w:w="60"/>
        <w:gridCol w:w="1705"/>
      </w:tblGrid>
      <w:tr>
        <w:trPr/>
        <w:tc>
          <w:tcPr>
            <w:tcW w:w="23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2317" w:type="dxa"/>
            <w:tcBorders/>
          </w:tcPr>
          <w:p>
            <w:pPr>
              <w:pStyle w:val="TableContents"/>
              <w:bidi w:val="0"/>
              <w:spacing w:before="0" w:after="283"/>
              <w:jc w:val="left"/>
              <w:rPr/>
            </w:pPr>
            <w:r>
              <w:rPr/>
              <w:t>Signature Guarantee*:</w:t>
            </w:r>
          </w:p>
        </w:tc>
        <w:tc>
          <w:tcPr>
            <w:tcW w:w="60" w:type="dxa"/>
            <w:tcBorders/>
            <w:vAlign w:val="bottom"/>
          </w:tcPr>
          <w:p>
            <w:pPr>
              <w:pStyle w:val="TableContents"/>
              <w:bidi w:val="0"/>
              <w:spacing w:before="0" w:after="283"/>
              <w:jc w:val="left"/>
              <w:rPr/>
            </w:pPr>
            <w:r>
              <w:rPr/>
              <w:t> </w:t>
            </w:r>
          </w:p>
        </w:tc>
        <w:tc>
          <w:tcPr>
            <w:tcW w:w="170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COMPLETED IF THE HOLDER REQUIRES AN EXCHANGE FROM A REGULATION S GLOBAL NOTE TO AN UNRESTRICTED GLOBAL NOTE, PURSUANT TO SECTION 2.2(d)(iii) OF APPENDIX A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and warrants that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not a dealer (as defined in the Securities Act) and is a non-U.S. person (within the meaning of Regulation S under the Securities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not a dealer (as defined in the Securities Act) and is a U.S. person (within the meaning of Regulation S under the Securities Act) who purchased interests in the Notes pursuant to an exemption from, or in a transaction not subject to, the registration requirements under the Securities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a dealer (as defined in the Securities Act) and the interest of the undersigned in this Note does not constitute the whole or a part of an unsold allotment to or subscription by such dealer for the Notes.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
        <w:gridCol w:w="111"/>
        <w:gridCol w:w="4731"/>
        <w:gridCol w:w="123"/>
        <w:gridCol w:w="4624"/>
      </w:tblGrid>
      <w:tr>
        <w:trPr/>
        <w:tc>
          <w:tcPr>
            <w:tcW w:w="61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73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624" w:type="dxa"/>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Dated:</w:t>
            </w:r>
          </w:p>
        </w:tc>
        <w:tc>
          <w:tcPr>
            <w:tcW w:w="111" w:type="dxa"/>
            <w:tcBorders/>
            <w:vAlign w:val="bottom"/>
          </w:tcPr>
          <w:p>
            <w:pPr>
              <w:pStyle w:val="TableContents"/>
              <w:bidi w:val="0"/>
              <w:spacing w:before="0" w:after="283"/>
              <w:jc w:val="left"/>
              <w:rPr/>
            </w:pPr>
            <w:r>
              <w:rPr/>
              <w:t> </w:t>
            </w:r>
          </w:p>
        </w:tc>
        <w:tc>
          <w:tcPr>
            <w:tcW w:w="4731"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4624" w:type="dxa"/>
            <w:tcBorders/>
          </w:tcPr>
          <w:p>
            <w:pPr>
              <w:pStyle w:val="TableContents"/>
              <w:pBdr>
                <w:bottom w:val="single" w:sz="2" w:space="1" w:color="000000"/>
              </w:pBdr>
              <w:bidi w:val="0"/>
              <w:spacing w:before="0" w:after="20"/>
              <w:jc w:val="left"/>
              <w:rPr/>
            </w:pPr>
            <w:r>
              <w:rPr/>
              <w:t> </w:t>
            </w:r>
          </w:p>
        </w:tc>
      </w:tr>
      <w:tr>
        <w:trPr/>
        <w:tc>
          <w:tcPr>
            <w:tcW w:w="616"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473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624" w:type="dxa"/>
            <w:tcBorders/>
          </w:tcPr>
          <w:p>
            <w:pPr>
              <w:pStyle w:val="TableContents"/>
              <w:bidi w:val="0"/>
              <w:spacing w:before="0" w:after="283"/>
              <w:jc w:val="left"/>
              <w:rPr/>
            </w:pPr>
            <w:r>
              <w:rPr/>
              <w:t>Your 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Note purchased by the Company pursuant to Section 4.10 of the Indenture, check the appropriate box below: </w:t>
      </w:r>
    </w:p>
    <w:p>
      <w:pPr>
        <w:pStyle w:val="TextBody"/>
        <w:bidi w:val="0"/>
        <w:spacing w:before="240" w:after="0"/>
        <w:jc w:val="center"/>
        <w:rPr>
          <w:rFonts w:ascii="Times New Roman" w:hAnsi="Times New Roman"/>
          <w:sz w:val="20"/>
        </w:rPr>
      </w:pPr>
      <w:r>
        <w:rPr>
          <w:rFonts w:ascii="Times New Roman" w:hAnsi="Times New Roman"/>
          <w:sz w:val="20"/>
        </w:rPr>
        <w:t xml:space="preserve">[ ] Section 4.10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Note purchased by the Company pursuant to Section 4.10 of the Indenture, state the amount you elect to have purchased: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8"/>
        <w:gridCol w:w="112"/>
        <w:gridCol w:w="3394"/>
        <w:gridCol w:w="112"/>
        <w:gridCol w:w="154"/>
        <w:gridCol w:w="143"/>
        <w:gridCol w:w="2157"/>
        <w:gridCol w:w="143"/>
        <w:gridCol w:w="3422"/>
      </w:tblGrid>
      <w:tr>
        <w:trPr/>
        <w:tc>
          <w:tcPr>
            <w:tcW w:w="56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283"/>
              <w:jc w:val="left"/>
              <w:rPr>
                <w:sz w:val="4"/>
                <w:szCs w:val="4"/>
              </w:rPr>
            </w:pPr>
            <w:r>
              <w:rPr>
                <w:sz w:val="4"/>
                <w:szCs w:val="4"/>
              </w:rPr>
            </w:r>
          </w:p>
        </w:tc>
      </w:tr>
      <w:tr>
        <w:trPr/>
        <w:tc>
          <w:tcPr>
            <w:tcW w:w="56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9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54" w:type="dxa"/>
            <w:tcBorders/>
          </w:tcPr>
          <w:p>
            <w:pPr>
              <w:pStyle w:val="TableContents"/>
              <w:bidi w:val="0"/>
              <w:spacing w:before="0" w:after="283"/>
              <w:jc w:val="left"/>
              <w:rPr/>
            </w:pPr>
            <w:r>
              <w:rPr/>
              <w:t>$</w:t>
            </w:r>
          </w:p>
        </w:tc>
        <w:tc>
          <w:tcPr>
            <w:tcW w:w="143" w:type="dxa"/>
            <w:tcBorders/>
            <w:vAlign w:val="bottom"/>
          </w:tcPr>
          <w:p>
            <w:pPr>
              <w:pStyle w:val="TableContents"/>
              <w:bidi w:val="0"/>
              <w:spacing w:before="0" w:after="283"/>
              <w:jc w:val="left"/>
              <w:rPr/>
            </w:pPr>
            <w:r>
              <w:rPr/>
              <w:t>  </w:t>
            </w:r>
          </w:p>
        </w:tc>
        <w:tc>
          <w:tcPr>
            <w:tcW w:w="5722" w:type="dxa"/>
            <w:gridSpan w:val="3"/>
            <w:tcBorders/>
          </w:tcPr>
          <w:p>
            <w:pPr>
              <w:pStyle w:val="TableContents"/>
              <w:bidi w:val="0"/>
              <w:spacing w:before="0" w:after="283"/>
              <w:jc w:val="left"/>
              <w:rPr/>
            </w:pPr>
            <w:r>
              <w:rPr/>
              <w:t>($2,000 and integral multiples of $1,000, in excess thereof)</w:t>
            </w:r>
          </w:p>
        </w:tc>
      </w:tr>
      <w:tr>
        <w:trPr>
          <w:trHeight w:val="240" w:hRule="atLeast"/>
        </w:trPr>
        <w:tc>
          <w:tcPr>
            <w:tcW w:w="568" w:type="dxa"/>
            <w:tcBorders/>
            <w:vAlign w:val="center"/>
          </w:tcPr>
          <w:p>
            <w:pPr>
              <w:pStyle w:val="TableContents"/>
              <w:bidi w:val="0"/>
              <w:spacing w:before="0" w:after="283"/>
              <w:jc w:val="left"/>
              <w:rPr>
                <w:sz w:val="4"/>
                <w:szCs w:val="4"/>
              </w:rPr>
            </w:pPr>
            <w:r>
              <w:rPr>
                <w:sz w:val="4"/>
                <w:szCs w:val="4"/>
              </w:rPr>
            </w:r>
          </w:p>
        </w:tc>
        <w:tc>
          <w:tcPr>
            <w:tcW w:w="3506" w:type="dxa"/>
            <w:gridSpan w:val="2"/>
            <w:tcBorders/>
            <w:vAlign w:val="center"/>
          </w:tcPr>
          <w:p>
            <w:pPr>
              <w:pStyle w:val="TableContents"/>
              <w:bidi w:val="0"/>
              <w:spacing w:before="0" w:after="283"/>
              <w:jc w:val="left"/>
              <w:rPr>
                <w:sz w:val="4"/>
                <w:szCs w:val="4"/>
              </w:rPr>
            </w:pPr>
            <w:r>
              <w:rPr>
                <w:sz w:val="4"/>
                <w:szCs w:val="4"/>
              </w:rPr>
            </w:r>
          </w:p>
        </w:tc>
        <w:tc>
          <w:tcPr>
            <w:tcW w:w="266"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3565"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tcPr>
          <w:p>
            <w:pPr>
              <w:pStyle w:val="TableContents"/>
              <w:bidi w:val="0"/>
              <w:spacing w:before="0" w:after="283"/>
              <w:jc w:val="left"/>
              <w:rPr/>
            </w:pPr>
            <w:r>
              <w:rPr/>
              <w:t>Date:</w:t>
            </w:r>
          </w:p>
        </w:tc>
        <w:tc>
          <w:tcPr>
            <w:tcW w:w="112" w:type="dxa"/>
            <w:tcBorders/>
            <w:vAlign w:val="bottom"/>
          </w:tcPr>
          <w:p>
            <w:pPr>
              <w:pStyle w:val="TableContents"/>
              <w:bidi w:val="0"/>
              <w:spacing w:before="0" w:after="283"/>
              <w:jc w:val="left"/>
              <w:rPr/>
            </w:pPr>
            <w:r>
              <w:rPr/>
              <w:t> </w:t>
            </w:r>
          </w:p>
        </w:tc>
        <w:tc>
          <w:tcPr>
            <w:tcW w:w="3394" w:type="dxa"/>
            <w:tcBorders/>
          </w:tcPr>
          <w:p>
            <w:pPr>
              <w:pStyle w:val="TableContents"/>
              <w:pBdr>
                <w:bottom w:val="single" w:sz="2" w:space="1" w:color="000000"/>
              </w:pBdr>
              <w:bidi w:val="0"/>
              <w:spacing w:before="0" w:after="20"/>
              <w:jc w:val="left"/>
              <w:rPr/>
            </w:pPr>
            <w:r>
              <w:rPr/>
              <w:t> </w:t>
            </w:r>
          </w:p>
        </w:tc>
        <w:tc>
          <w:tcPr>
            <w:tcW w:w="112" w:type="dxa"/>
            <w:tcBorders/>
            <w:vAlign w:val="bottom"/>
          </w:tcPr>
          <w:p>
            <w:pPr>
              <w:pStyle w:val="TableContents"/>
              <w:bidi w:val="0"/>
              <w:spacing w:before="0" w:after="283"/>
              <w:jc w:val="left"/>
              <w:rPr/>
            </w:pPr>
            <w:r>
              <w:rPr/>
              <w:t> </w:t>
            </w:r>
          </w:p>
        </w:tc>
        <w:tc>
          <w:tcPr>
            <w:tcW w:w="154"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422" w:type="dxa"/>
            <w:tcBorders/>
          </w:tcPr>
          <w:p>
            <w:pPr>
              <w:pStyle w:val="TableContents"/>
              <w:bidi w:val="0"/>
              <w:spacing w:before="0" w:after="283"/>
              <w:jc w:val="left"/>
              <w:rPr>
                <w:sz w:val="4"/>
                <w:szCs w:val="4"/>
              </w:rPr>
            </w:pPr>
            <w:r>
              <w:rPr>
                <w:sz w:val="4"/>
                <w:szCs w:val="4"/>
              </w:rPr>
            </w:r>
          </w:p>
        </w:tc>
      </w:tr>
      <w:tr>
        <w:trPr>
          <w:trHeight w:val="240" w:hRule="atLeast"/>
        </w:trPr>
        <w:tc>
          <w:tcPr>
            <w:tcW w:w="568" w:type="dxa"/>
            <w:tcBorders/>
            <w:vAlign w:val="center"/>
          </w:tcPr>
          <w:p>
            <w:pPr>
              <w:pStyle w:val="TableContents"/>
              <w:bidi w:val="0"/>
              <w:spacing w:before="0" w:after="283"/>
              <w:jc w:val="left"/>
              <w:rPr>
                <w:sz w:val="4"/>
                <w:szCs w:val="4"/>
              </w:rPr>
            </w:pPr>
            <w:r>
              <w:rPr>
                <w:sz w:val="4"/>
                <w:szCs w:val="4"/>
              </w:rPr>
            </w:r>
          </w:p>
        </w:tc>
        <w:tc>
          <w:tcPr>
            <w:tcW w:w="3506" w:type="dxa"/>
            <w:gridSpan w:val="2"/>
            <w:tcBorders/>
            <w:vAlign w:val="center"/>
          </w:tcPr>
          <w:p>
            <w:pPr>
              <w:pStyle w:val="TableContents"/>
              <w:bidi w:val="0"/>
              <w:spacing w:before="0" w:after="283"/>
              <w:jc w:val="left"/>
              <w:rPr>
                <w:sz w:val="4"/>
                <w:szCs w:val="4"/>
              </w:rPr>
            </w:pPr>
            <w:r>
              <w:rPr>
                <w:sz w:val="4"/>
                <w:szCs w:val="4"/>
              </w:rPr>
            </w:r>
          </w:p>
        </w:tc>
        <w:tc>
          <w:tcPr>
            <w:tcW w:w="266"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3565"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9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54"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pPr>
            <w:r>
              <w:rPr/>
              <w:t>Your Signature:</w:t>
            </w:r>
          </w:p>
        </w:tc>
        <w:tc>
          <w:tcPr>
            <w:tcW w:w="143" w:type="dxa"/>
            <w:tcBorders/>
            <w:vAlign w:val="bottom"/>
          </w:tcPr>
          <w:p>
            <w:pPr>
              <w:pStyle w:val="TableContents"/>
              <w:bidi w:val="0"/>
              <w:spacing w:before="0" w:after="283"/>
              <w:jc w:val="left"/>
              <w:rPr/>
            </w:pPr>
            <w:r>
              <w:rPr/>
              <w:t>  </w:t>
            </w:r>
          </w:p>
        </w:tc>
        <w:tc>
          <w:tcPr>
            <w:tcW w:w="3422" w:type="dxa"/>
            <w:tcBorders/>
          </w:tcPr>
          <w:p>
            <w:pPr>
              <w:pStyle w:val="TableContents"/>
              <w:pBdr>
                <w:bottom w:val="single" w:sz="2" w:space="1" w:color="000000"/>
              </w:pBdr>
              <w:bidi w:val="0"/>
              <w:spacing w:before="0" w:after="20"/>
              <w:jc w:val="left"/>
              <w:rPr/>
            </w:pPr>
            <w:r>
              <w:rPr/>
              <w:t> </w:t>
            </w:r>
          </w:p>
        </w:tc>
      </w:tr>
      <w:tr>
        <w:trPr/>
        <w:tc>
          <w:tcPr>
            <w:tcW w:w="56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9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54"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422" w:type="dxa"/>
            <w:tcBorders/>
          </w:tcPr>
          <w:p>
            <w:pPr>
              <w:pStyle w:val="TableContents"/>
              <w:bidi w:val="0"/>
              <w:spacing w:before="0" w:after="283"/>
              <w:jc w:val="left"/>
              <w:rPr/>
            </w:pPr>
            <w:r>
              <w:rPr/>
              <w:t>(Sign exactly as your name appears on the face of this Note)</w:t>
            </w:r>
          </w:p>
        </w:tc>
      </w:tr>
      <w:tr>
        <w:trPr>
          <w:trHeight w:val="240" w:hRule="atLeast"/>
        </w:trPr>
        <w:tc>
          <w:tcPr>
            <w:tcW w:w="568" w:type="dxa"/>
            <w:tcBorders/>
            <w:vAlign w:val="center"/>
          </w:tcPr>
          <w:p>
            <w:pPr>
              <w:pStyle w:val="TableContents"/>
              <w:bidi w:val="0"/>
              <w:spacing w:before="0" w:after="283"/>
              <w:jc w:val="left"/>
              <w:rPr>
                <w:sz w:val="4"/>
                <w:szCs w:val="4"/>
              </w:rPr>
            </w:pPr>
            <w:r>
              <w:rPr>
                <w:sz w:val="4"/>
                <w:szCs w:val="4"/>
              </w:rPr>
            </w:r>
          </w:p>
        </w:tc>
        <w:tc>
          <w:tcPr>
            <w:tcW w:w="3506" w:type="dxa"/>
            <w:gridSpan w:val="2"/>
            <w:tcBorders/>
            <w:vAlign w:val="center"/>
          </w:tcPr>
          <w:p>
            <w:pPr>
              <w:pStyle w:val="TableContents"/>
              <w:bidi w:val="0"/>
              <w:spacing w:before="0" w:after="283"/>
              <w:jc w:val="left"/>
              <w:rPr>
                <w:sz w:val="4"/>
                <w:szCs w:val="4"/>
              </w:rPr>
            </w:pPr>
            <w:r>
              <w:rPr>
                <w:sz w:val="4"/>
                <w:szCs w:val="4"/>
              </w:rPr>
            </w:r>
          </w:p>
        </w:tc>
        <w:tc>
          <w:tcPr>
            <w:tcW w:w="266"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3565"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94"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54"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157" w:type="dxa"/>
            <w:tcBorders/>
          </w:tcPr>
          <w:p>
            <w:pPr>
              <w:pStyle w:val="TableContents"/>
              <w:bidi w:val="0"/>
              <w:spacing w:before="0" w:after="283"/>
              <w:jc w:val="left"/>
              <w:rPr/>
            </w:pPr>
            <w:r>
              <w:rPr/>
              <w:t>Tax Identification No.</w:t>
            </w:r>
          </w:p>
        </w:tc>
        <w:tc>
          <w:tcPr>
            <w:tcW w:w="143" w:type="dxa"/>
            <w:tcBorders/>
            <w:vAlign w:val="bottom"/>
          </w:tcPr>
          <w:p>
            <w:pPr>
              <w:pStyle w:val="TableContents"/>
              <w:bidi w:val="0"/>
              <w:spacing w:before="0" w:after="283"/>
              <w:jc w:val="left"/>
              <w:rPr/>
            </w:pPr>
            <w:r>
              <w:rPr/>
              <w:t>  </w:t>
            </w:r>
          </w:p>
        </w:tc>
        <w:tc>
          <w:tcPr>
            <w:tcW w:w="342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82"/>
        <w:gridCol w:w="109"/>
        <w:gridCol w:w="2327"/>
        <w:gridCol w:w="101"/>
        <w:gridCol w:w="1649"/>
        <w:gridCol w:w="123"/>
        <w:gridCol w:w="1843"/>
        <w:gridCol w:w="123"/>
        <w:gridCol w:w="1848"/>
      </w:tblGrid>
      <w:tr>
        <w:trPr/>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2082" w:type="dxa"/>
            <w:tcBorders/>
          </w:tcPr>
          <w:p>
            <w:pPr>
              <w:pStyle w:val="TableContents"/>
              <w:bidi w:val="0"/>
              <w:spacing w:before="0" w:after="283"/>
              <w:jc w:val="left"/>
              <w:rPr/>
            </w:pPr>
            <w:r>
              <w:rPr/>
              <w:t>Signature Guarantee*:</w:t>
            </w:r>
          </w:p>
        </w:tc>
        <w:tc>
          <w:tcPr>
            <w:tcW w:w="109" w:type="dxa"/>
            <w:tcBorders/>
            <w:vAlign w:val="bottom"/>
          </w:tcPr>
          <w:p>
            <w:pPr>
              <w:pStyle w:val="TableContents"/>
              <w:bidi w:val="0"/>
              <w:spacing w:before="0" w:after="283"/>
              <w:jc w:val="left"/>
              <w:rPr/>
            </w:pPr>
            <w:r>
              <w:rPr/>
              <w:t> </w:t>
            </w:r>
          </w:p>
        </w:tc>
        <w:tc>
          <w:tcPr>
            <w:tcW w:w="4077" w:type="dxa"/>
            <w:gridSpan w:val="3"/>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84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w:t>
            </w:r>
          </w:p>
        </w:tc>
      </w:tr>
    </w:tbl>
    <w:p>
      <w:pPr>
        <w:pStyle w:val="TextBody"/>
        <w:bidi w:val="0"/>
        <w:spacing w:before="0" w:after="0"/>
        <w:jc w:val="left"/>
        <w:rPr>
          <w:rFonts w:ascii="Times New Roman" w:hAnsi="Times New Roman"/>
          <w:sz w:val="20"/>
        </w:rPr>
      </w:pPr>
      <w:r>
        <w:rPr>
          <w:rFonts w:ascii="Times New Roman" w:hAnsi="Times New Roman"/>
          <w:sz w:val="20"/>
        </w:rPr>
        <w:t xml:space="preserve">the Trustee). </w:t>
      </w:r>
    </w:p>
    <w:p>
      <w:pPr>
        <w:pStyle w:val="TextBody"/>
        <w:bidi w:val="0"/>
        <w:spacing w:before="240" w:after="0"/>
        <w:jc w:val="center"/>
        <w:rPr>
          <w:rFonts w:ascii="Times New Roman" w:hAnsi="Times New Roman"/>
          <w:sz w:val="20"/>
        </w:rPr>
      </w:pPr>
      <w:r>
        <w:rPr>
          <w:rFonts w:ascii="Times New Roman" w:hAnsi="Times New Roman"/>
          <w:sz w:val="20"/>
        </w:rPr>
        <w:t xml:space="preserve">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initial outstanding principal amount of this Global Note is $    . The following exchanges of a part of this Global Note for an interest in another Global Note or for a Definitive Note, or exchanges of a part of another Global Note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7"/>
        <w:gridCol w:w="121"/>
        <w:gridCol w:w="2077"/>
        <w:gridCol w:w="121"/>
        <w:gridCol w:w="1809"/>
        <w:gridCol w:w="279"/>
        <w:gridCol w:w="1629"/>
        <w:gridCol w:w="121"/>
        <w:gridCol w:w="1781"/>
      </w:tblGrid>
      <w:tr>
        <w:trPr/>
        <w:tc>
          <w:tcPr>
            <w:tcW w:w="226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226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 of Exchange</w:t>
            </w:r>
          </w:p>
        </w:tc>
        <w:tc>
          <w:tcPr>
            <w:tcW w:w="121" w:type="dxa"/>
            <w:tcBorders/>
            <w:vAlign w:val="bottom"/>
          </w:tcPr>
          <w:p>
            <w:pPr>
              <w:pStyle w:val="TableContents"/>
              <w:bidi w:val="0"/>
              <w:spacing w:before="0" w:after="283"/>
              <w:jc w:val="left"/>
              <w:rPr/>
            </w:pPr>
            <w:r>
              <w:rPr/>
              <w:t>  </w:t>
            </w:r>
          </w:p>
        </w:tc>
        <w:tc>
          <w:tcPr>
            <w:tcW w:w="207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decrease</w:t>
            </w:r>
          </w:p>
          <w:p>
            <w:pPr>
              <w:pStyle w:val="TableContents"/>
              <w:bidi w:val="0"/>
              <w:spacing w:before="0" w:after="0"/>
              <w:jc w:val="center"/>
              <w:rPr>
                <w:rFonts w:ascii="Times New Roman" w:hAnsi="Times New Roman"/>
                <w:sz w:val="16"/>
              </w:rPr>
            </w:pPr>
            <w:r>
              <w:rPr>
                <w:rFonts w:ascii="Times New Roman" w:hAnsi="Times New Roman"/>
                <w:sz w:val="16"/>
              </w:rPr>
              <w:t>in Principal Amount of</w:t>
            </w:r>
          </w:p>
          <w:p>
            <w:pPr>
              <w:pStyle w:val="TableContents"/>
              <w:bidi w:val="0"/>
              <w:spacing w:before="0" w:after="20"/>
              <w:jc w:val="center"/>
              <w:rPr>
                <w:rFonts w:ascii="Times New Roman" w:hAnsi="Times New Roman"/>
                <w:sz w:val="16"/>
              </w:rPr>
            </w:pPr>
            <w:r>
              <w:rPr>
                <w:rFonts w:ascii="Times New Roman" w:hAnsi="Times New Roman"/>
                <w:sz w:val="16"/>
              </w:rPr>
              <w:t>this Global Note</w:t>
            </w:r>
          </w:p>
        </w:tc>
        <w:tc>
          <w:tcPr>
            <w:tcW w:w="121" w:type="dxa"/>
            <w:tcBorders/>
            <w:vAlign w:val="bottom"/>
          </w:tcPr>
          <w:p>
            <w:pPr>
              <w:pStyle w:val="TableContents"/>
              <w:bidi w:val="0"/>
              <w:spacing w:before="0" w:after="283"/>
              <w:jc w:val="left"/>
              <w:rPr/>
            </w:pPr>
            <w:r>
              <w:rPr/>
              <w:t>  </w:t>
            </w:r>
          </w:p>
        </w:tc>
        <w:tc>
          <w:tcPr>
            <w:tcW w:w="180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increase</w:t>
            </w:r>
          </w:p>
          <w:p>
            <w:pPr>
              <w:pStyle w:val="TableContents"/>
              <w:bidi w:val="0"/>
              <w:spacing w:before="0" w:after="0"/>
              <w:jc w:val="center"/>
              <w:rPr>
                <w:rFonts w:ascii="Times New Roman" w:hAnsi="Times New Roman"/>
                <w:sz w:val="16"/>
              </w:rPr>
            </w:pPr>
            <w:r>
              <w:rPr>
                <w:rFonts w:ascii="Times New Roman" w:hAnsi="Times New Roman"/>
                <w:sz w:val="16"/>
              </w:rPr>
              <w:t>in Principal</w:t>
            </w:r>
          </w:p>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this</w:t>
            </w:r>
          </w:p>
          <w:p>
            <w:pPr>
              <w:pStyle w:val="TableContents"/>
              <w:bidi w:val="0"/>
              <w:spacing w:before="0" w:after="20"/>
              <w:jc w:val="center"/>
              <w:rPr>
                <w:rFonts w:ascii="Times New Roman" w:hAnsi="Times New Roman"/>
                <w:sz w:val="16"/>
              </w:rPr>
            </w:pPr>
            <w:r>
              <w:rPr>
                <w:rFonts w:ascii="Times New Roman" w:hAnsi="Times New Roman"/>
                <w:sz w:val="16"/>
              </w:rPr>
              <w:t>Global Note</w:t>
            </w:r>
          </w:p>
        </w:tc>
        <w:tc>
          <w:tcPr>
            <w:tcW w:w="279" w:type="dxa"/>
            <w:tcBorders/>
            <w:vAlign w:val="bottom"/>
          </w:tcPr>
          <w:p>
            <w:pPr>
              <w:pStyle w:val="TableContents"/>
              <w:bidi w:val="0"/>
              <w:spacing w:before="0" w:after="283"/>
              <w:jc w:val="left"/>
              <w:rPr/>
            </w:pPr>
            <w:r>
              <w:rPr/>
              <w:t>  </w:t>
            </w:r>
          </w:p>
        </w:tc>
        <w:tc>
          <w:tcPr>
            <w:tcW w:w="162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this Global</w:t>
            </w:r>
          </w:p>
          <w:p>
            <w:pPr>
              <w:pStyle w:val="TableContents"/>
              <w:bidi w:val="0"/>
              <w:spacing w:before="0" w:after="0"/>
              <w:jc w:val="center"/>
              <w:rPr>
                <w:rFonts w:ascii="Times New Roman" w:hAnsi="Times New Roman"/>
                <w:sz w:val="16"/>
              </w:rPr>
            </w:pPr>
            <w:r>
              <w:rPr>
                <w:rFonts w:ascii="Times New Roman" w:hAnsi="Times New Roman"/>
                <w:sz w:val="16"/>
              </w:rPr>
              <w:t>Note</w:t>
            </w:r>
          </w:p>
          <w:p>
            <w:pPr>
              <w:pStyle w:val="TableContents"/>
              <w:bidi w:val="0"/>
              <w:spacing w:before="0" w:after="0"/>
              <w:jc w:val="center"/>
              <w:rPr>
                <w:rFonts w:ascii="Times New Roman" w:hAnsi="Times New Roman"/>
                <w:sz w:val="16"/>
              </w:rPr>
            </w:pPr>
            <w:r>
              <w:rPr>
                <w:rFonts w:ascii="Times New Roman" w:hAnsi="Times New Roman"/>
                <w:sz w:val="16"/>
              </w:rPr>
              <w:t>following</w:t>
            </w:r>
          </w:p>
          <w:p>
            <w:pPr>
              <w:pStyle w:val="TableContents"/>
              <w:bidi w:val="0"/>
              <w:spacing w:before="0" w:after="0"/>
              <w:jc w:val="center"/>
              <w:rPr>
                <w:rFonts w:ascii="Times New Roman" w:hAnsi="Times New Roman"/>
                <w:sz w:val="16"/>
              </w:rPr>
            </w:pPr>
            <w:r>
              <w:rPr>
                <w:rFonts w:ascii="Times New Roman" w:hAnsi="Times New Roman"/>
                <w:sz w:val="16"/>
              </w:rPr>
              <w:t>such</w:t>
            </w:r>
          </w:p>
          <w:p>
            <w:pPr>
              <w:pStyle w:val="TableContents"/>
              <w:bidi w:val="0"/>
              <w:spacing w:before="0" w:after="0"/>
              <w:jc w:val="center"/>
              <w:rPr>
                <w:rFonts w:ascii="Times New Roman" w:hAnsi="Times New Roman"/>
                <w:sz w:val="16"/>
              </w:rPr>
            </w:pPr>
            <w:r>
              <w:rPr>
                <w:rFonts w:ascii="Times New Roman" w:hAnsi="Times New Roman"/>
                <w:sz w:val="16"/>
              </w:rPr>
              <w:t>decrease or</w:t>
            </w:r>
          </w:p>
          <w:p>
            <w:pPr>
              <w:pStyle w:val="TableContents"/>
              <w:bidi w:val="0"/>
              <w:spacing w:before="0" w:after="20"/>
              <w:jc w:val="center"/>
              <w:rPr>
                <w:rFonts w:ascii="Times New Roman" w:hAnsi="Times New Roman"/>
                <w:sz w:val="16"/>
              </w:rPr>
            </w:pPr>
            <w:r>
              <w:rPr>
                <w:rFonts w:ascii="Times New Roman" w:hAnsi="Times New Roman"/>
                <w:sz w:val="16"/>
              </w:rPr>
              <w:t>increase</w:t>
            </w:r>
          </w:p>
        </w:tc>
        <w:tc>
          <w:tcPr>
            <w:tcW w:w="121" w:type="dxa"/>
            <w:tcBorders/>
            <w:vAlign w:val="bottom"/>
          </w:tcPr>
          <w:p>
            <w:pPr>
              <w:pStyle w:val="TableContents"/>
              <w:bidi w:val="0"/>
              <w:spacing w:before="0" w:after="283"/>
              <w:jc w:val="left"/>
              <w:rPr/>
            </w:pPr>
            <w:r>
              <w:rPr/>
              <w:t>  </w:t>
            </w:r>
          </w:p>
        </w:tc>
        <w:tc>
          <w:tcPr>
            <w:tcW w:w="178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 signatory</w:t>
            </w:r>
          </w:p>
          <w:p>
            <w:pPr>
              <w:pStyle w:val="TableContents"/>
              <w:bidi w:val="0"/>
              <w:spacing w:before="0" w:after="0"/>
              <w:jc w:val="center"/>
              <w:rPr>
                <w:rFonts w:ascii="Times New Roman" w:hAnsi="Times New Roman"/>
                <w:sz w:val="16"/>
              </w:rPr>
            </w:pPr>
            <w:r>
              <w:rPr>
                <w:rFonts w:ascii="Times New Roman" w:hAnsi="Times New Roman"/>
                <w:sz w:val="16"/>
              </w:rPr>
              <w:t>of Trustee,</w:t>
            </w:r>
          </w:p>
          <w:p>
            <w:pPr>
              <w:pStyle w:val="TableContents"/>
              <w:bidi w:val="0"/>
              <w:spacing w:before="0" w:after="0"/>
              <w:jc w:val="center"/>
              <w:rPr>
                <w:rFonts w:ascii="Times New Roman" w:hAnsi="Times New Roman"/>
                <w:sz w:val="16"/>
              </w:rPr>
            </w:pPr>
            <w:r>
              <w:rPr>
                <w:rFonts w:ascii="Times New Roman" w:hAnsi="Times New Roman"/>
                <w:sz w:val="16"/>
              </w:rPr>
              <w:t>Depositary or</w:t>
            </w:r>
          </w:p>
          <w:p>
            <w:pPr>
              <w:pStyle w:val="TableContents"/>
              <w:bidi w:val="0"/>
              <w:spacing w:before="0" w:after="20"/>
              <w:jc w:val="center"/>
              <w:rPr>
                <w:rFonts w:ascii="Times New Roman" w:hAnsi="Times New Roman"/>
                <w:sz w:val="16"/>
              </w:rPr>
            </w:pPr>
            <w:r>
              <w:rPr>
                <w:rFonts w:ascii="Times New Roman" w:hAnsi="Times New Roman"/>
                <w:sz w:val="16"/>
              </w:rPr>
              <w:t>Custodian</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Note is issued in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480" w:after="0"/>
        <w:jc w:val="center"/>
        <w:rPr>
          <w:rFonts w:ascii="Times New Roman" w:hAnsi="Times New Roman"/>
          <w:sz w:val="20"/>
        </w:rPr>
      </w:pPr>
      <w:r>
        <w:rPr>
          <w:rFonts w:ascii="Times New Roman" w:hAnsi="Times New Roman"/>
          <w:sz w:val="20"/>
        </w:rPr>
        <w:t xml:space="preserve">FORM OF </w:t>
      </w:r>
    </w:p>
    <w:p>
      <w:pPr>
        <w:pStyle w:val="TextBody"/>
        <w:bidi w:val="0"/>
        <w:spacing w:before="0" w:after="0"/>
        <w:jc w:val="center"/>
        <w:rPr>
          <w:rFonts w:ascii="Times New Roman" w:hAnsi="Times New Roman"/>
          <w:sz w:val="20"/>
        </w:rPr>
      </w:pPr>
      <w:r>
        <w:rPr>
          <w:rFonts w:ascii="Times New Roman" w:hAnsi="Times New Roman"/>
          <w:sz w:val="20"/>
        </w:rPr>
        <w:t xml:space="preserve">TRANSFEREE LETTER OF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Fair Isaac Corporation </w:t>
      </w:r>
    </w:p>
    <w:p>
      <w:pPr>
        <w:pStyle w:val="TextBody"/>
        <w:bidi w:val="0"/>
        <w:spacing w:before="0" w:after="0"/>
        <w:jc w:val="left"/>
        <w:rPr>
          <w:rFonts w:ascii="Times New Roman" w:hAnsi="Times New Roman"/>
          <w:sz w:val="20"/>
        </w:rPr>
      </w:pPr>
      <w:r>
        <w:rPr>
          <w:rFonts w:ascii="Times New Roman" w:hAnsi="Times New Roman"/>
          <w:sz w:val="20"/>
        </w:rPr>
        <w:t xml:space="preserve">50 South 6th Street, Suite 1360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55402 </w:t>
      </w:r>
    </w:p>
    <w:p>
      <w:pPr>
        <w:pStyle w:val="TextBody"/>
        <w:bidi w:val="0"/>
        <w:spacing w:before="0" w:after="0"/>
        <w:jc w:val="left"/>
        <w:rPr>
          <w:rFonts w:ascii="Times New Roman" w:hAnsi="Times New Roman"/>
          <w:sz w:val="20"/>
        </w:rPr>
      </w:pPr>
      <w:r>
        <w:rPr>
          <w:rFonts w:ascii="Times New Roman" w:hAnsi="Times New Roman"/>
          <w:sz w:val="20"/>
        </w:rPr>
        <w:t xml:space="preserve">Attention: Treasurer </w:t>
      </w:r>
    </w:p>
    <w:p>
      <w:pPr>
        <w:pStyle w:val="TextBody"/>
        <w:bidi w:val="0"/>
        <w:spacing w:before="0" w:after="0"/>
        <w:jc w:val="left"/>
        <w:rPr>
          <w:rFonts w:ascii="Times New Roman" w:hAnsi="Times New Roman"/>
          <w:sz w:val="20"/>
        </w:rPr>
      </w:pPr>
      <w:r>
        <w:rPr>
          <w:rFonts w:ascii="Times New Roman" w:hAnsi="Times New Roman"/>
          <w:sz w:val="20"/>
        </w:rPr>
        <w:t xml:space="preserve">Telephone: (651) 214-6338 </w:t>
      </w:r>
    </w:p>
    <w:p>
      <w:pPr>
        <w:pStyle w:val="TextBody"/>
        <w:bidi w:val="0"/>
        <w:spacing w:before="0" w:after="0"/>
        <w:jc w:val="left"/>
        <w:rPr>
          <w:rFonts w:ascii="Times New Roman" w:hAnsi="Times New Roman"/>
          <w:sz w:val="20"/>
        </w:rPr>
      </w:pPr>
      <w:r>
        <w:rPr>
          <w:rFonts w:ascii="Times New Roman" w:hAnsi="Times New Roman"/>
          <w:sz w:val="20"/>
        </w:rPr>
        <w:t xml:space="preserve">Email: tomcolling@fico.com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360" w:after="0"/>
        <w:jc w:val="left"/>
        <w:rPr>
          <w:rFonts w:ascii="Times New Roman" w:hAnsi="Times New Roman"/>
          <w:sz w:val="20"/>
        </w:rPr>
      </w:pPr>
      <w:r>
        <w:rPr>
          <w:rFonts w:ascii="Times New Roman" w:hAnsi="Times New Roman"/>
          <w:sz w:val="20"/>
        </w:rPr>
        <w:t xml:space="preserve">Fair Isaac Corporation </w:t>
      </w:r>
    </w:p>
    <w:p>
      <w:pPr>
        <w:pStyle w:val="TextBody"/>
        <w:bidi w:val="0"/>
        <w:spacing w:before="0" w:after="0"/>
        <w:jc w:val="left"/>
        <w:rPr>
          <w:rFonts w:ascii="Times New Roman" w:hAnsi="Times New Roman"/>
          <w:sz w:val="20"/>
        </w:rPr>
      </w:pPr>
      <w:r>
        <w:rPr>
          <w:rFonts w:ascii="Times New Roman" w:hAnsi="Times New Roman"/>
          <w:sz w:val="20"/>
        </w:rPr>
        <w:t xml:space="preserve">181 Metro Drive </w:t>
      </w:r>
    </w:p>
    <w:p>
      <w:pPr>
        <w:pStyle w:val="TextBody"/>
        <w:bidi w:val="0"/>
        <w:spacing w:before="0" w:after="0"/>
        <w:jc w:val="left"/>
        <w:rPr>
          <w:rFonts w:ascii="Times New Roman" w:hAnsi="Times New Roman"/>
          <w:sz w:val="20"/>
        </w:rPr>
      </w:pPr>
      <w:r>
        <w:rPr>
          <w:rFonts w:ascii="Times New Roman" w:hAnsi="Times New Roman"/>
          <w:sz w:val="20"/>
        </w:rPr>
        <w:t xml:space="preserve">San Jose, CA 95110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 (408) 535-1500 </w:t>
      </w:r>
    </w:p>
    <w:p>
      <w:pPr>
        <w:pStyle w:val="TextBody"/>
        <w:bidi w:val="0"/>
        <w:spacing w:before="0" w:after="0"/>
        <w:jc w:val="left"/>
        <w:rPr>
          <w:rFonts w:ascii="Times New Roman" w:hAnsi="Times New Roman"/>
          <w:sz w:val="20"/>
        </w:rPr>
      </w:pPr>
      <w:r>
        <w:rPr>
          <w:rFonts w:ascii="Times New Roman" w:hAnsi="Times New Roman"/>
          <w:sz w:val="20"/>
        </w:rPr>
        <w:t xml:space="preserve">Email: markscadina@fico.com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This certificate is delivered to request a transfer of $[    ] principal amount of the 6.250% Senior Notes due 2034 (the “</w:t>
      </w:r>
      <w:r>
        <w:rPr>
          <w:rFonts w:ascii="Times New Roman" w:hAnsi="Times New Roman"/>
          <w:i/>
          <w:sz w:val="20"/>
        </w:rPr>
        <w:t>Notes</w:t>
      </w:r>
      <w:r>
        <w:rPr>
          <w:rFonts w:ascii="Times New Roman" w:hAnsi="Times New Roman"/>
          <w:sz w:val="20"/>
        </w:rPr>
        <w:t>”) of Fair Isaac Corporation (the “</w:t>
      </w:r>
      <w:r>
        <w:rPr>
          <w:rFonts w:ascii="Times New Roman" w:hAnsi="Times New Roman"/>
          <w:i/>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transfer, the Notes would be registered in the name of the new beneficial owner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w:t>
            </w:r>
            <w:r>
              <w:rPr>
                <w:rFonts w:ascii="Times New Roman" w:hAnsi="Times New Roman"/>
                <w:sz w:val="20"/>
                <w:u w:val="single"/>
              </w:rPr>
              <w:t>            </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w:t>
            </w:r>
            <w:r>
              <w:rPr>
                <w:rFonts w:ascii="Times New Roman" w:hAnsi="Times New Roman"/>
                <w:sz w:val="20"/>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Taxpayer ID Number: </w:t>
            </w:r>
            <w:r>
              <w:rPr>
                <w:rFonts w:ascii="Times New Roman" w:hAnsi="Times New Roman"/>
                <w:sz w:val="20"/>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and warrants to you that: </w:t>
      </w:r>
    </w:p>
    <w:p>
      <w:pPr>
        <w:pStyle w:val="TextBody"/>
        <w:bidi w:val="0"/>
        <w:spacing w:before="120" w:after="0"/>
        <w:jc w:val="left"/>
        <w:rPr>
          <w:rFonts w:ascii="Times New Roman" w:hAnsi="Times New Roman"/>
          <w:sz w:val="20"/>
        </w:rPr>
      </w:pPr>
      <w:r>
        <w:rPr>
          <w:rFonts w:ascii="Times New Roman" w:hAnsi="Times New Roman"/>
          <w:sz w:val="20"/>
        </w:rPr>
        <w:t>1. We are an institutional “accredited investor” (as defined in Rule 501(a)(1), (2), (3) or (7) under the Securities Act of 1933, as amended (the “</w:t>
      </w:r>
      <w:r>
        <w:rPr>
          <w:rFonts w:ascii="Times New Roman" w:hAnsi="Times New Roman"/>
          <w:i/>
          <w:sz w:val="20"/>
        </w:rPr>
        <w:t>Securities Act</w:t>
      </w:r>
      <w:r>
        <w:rPr>
          <w:rFonts w:ascii="Times New Roman" w:hAnsi="Times New Roman"/>
          <w:sz w:val="20"/>
        </w:rPr>
        <w:t xml:space="preserve">”)), purchasing for our own account or for the account of such an institutional “accredited investor” at least $250,000 principal amount of the Notes, and we are acquiring the Notes, for investment purposes and not with a view to, or for offer or sale in connection with, any distribution in violation of the Securities Act. We have such knowledge and experience in financial and business matters as to be capable of evaluating the merits and risks of our investment in the Notes, and we invest in or purchase securities similar to the Notes in the normal course of our business. We, and any accounts for which we are acting, are each able to bear the economic risk of our or its investment. </w:t>
      </w:r>
    </w:p>
    <w:p>
      <w:pPr>
        <w:pStyle w:val="TextBody"/>
        <w:bidi w:val="0"/>
        <w:spacing w:before="120" w:after="0"/>
        <w:jc w:val="left"/>
        <w:rPr>
          <w:rFonts w:ascii="Times New Roman" w:hAnsi="Times New Roman"/>
          <w:sz w:val="20"/>
        </w:rPr>
      </w:pPr>
      <w:r>
        <w:rPr>
          <w:rFonts w:ascii="Times New Roman" w:hAnsi="Times New Roman"/>
          <w:sz w:val="20"/>
        </w:rPr>
        <w:t xml:space="preserve">2. 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after the later of the date of original issue and the last date on which the Company or any affiliate of the Company was the owner of such Notes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predecessor thereto) (the “</w:t>
      </w:r>
      <w:r>
        <w:rPr>
          <w:rFonts w:ascii="Times New Roman" w:hAnsi="Times New Roman"/>
          <w:i/>
          <w:sz w:val="20"/>
        </w:rPr>
        <w:t>Resale Restriction Termination Date</w:t>
      </w:r>
      <w:r>
        <w:rPr>
          <w:rFonts w:ascii="Times New Roman" w:hAnsi="Times New Roman"/>
          <w:sz w:val="20"/>
        </w:rPr>
        <w:t xml:space="preserve">”) only in accordance with the Restricted Notes Legend (as such term is defined in the indenture under which the Notes were issued) on the Notes and any applicable securities laws of any state of the United States.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Company and the Trustee reserve the right prior to the offer, sale or other transfer prior to the Resale Restriction Termination Date of the Notes with respect to applicable transfers described in the Restricted Notes Legend to require the delivery of an opinion of counsel, certifications and/or other information satisfactory to the Company and the Trustee.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43"/>
        <w:gridCol w:w="60"/>
        <w:gridCol w:w="2279"/>
      </w:tblGrid>
      <w:tr>
        <w:trPr/>
        <w:tc>
          <w:tcPr>
            <w:tcW w:w="17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1743" w:type="dxa"/>
            <w:tcBorders/>
          </w:tcPr>
          <w:p>
            <w:pPr>
              <w:pStyle w:val="TableContents"/>
              <w:bidi w:val="0"/>
              <w:spacing w:before="0" w:after="283"/>
              <w:jc w:val="left"/>
              <w:rPr/>
            </w:pPr>
            <w:r>
              <w:rPr/>
              <w:t>TRANSFEREE:</w:t>
            </w:r>
          </w:p>
        </w:tc>
        <w:tc>
          <w:tcPr>
            <w:tcW w:w="60" w:type="dxa"/>
            <w:tcBorders/>
            <w:vAlign w:val="bottom"/>
          </w:tcPr>
          <w:p>
            <w:pPr>
              <w:pStyle w:val="TableContents"/>
              <w:bidi w:val="0"/>
              <w:spacing w:before="0" w:after="283"/>
              <w:jc w:val="left"/>
              <w:rPr/>
            </w:pPr>
            <w:r>
              <w:rPr/>
              <w:t> </w:t>
            </w:r>
          </w:p>
        </w:tc>
        <w:tc>
          <w:tcPr>
            <w:tcW w:w="2279" w:type="dxa"/>
            <w:tcBorders/>
          </w:tcPr>
          <w:p>
            <w:pPr>
              <w:pStyle w:val="TableContents"/>
              <w:pBdr>
                <w:bottom w:val="single" w:sz="2" w:space="1" w:color="000000"/>
              </w:pBdr>
              <w:bidi w:val="0"/>
              <w:spacing w:before="0" w:after="20"/>
              <w:jc w:val="left"/>
              <w:rPr/>
            </w:pPr>
            <w:r>
              <w:rPr/>
              <w:t> </w:t>
            </w:r>
          </w:p>
        </w:tc>
      </w:tr>
      <w:tr>
        <w:trPr/>
        <w:tc>
          <w:tcPr>
            <w:tcW w:w="174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279"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480" w:after="0"/>
        <w:jc w:val="center"/>
        <w:rPr>
          <w:rFonts w:ascii="Times New Roman" w:hAnsi="Times New Roman"/>
          <w:sz w:val="20"/>
        </w:rPr>
      </w:pPr>
      <w:r>
        <w:rPr>
          <w:rFonts w:ascii="Times New Roman" w:hAnsi="Times New Roman"/>
          <w:sz w:val="20"/>
        </w:rPr>
        <w:t xml:space="preserve">FORM OF SUPPLEMENTAL INDENTURE </w:t>
      </w:r>
    </w:p>
    <w:p>
      <w:pPr>
        <w:pStyle w:val="TextBody"/>
        <w:bidi w:val="0"/>
        <w:spacing w:before="0" w:after="0"/>
        <w:jc w:val="center"/>
        <w:rPr>
          <w:rFonts w:ascii="Times New Roman" w:hAnsi="Times New Roman"/>
          <w:sz w:val="20"/>
        </w:rPr>
      </w:pPr>
      <w:r>
        <w:rPr>
          <w:rFonts w:ascii="Times New Roman" w:hAnsi="Times New Roman"/>
          <w:sz w:val="20"/>
        </w:rPr>
        <w:t xml:space="preserve">TO BE DELIVERED BY SUBSEQUENT GUARANTORS </w:t>
      </w:r>
    </w:p>
    <w:p>
      <w:pPr>
        <w:pStyle w:val="TextBody"/>
        <w:bidi w:val="0"/>
        <w:spacing w:before="240" w:after="0"/>
        <w:jc w:val="left"/>
        <w:rPr>
          <w:rFonts w:ascii="Times New Roman" w:hAnsi="Times New Roman"/>
          <w:sz w:val="20"/>
        </w:rPr>
      </w:pPr>
      <w:r>
        <w:rPr>
          <w:rFonts w:ascii="Times New Roman" w:hAnsi="Times New Roman"/>
          <w:sz w:val="20"/>
        </w:rPr>
        <w:t>Supplemental Indenture (this “</w:t>
      </w:r>
      <w:r>
        <w:rPr>
          <w:rFonts w:ascii="Times New Roman" w:hAnsi="Times New Roman"/>
          <w:i/>
          <w:sz w:val="20"/>
        </w:rPr>
        <w:t>Supplemental Indenture</w:t>
      </w:r>
      <w:r>
        <w:rPr>
          <w:rFonts w:ascii="Times New Roman" w:hAnsi="Times New Roman"/>
          <w:sz w:val="20"/>
        </w:rPr>
        <w:t>”), dated as of [    ] [ ], 20[ ], among [    ] (the “</w:t>
      </w:r>
      <w:r>
        <w:rPr>
          <w:rFonts w:ascii="Times New Roman" w:hAnsi="Times New Roman"/>
          <w:i/>
          <w:sz w:val="20"/>
        </w:rPr>
        <w:t>Guaranteeing Subsidiary</w:t>
      </w:r>
      <w:r>
        <w:rPr>
          <w:rFonts w:ascii="Times New Roman" w:hAnsi="Times New Roman"/>
          <w:sz w:val="20"/>
        </w:rPr>
        <w:t>”), a subsidiary of Fair Isaac Corporation, a Delaware corporation (the “</w:t>
      </w:r>
      <w:r>
        <w:rPr>
          <w:rFonts w:ascii="Times New Roman" w:hAnsi="Times New Roman"/>
          <w:i/>
          <w:sz w:val="20"/>
        </w:rPr>
        <w:t>Company</w:t>
      </w:r>
      <w:r>
        <w:rPr>
          <w:rFonts w:ascii="Times New Roman" w:hAnsi="Times New Roman"/>
          <w:sz w:val="20"/>
        </w:rPr>
        <w:t>”), the Company, and U.S. Bank Trust Company, National Association, as trustee (the “</w:t>
      </w:r>
      <w:r>
        <w:rPr>
          <w:rFonts w:ascii="Times New Roman" w:hAnsi="Times New Roman"/>
          <w:i/>
          <w:sz w:val="20"/>
        </w:rPr>
        <w:t>Trustee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W I T N E S S E T 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each of the Company and the Guarantors (as defined in the Indenture referred to below) has heretofore executed and delivered to the Trustee an indenture (the “</w:t>
      </w:r>
      <w:r>
        <w:rPr>
          <w:rFonts w:ascii="Times New Roman" w:hAnsi="Times New Roman"/>
          <w:i/>
          <w:sz w:val="20"/>
        </w:rPr>
        <w:t>Indenture</w:t>
      </w:r>
      <w:r>
        <w:rPr>
          <w:rFonts w:ascii="Times New Roman" w:hAnsi="Times New Roman"/>
          <w:sz w:val="20"/>
        </w:rPr>
        <w:t>”), dated as of March 20, 2026, providing for the issuance of an unlimited aggregate principal amount of 6.250% Senior Notes due 2034 (the “</w:t>
      </w:r>
      <w:r>
        <w:rPr>
          <w:rFonts w:ascii="Times New Roman" w:hAnsi="Times New Roman"/>
          <w:i/>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and under the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9.01 of the Indenture, the Trustee is authorized to execute and deliver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parties mutually covenant and agree for the benefit of each other and for the equal and ratable benefit of the holders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Capitalized Terms</w:t>
      </w:r>
      <w:r>
        <w:rPr>
          <w:rFonts w:ascii="Times New Roman" w:hAnsi="Times New Roman"/>
          <w:sz w:val="20"/>
        </w:rPr>
        <w:t xml:space="preserve">. Capitalized terms used herein without definition shall have the meanings assigned to them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Guarantor</w:t>
      </w:r>
      <w:r>
        <w:rPr>
          <w:rFonts w:ascii="Times New Roman" w:hAnsi="Times New Roman"/>
          <w:sz w:val="20"/>
        </w:rPr>
        <w:t xml:space="preserve">. The Guaranteeing Subsidiary hereby agrees to be a Guarantor under the Indenture and to be bound by the terms of the Indenture applicable to Guarantors, including Article 10 thereof.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Governing Law</w:t>
      </w:r>
      <w:r>
        <w:rPr>
          <w:rFonts w:ascii="Times New Roman" w:hAnsi="Times New Roman"/>
          <w:sz w:val="20"/>
        </w:rPr>
        <w:t xml:space="preserve">. THIS SUPPLEMENTAL INDENTURE WILL BE GOVERNED BY, AND CONSTRUED IN ACCORDANCE WITH,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Waiver of Jury Trial</w:t>
      </w:r>
      <w:r>
        <w:rPr>
          <w:rFonts w:ascii="Times New Roman" w:hAnsi="Times New Roman"/>
          <w:sz w:val="20"/>
        </w:rPr>
        <w:t xml:space="preserve">. EACH OF THE GUARANTEEING SUBSIDIARY, THE COMPANY AND THE TRUSTEE HEREBY IRREVOCABLY WAIVES, TO THE FULLEST EXTENT PERMITTED BY APPLICABLE LAW, ANY AND ALL RIGHT TO TRIAL BY JURY IN ANY LEGAL PROCEEDING ARISING OUT OF OR RELATING TO THIS SUPPLEMENTAL INDENTURE, THE INDENTURE, THE NOTES, THE GUARANTEES OR THE TRANSACTIONS CONTEMPLATED HEREBY OR THEREBY.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Counterparts</w:t>
      </w:r>
      <w:r>
        <w:rPr>
          <w:rFonts w:ascii="Times New Roman" w:hAnsi="Times New Roman"/>
          <w:sz w:val="20"/>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Headings</w:t>
      </w:r>
      <w:r>
        <w:rPr>
          <w:rFonts w:ascii="Times New Roman" w:hAnsi="Times New Roman"/>
          <w:sz w:val="20"/>
        </w:rPr>
        <w:t xml:space="preserve">. The headings of the Sections of this Supplemental Indenture have been inserted for convenience of reference only, are not to be considered a part of this Supplemental Indenture and shall in no way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The Trustee</w:t>
      </w:r>
      <w:r>
        <w:rPr>
          <w:rFonts w:ascii="Times New Roman" w:hAnsi="Times New Roman"/>
          <w:sz w:val="20"/>
        </w:rPr>
        <w:t xml:space="preserve">. The Trustee shall not be responsible in any manner whatsoever for or in respect of the validity or sufficiency of this Supplemental Indenture, the Guarantee of the Guaranteeing Subsidiary or for or in respect of the recitals contained herein, all of which recitals are made solely by the Company and the Guaranteeing Subsidiary. All of the provisions contained in the Indenture in respect of the rights, privileges, immunities, powers, and duties of the Trustee shall be applicable in respect of this Supplemental Indenture as fully and with like force and effect as though fully set forth in full herein.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all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5"/>
        <w:gridCol w:w="123"/>
        <w:gridCol w:w="3284"/>
      </w:tblGrid>
      <w:tr>
        <w:trPr/>
        <w:tc>
          <w:tcPr>
            <w:tcW w:w="6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GUARANTEEING SUBSIDIARY]</w:t>
            </w:r>
          </w:p>
        </w:tc>
      </w:tr>
      <w:tr>
        <w:trPr>
          <w:trHeight w:val="240" w:hRule="atLeast"/>
        </w:trPr>
        <w:tc>
          <w:tcPr>
            <w:tcW w:w="675" w:type="dxa"/>
            <w:tcBorders/>
            <w:vAlign w:val="center"/>
          </w:tcPr>
          <w:p>
            <w:pPr>
              <w:pStyle w:val="TableContents"/>
              <w:bidi w:val="0"/>
              <w:spacing w:before="0" w:after="283"/>
              <w:jc w:val="left"/>
              <w:rPr>
                <w:sz w:val="4"/>
                <w:szCs w:val="4"/>
              </w:rPr>
            </w:pPr>
            <w:r>
              <w:rPr>
                <w:sz w:val="4"/>
                <w:szCs w:val="4"/>
              </w:rPr>
            </w:r>
          </w:p>
        </w:tc>
        <w:tc>
          <w:tcPr>
            <w:tcW w:w="3407"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pBdr>
                <w:bottom w:val="single" w:sz="2" w:space="1" w:color="000000"/>
              </w:pBdr>
              <w:bidi w:val="0"/>
              <w:spacing w:before="0" w:after="20"/>
              <w:jc w:val="left"/>
              <w:rPr/>
            </w:pPr>
            <w:r>
              <w:rPr/>
              <w:t> </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Name:</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FAIR ISAAC CORPORATION</w:t>
            </w:r>
          </w:p>
        </w:tc>
      </w:tr>
      <w:tr>
        <w:trPr>
          <w:trHeight w:val="240" w:hRule="atLeast"/>
        </w:trPr>
        <w:tc>
          <w:tcPr>
            <w:tcW w:w="675" w:type="dxa"/>
            <w:tcBorders/>
            <w:vAlign w:val="center"/>
          </w:tcPr>
          <w:p>
            <w:pPr>
              <w:pStyle w:val="TableContents"/>
              <w:bidi w:val="0"/>
              <w:spacing w:before="0" w:after="283"/>
              <w:jc w:val="left"/>
              <w:rPr>
                <w:sz w:val="4"/>
                <w:szCs w:val="4"/>
              </w:rPr>
            </w:pPr>
            <w:r>
              <w:rPr>
                <w:sz w:val="4"/>
                <w:szCs w:val="4"/>
              </w:rPr>
            </w:r>
          </w:p>
        </w:tc>
        <w:tc>
          <w:tcPr>
            <w:tcW w:w="3407"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pBdr>
                <w:bottom w:val="single" w:sz="2" w:space="1" w:color="000000"/>
              </w:pBdr>
              <w:bidi w:val="0"/>
              <w:spacing w:before="0" w:after="20"/>
              <w:jc w:val="left"/>
              <w:rPr/>
            </w:pPr>
            <w:r>
              <w:rPr/>
              <w:t> </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Name:</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675" w:type="dxa"/>
            <w:tcBorders/>
            <w:vAlign w:val="center"/>
          </w:tcPr>
          <w:p>
            <w:pPr>
              <w:pStyle w:val="TableContents"/>
              <w:bidi w:val="0"/>
              <w:spacing w:before="0" w:after="283"/>
              <w:jc w:val="left"/>
              <w:rPr>
                <w:sz w:val="4"/>
                <w:szCs w:val="4"/>
              </w:rPr>
            </w:pPr>
            <w:r>
              <w:rPr>
                <w:sz w:val="4"/>
                <w:szCs w:val="4"/>
              </w:rPr>
            </w:r>
          </w:p>
        </w:tc>
        <w:tc>
          <w:tcPr>
            <w:tcW w:w="3407"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pBdr>
                <w:bottom w:val="single" w:sz="2" w:space="1" w:color="000000"/>
              </w:pBdr>
              <w:bidi w:val="0"/>
              <w:spacing w:before="0" w:after="20"/>
              <w:jc w:val="left"/>
              <w:rPr/>
            </w:pPr>
            <w:r>
              <w:rPr/>
              <w:t> </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Name:</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42189</Words>
  <Characters>213505</Characters>
  <CharactersWithSpaces>256234</CharactersWithSpaces>
  <Paragraphs>2382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