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pPr>
      <w:r>
        <w:rPr>
          <w:rFonts w:ascii="Times New Roman;sans-serif" w:hAnsi="Times New Roman;sans-serif"/>
          <w:b/>
          <w:color w:val="000000"/>
          <w:sz w:val="24"/>
        </w:rPr>
        <w:t>Washington, D.C. 20549</w:t>
      </w:r>
      <w:r>
        <w:rPr>
          <w:color w:val="000000"/>
        </w:rPr>
        <w:t xml:space="preserv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color w:val="000000"/>
        </w:rPr>
        <w:t> </w:t>
      </w: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120" w:after="283"/>
        <w:jc w:val="center"/>
        <w:rPr/>
      </w:pPr>
      <w:r>
        <w:rPr>
          <w:rFonts w:ascii="Times New Roman;sans-serif" w:hAnsi="Times New Roman;sans-serif"/>
          <w:b/>
          <w:color w:val="000000"/>
          <w:sz w:val="20"/>
        </w:rPr>
        <w:t>Commission File Number 1-11689</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Fair Isaac Corporation</w:t>
      </w:r>
    </w:p>
    <w:p>
      <w:pPr>
        <w:pStyle w:val="TextBody"/>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408" w:type="dxa"/>
        <w:jc w:val="left"/>
        <w:tblInd w:w="0" w:type="dxa"/>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94-1499887</w:t>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1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 West Mendenhall, Suite 105</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59715</w:t>
            </w:r>
          </w:p>
        </w:tc>
      </w:tr>
      <w:tr>
        <w:trPr/>
        <w:tc>
          <w:tcPr>
            <w:tcW w:w="14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Bozeman,</w:t>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20" w:after="283"/>
        <w:jc w:val="center"/>
        <w:rPr/>
      </w:pPr>
      <w:r>
        <w:rPr>
          <w:rFonts w:ascii="Times New Roman;sans-serif" w:hAnsi="Times New Roman;sans-serif"/>
          <w:b/>
          <w:color w:val="000000"/>
          <w:sz w:val="20"/>
        </w:rPr>
        <w:t xml:space="preserve">Registrant’s telephone number, including area code: 406-982-7276 </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FICO</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20" w:after="12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12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120"/>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20" w:after="120"/>
              <w:jc w:val="center"/>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120"/>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120"/>
              <w:jc w:val="center"/>
              <w:rPr>
                <w:color w:val="000000"/>
              </w:rPr>
            </w:pPr>
            <w:r>
              <w:rPr>
                <w:color w:val="000000"/>
              </w:rPr>
              <w:t>☐</w:t>
            </w:r>
          </w:p>
        </w:tc>
      </w:tr>
    </w:tbl>
    <w:p>
      <w:pPr>
        <w:pStyle w:val="TextBody"/>
        <w:spacing w:lineRule="auto" w:line="288" w:before="80" w:after="12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466" w:type="dxa"/>
        <w:jc w:val="left"/>
        <w:tblInd w:w="0" w:type="dxa"/>
        <w:tblCellMar>
          <w:top w:w="28" w:type="dxa"/>
          <w:left w:w="28" w:type="dxa"/>
          <w:bottom w:w="28" w:type="dxa"/>
          <w:right w:w="28" w:type="dxa"/>
        </w:tblCellMar>
      </w:tblPr>
      <w:tblGrid>
        <w:gridCol w:w="124"/>
        <w:gridCol w:w="109"/>
        <w:gridCol w:w="109"/>
        <w:gridCol w:w="135"/>
        <w:gridCol w:w="135"/>
        <w:gridCol w:w="136"/>
        <w:gridCol w:w="109"/>
        <w:gridCol w:w="109"/>
        <w:gridCol w:w="109"/>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120"/>
              <w:jc w:val="center"/>
              <w:rPr>
                <w:color w:val="000000"/>
              </w:rPr>
            </w:pPr>
            <w:r>
              <w:rPr>
                <w:color w:val="000000"/>
              </w:rPr>
              <w:t>☐</w:t>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20" w:after="120"/>
              <w:jc w:val="center"/>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on April 14, 2023 was 24,993,116 (excluding 63,863,667 shares held by us as treasury stock).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8547" w:type="dxa"/>
        <w:jc w:val="left"/>
        <w:tblInd w:w="0" w:type="dxa"/>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0">
              <w:r>
                <w:rPr>
                  <w:rStyle w:val="InternetLink"/>
                  <w:rFonts w:ascii="Times New Roman;sans-serif" w:hAnsi="Times New Roman;sans-serif"/>
                  <w:b/>
                  <w:color w:val="0000FF"/>
                  <w:sz w:val="20"/>
                  <w:u w:val="single"/>
                </w:rPr>
                <w:t>PART I –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6">
              <w:r>
                <w:rPr>
                  <w:rStyle w:val="InternetLink"/>
                  <w:rFonts w:ascii="Times New Roman;sans-serif" w:hAnsi="Times New Roman;sans-serif"/>
                  <w:b w:val="false"/>
                  <w:color w:val="0000FF"/>
                  <w:sz w:val="20"/>
                  <w:u w:val="single"/>
                </w:rPr>
                <w:t>Unaudited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3">
              <w:r>
                <w:rPr>
                  <w:rStyle w:val="InternetLink"/>
                  <w:rFonts w:ascii="Times New Roman;sans-serif" w:hAnsi="Times New Roman;sans-serif"/>
                  <w:b w:val="false"/>
                  <w:color w:val="0000FF"/>
                  <w:sz w:val="20"/>
                  <w:u w:val="single"/>
                </w:rPr>
                <w:t>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79">
              <w:r>
                <w:rPr>
                  <w:rStyle w:val="InternetLink"/>
                  <w:rFonts w:ascii="Times New Roman;sans-serif" w:hAnsi="Times New Roman;sans-serif"/>
                  <w:b w:val="false"/>
                  <w:color w:val="0000FF"/>
                  <w:sz w:val="20"/>
                  <w:u w:val="single"/>
                </w:rPr>
                <w:t>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09">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09">
              <w:r>
                <w:rPr>
                  <w:rStyle w:val="InternetLink"/>
                  <w:rFonts w:ascii="Times New Roman;sans-serif" w:hAnsi="Times New Roman;sans-serif"/>
                  <w:b w:val="false"/>
                  <w:color w:val="0000FF"/>
                  <w:sz w:val="20"/>
                  <w:u w:val="single"/>
                </w:rPr>
                <w:t>29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12">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12">
              <w:r>
                <w:rPr>
                  <w:rStyle w:val="InternetLink"/>
                  <w:rFonts w:ascii="Times New Roman;sans-serif" w:hAnsi="Times New Roman;sans-serif"/>
                  <w:b w:val="false"/>
                  <w:color w:val="0000FF"/>
                  <w:sz w:val="20"/>
                  <w:u w:val="single"/>
                </w:rPr>
                <w:t>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15">
              <w:r>
                <w:rPr>
                  <w:rStyle w:val="InternetLink"/>
                  <w:rFonts w:ascii="Times New Roman;sans-serif" w:hAnsi="Times New Roman;sans-serif"/>
                  <w:b/>
                  <w:color w:val="0000FF"/>
                  <w:sz w:val="20"/>
                  <w:u w:val="single"/>
                </w:rPr>
                <w:t>PART II –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18">
              <w:r>
                <w:rPr>
                  <w:rStyle w:val="InternetLink"/>
                  <w:rFonts w:ascii="Times New Roman;sans-serif" w:hAnsi="Times New Roman;sans-serif"/>
                  <w:b w:val="false"/>
                  <w:color w:val="0000FF"/>
                  <w:sz w:val="20"/>
                  <w:u w:val="single"/>
                </w:rPr>
                <w:t>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18">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21">
              <w:r>
                <w:rPr>
                  <w:rStyle w:val="InternetLink"/>
                  <w:rFonts w:ascii="Times New Roman;sans-serif" w:hAnsi="Times New Roman;sans-serif"/>
                  <w:b w:val="false"/>
                  <w:color w:val="0000FF"/>
                  <w:sz w:val="20"/>
                  <w:u w:val="single"/>
                </w:rPr>
                <w:t>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21">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24">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24">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27">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27">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30">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30">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33">
              <w:r>
                <w:rPr>
                  <w:rStyle w:val="InternetLink"/>
                  <w:rFonts w:ascii="Times New Roman;sans-serif" w:hAnsi="Times New Roman;sans-serif"/>
                  <w:b w:val="false"/>
                  <w:color w:val="0000FF"/>
                  <w:sz w:val="20"/>
                  <w:u w:val="single"/>
                </w:rPr>
                <w:t>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33">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36">
              <w:r>
                <w:rPr>
                  <w:rStyle w:val="InternetLink"/>
                  <w:rFonts w:ascii="Times New Roman;sans-serif" w:hAnsi="Times New Roman;sans-serif"/>
                  <w:b w:val="false"/>
                  <w:color w:val="0000FF"/>
                  <w:sz w:val="20"/>
                  <w:u w:val="singl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36">
              <w:r>
                <w:rPr>
                  <w:rStyle w:val="InternetLink"/>
                  <w:rFonts w:ascii="Times New Roman;sans-serif" w:hAnsi="Times New Roman;sans-serif"/>
                  <w:b w:val="false"/>
                  <w:color w:val="0000FF"/>
                  <w:sz w:val="20"/>
                  <w:u w:val="single"/>
                </w:rPr>
                <w:t>33</w:t>
              </w:r>
            </w:hyperlink>
          </w:p>
        </w:tc>
      </w:tr>
      <w:tr>
        <w:trPr/>
        <w:tc>
          <w:tcPr>
            <w:tcW w:w="817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99001ccf24f658302770100225751_139">
              <w:r>
                <w:rPr>
                  <w:rStyle w:val="InternetLink"/>
                  <w:rFonts w:ascii="Times New Roman;sans-serif" w:hAnsi="Times New Roman;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e699001ccf24f658302770100225751_139">
              <w:r>
                <w:rPr>
                  <w:rStyle w:val="InternetLink"/>
                  <w:rFonts w:ascii="Times New Roman;sans-serif" w:hAnsi="Times New Roman;sans-serif"/>
                  <w:b w:val="false"/>
                  <w:color w:val="0000FF"/>
                  <w:sz w:val="20"/>
                  <w:u w:val="single"/>
                </w:rPr>
                <w:t>34</w:t>
              </w:r>
            </w:hyperlink>
          </w:p>
        </w:tc>
      </w:tr>
    </w:tbl>
    <w:p>
      <w:pPr>
        <w:pStyle w:val="TextBody"/>
        <w:spacing w:lineRule="auto" w:line="288" w:before="0" w:after="0"/>
        <w:rPr>
          <w:color w:val="000000"/>
        </w:rPr>
      </w:pPr>
      <w:r>
        <w:rPr>
          <w:color w:val="000000"/>
        </w:rPr>
        <w:t> </w:t>
      </w:r>
    </w:p>
    <w:p>
      <w:pPr>
        <w:pStyle w:val="TextBody"/>
        <w:spacing w:before="0" w:after="0"/>
        <w:jc w:val="center"/>
        <w:rPr/>
      </w:pPr>
      <w:r>
        <w:rPr/>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Unaudited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723"/>
        <w:gridCol w:w="2229"/>
        <w:gridCol w:w="2181"/>
        <w:gridCol w:w="211"/>
        <w:gridCol w:w="976"/>
        <w:gridCol w:w="109"/>
        <w:gridCol w:w="109"/>
        <w:gridCol w:w="109"/>
        <w:gridCol w:w="109"/>
        <w:gridCol w:w="227"/>
        <w:gridCol w:w="1053"/>
        <w:gridCol w:w="169"/>
      </w:tblGrid>
      <w:tr>
        <w:trPr/>
        <w:tc>
          <w:tcPr>
            <w:tcW w:w="2723"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21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7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7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par value data)</w:t>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w:t>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322,410 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29,103</w:t>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484,715</w:t>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w:t>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761,067 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1,442,034 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1,823,669 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88,857 shares issued and 25,016 and 25,154 shares outstanding at March 31, 2023 and September 30,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1,299,588 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(63,841 and 63,703 shares at March 31, 2023 and September 30,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(4,935,769)</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2,958,684 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(801,947)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1,442,034 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9374" w:type="dxa"/>
        <w:jc w:val="center"/>
        <w:tblInd w:w="0" w:type="dxa"/>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6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791"/>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1,244,271 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1,281,270 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(77,992)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(538,299)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1,242,280 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(4,599,242)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56,755 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(75,073)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1,281,270 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1,237,348 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(3,857,855)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57,814 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(52,882)</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(757,553)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1,242,280 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(4,599,242)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805"/>
        <w:gridCol w:w="2360"/>
        <w:gridCol w:w="2375"/>
        <w:gridCol w:w="211"/>
        <w:gridCol w:w="826"/>
        <w:gridCol w:w="109"/>
        <w:gridCol w:w="109"/>
        <w:gridCol w:w="109"/>
        <w:gridCol w:w="109"/>
        <w:gridCol w:w="211"/>
        <w:gridCol w:w="826"/>
        <w:gridCol w:w="155"/>
      </w:tblGrid>
      <w:tr>
        <w:trPr/>
        <w:tc>
          <w:tcPr>
            <w:tcW w:w="2805"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sales and abandonment of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product line asset sales, net of cash transferred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line of credit and term loan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line of credit and term loan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(806,750)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senior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treasury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(760,861)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(263,162)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of $548 and $1,003 during the six-month periods ended March 31, 2023 and 2022, respectively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repurchases of common stock</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spacing w:lineRule="auto" w:line="288" w:before="12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Fair Isaac Corporation</w:t>
      </w:r>
    </w:p>
    <w:p>
      <w:pPr>
        <w:pStyle w:val="TextBody"/>
        <w:spacing w:lineRule="auto" w:line="288" w:before="120" w:after="283"/>
        <w:ind w:left="0" w:right="0" w:firstLine="360"/>
        <w:jc w:val="both"/>
        <w:rPr/>
      </w:pPr>
      <w:r>
        <w:rPr>
          <w:rFonts w:ascii="Times New Roman;sans-serif" w:hAnsi="Times New Roman;sans-serif"/>
          <w:b w:val="false"/>
          <w:color w:val="000000"/>
          <w:sz w:val="20"/>
        </w:rPr>
        <w:t>Fair Isaac Corporation (NYSE: FICO) (together with its consolidated subsidiaries, the “Company,” which may also be referred to in this report as “we,” “us,” “our,” or “FICO”) is a leading applied analytics company.</w:t>
      </w:r>
      <w:r>
        <w:rPr>
          <w:color w:val="000000"/>
        </w:rPr>
        <w:t xml:space="preserve"> </w:t>
      </w: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2022. The interim financial information contained in this report is not necessarily indicative of the results to be expected for any other interim period or for the entire fiscal year.</w:t>
      </w:r>
    </w:p>
    <w:p>
      <w:pPr>
        <w:pStyle w:val="TextBody"/>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FICO and its subsidiaries. All intercompany accounts and transactions have been eliminated.</w:t>
      </w:r>
    </w:p>
    <w:p>
      <w:pPr>
        <w:pStyle w:val="TextBody"/>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pStyle w:val="TextBody"/>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spacing w:lineRule="auto" w:line="288" w:before="18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spacing w:lineRule="auto" w:line="288" w:before="120" w:after="283"/>
        <w:ind w:left="0" w:right="0" w:firstLine="450"/>
        <w:jc w:val="both"/>
        <w:rPr/>
      </w:pPr>
      <w:r>
        <w:rPr>
          <w:rFonts w:ascii="Times New Roman;sans-serif" w:hAnsi="Times New Roman;sans-serif"/>
          <w:b w:val="false"/>
          <w:color w:val="000000"/>
          <w:sz w:val="20"/>
        </w:rPr>
        <w:t>In October 2021, the Financial Accounting Standards Board (“FASB”) issued Accounting Standards Update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w:t>
      </w:r>
      <w:r>
        <w:rPr>
          <w:rFonts w:ascii="Times New Roman;sans-serif" w:hAnsi="Times New Roman;sans-serif"/>
          <w:b w:val="false"/>
          <w:color w:val="000000"/>
          <w:sz w:val="20"/>
        </w:rPr>
        <w:t xml:space="preserve">(“ASU 2021-08”). ASU 2021-08 requires an acquirer in a business combination to recognize and measure contract assets and contract liabilities from acquired contracts using the revenue recognition guidance under 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condensed consolidated financial statements.</w:t>
      </w:r>
    </w:p>
    <w:p>
      <w:pPr>
        <w:pStyle w:val="TextBody"/>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pronouncements will have a significant effect on our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2. Fair Value Measurements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March 31, 2023 and September 30, 2022.</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March 31, 2023 and September 30, 2022.</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March 31, 2023 and September 30, 2022.</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financial assets that we measured at fair value on a recurring basis at March 31, 2023 and September 30, 2022:</w:t>
      </w:r>
    </w:p>
    <w:tbl>
      <w:tblPr>
        <w:tblW w:w="6837" w:type="dxa"/>
        <w:jc w:val="left"/>
        <w:tblInd w:w="0" w:type="dxa"/>
        <w:tblCellMar>
          <w:top w:w="28" w:type="dxa"/>
          <w:left w:w="28" w:type="dxa"/>
          <w:bottom w:w="28" w:type="dxa"/>
          <w:right w:w="28" w:type="dxa"/>
        </w:tblCellMar>
      </w:tblPr>
      <w:tblGrid>
        <w:gridCol w:w="747"/>
        <w:gridCol w:w="657"/>
        <w:gridCol w:w="665"/>
        <w:gridCol w:w="331"/>
        <w:gridCol w:w="1133"/>
        <w:gridCol w:w="172"/>
        <w:gridCol w:w="109"/>
        <w:gridCol w:w="109"/>
        <w:gridCol w:w="109"/>
        <w:gridCol w:w="543"/>
        <w:gridCol w:w="1863"/>
        <w:gridCol w:w="399"/>
      </w:tblGrid>
      <w:tr>
        <w:trPr/>
        <w:tc>
          <w:tcPr>
            <w:tcW w:w="74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1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as of </w:t>
              <w:br/>
              <w:t>March 31, 2023</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23,501 </w:t>
            </w:r>
          </w:p>
        </w:tc>
        <w:tc>
          <w:tcPr>
            <w:tcW w:w="3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29,580 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53,081 </w:t>
            </w:r>
          </w:p>
        </w:tc>
        <w:tc>
          <w:tcPr>
            <w:tcW w:w="39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1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2022</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3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43,829 </w:t>
            </w:r>
          </w:p>
        </w:tc>
        <w:tc>
          <w:tcPr>
            <w:tcW w:w="1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43,829 </w:t>
            </w:r>
          </w:p>
        </w:tc>
        <w:tc>
          <w:tcPr>
            <w:tcW w:w="3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 at March 31, 2023 and September 30, 2022. Not included in these tables are cash deposits of $114.3 million and $113.9 million at March 31, 2023 and September 30, 2022, respectively.</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March 31, 2023 and September 30, 2022.</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7 for the fair value of our senior notes.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of the fair value hierarchy during the quarters and six-month periods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March 31, 2023 and September 30, 2022:</w:t>
      </w:r>
    </w:p>
    <w:tbl>
      <w:tblPr>
        <w:tblW w:w="6034" w:type="dxa"/>
        <w:jc w:val="left"/>
        <w:tblInd w:w="0" w:type="dxa"/>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034" w:type="dxa"/>
        <w:jc w:val="left"/>
        <w:tblInd w:w="0" w:type="dxa"/>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March 31, 2023 and September 30, 2022; therefore, their fair value was $0 on each of these dates.</w:t>
      </w:r>
    </w:p>
    <w:p>
      <w:pPr>
        <w:pStyle w:val="TextBody"/>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derivative financial instruments were recorded in our condensed consolidated statements of income and comprehensive income as a component of other income (expense), net, and consisted of the following: </w:t>
      </w:r>
    </w:p>
    <w:tbl>
      <w:tblPr>
        <w:tblW w:w="8871" w:type="dxa"/>
        <w:jc w:val="left"/>
        <w:tblInd w:w="0" w:type="dxa"/>
        <w:tblCellMar>
          <w:top w:w="28" w:type="dxa"/>
          <w:left w:w="28" w:type="dxa"/>
          <w:bottom w:w="28" w:type="dxa"/>
          <w:right w:w="28" w:type="dxa"/>
        </w:tblCellMar>
      </w:tblPr>
      <w:tblGrid>
        <w:gridCol w:w="1559"/>
        <w:gridCol w:w="1368"/>
        <w:gridCol w:w="1378"/>
        <w:gridCol w:w="213"/>
        <w:gridCol w:w="471"/>
        <w:gridCol w:w="110"/>
        <w:gridCol w:w="110"/>
        <w:gridCol w:w="110"/>
        <w:gridCol w:w="110"/>
        <w:gridCol w:w="213"/>
        <w:gridCol w:w="547"/>
        <w:gridCol w:w="110"/>
        <w:gridCol w:w="109"/>
        <w:gridCol w:w="109"/>
        <w:gridCol w:w="109"/>
        <w:gridCol w:w="230"/>
        <w:gridCol w:w="671"/>
        <w:gridCol w:w="118"/>
        <w:gridCol w:w="118"/>
        <w:gridCol w:w="118"/>
        <w:gridCol w:w="118"/>
        <w:gridCol w:w="230"/>
        <w:gridCol w:w="475"/>
        <w:gridCol w:w="167"/>
      </w:tblGrid>
      <w:tr>
        <w:trPr/>
        <w:tc>
          <w:tcPr>
            <w:tcW w:w="1559"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180" w:after="30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foreign currency forward contracts</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spacing w:lineRule="auto" w:line="288" w:before="120" w:after="283"/>
        <w:ind w:left="0" w:right="0" w:firstLine="450"/>
        <w:jc w:val="both"/>
        <w:rPr/>
      </w:pPr>
      <w:r>
        <w:rPr>
          <w:rFonts w:ascii="Times New Roman;sans-serif" w:hAnsi="Times New Roman;sans-serif"/>
          <w:b w:val="false"/>
          <w:color w:val="000000"/>
          <w:sz w:val="20"/>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 income and comprehensive income. Amortization expense consisted of the following:</w:t>
      </w:r>
      <w:r>
        <w:rPr>
          <w:color w:val="000000"/>
        </w:rPr>
        <w:t> </w:t>
      </w:r>
    </w:p>
    <w:tbl>
      <w:tblPr>
        <w:tblW w:w="7684" w:type="dxa"/>
        <w:jc w:val="left"/>
        <w:tblInd w:w="0" w:type="dxa"/>
        <w:tblCellMar>
          <w:top w:w="28" w:type="dxa"/>
          <w:left w:w="28" w:type="dxa"/>
          <w:bottom w:w="28" w:type="dxa"/>
          <w:right w:w="28" w:type="dxa"/>
        </w:tblCellMar>
      </w:tblPr>
      <w:tblGrid>
        <w:gridCol w:w="1131"/>
        <w:gridCol w:w="991"/>
        <w:gridCol w:w="998"/>
        <w:gridCol w:w="221"/>
        <w:gridCol w:w="489"/>
        <w:gridCol w:w="114"/>
        <w:gridCol w:w="114"/>
        <w:gridCol w:w="114"/>
        <w:gridCol w:w="114"/>
        <w:gridCol w:w="221"/>
        <w:gridCol w:w="489"/>
        <w:gridCol w:w="114"/>
        <w:gridCol w:w="109"/>
        <w:gridCol w:w="109"/>
        <w:gridCol w:w="109"/>
        <w:gridCol w:w="226"/>
        <w:gridCol w:w="500"/>
        <w:gridCol w:w="117"/>
        <w:gridCol w:w="117"/>
        <w:gridCol w:w="117"/>
        <w:gridCol w:w="117"/>
        <w:gridCol w:w="226"/>
        <w:gridCol w:w="662"/>
        <w:gridCol w:w="165"/>
      </w:tblGrid>
      <w:tr>
        <w:trPr/>
        <w:tc>
          <w:tcPr>
            <w:tcW w:w="113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 technology</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relationships</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intangible asset amortization expense associated with intangible assets existing at March 31, 2023 was as follows:</w:t>
      </w:r>
    </w:p>
    <w:tbl>
      <w:tblPr>
        <w:tblW w:w="5819" w:type="dxa"/>
        <w:jc w:val="left"/>
        <w:tblInd w:w="0" w:type="dxa"/>
        <w:tblCellMar>
          <w:top w:w="28" w:type="dxa"/>
          <w:left w:w="28" w:type="dxa"/>
          <w:bottom w:w="28" w:type="dxa"/>
          <w:right w:w="28" w:type="dxa"/>
        </w:tblCellMar>
      </w:tblPr>
      <w:tblGrid>
        <w:gridCol w:w="1676"/>
        <w:gridCol w:w="1477"/>
        <w:gridCol w:w="1481"/>
        <w:gridCol w:w="255"/>
        <w:gridCol w:w="744"/>
        <w:gridCol w:w="186"/>
      </w:tblGrid>
      <w:tr>
        <w:trPr/>
        <w:tc>
          <w:tcPr>
            <w:tcW w:w="1676"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September 30,</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March 31, 2023)</w:t>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jc w:val="both"/>
        <w:rPr/>
      </w:pPr>
      <w:r>
        <w:rPr>
          <w:rFonts w:ascii="Times New Roman;sans-serif" w:hAnsi="Times New Roman;sans-serif"/>
          <w:b w:val="false"/>
          <w:color w:val="000000"/>
          <w:sz w:val="20"/>
        </w:rPr>
        <w:t>The following table summarizes changes to goodwill during the six months ended March 31, 2023, both in total and as allocated to our segments. We have not recognized any goodwill impairment losses to date.</w:t>
      </w:r>
      <w:r>
        <w:rPr>
          <w:color w:val="000000"/>
        </w:rPr>
        <w:t> </w:t>
      </w:r>
    </w:p>
    <w:tbl>
      <w:tblPr>
        <w:tblW w:w="7497" w:type="dxa"/>
        <w:jc w:val="left"/>
        <w:tblInd w:w="0" w:type="dxa"/>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5. Composition of Certain Financial Statement Captions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property and equipment, net and other accrued liabilities at March 31, 2023 and September 30, 2022:</w:t>
      </w:r>
    </w:p>
    <w:tbl>
      <w:tblPr>
        <w:tblW w:w="7194" w:type="dxa"/>
        <w:jc w:val="left"/>
        <w:tblInd w:w="0" w:type="dxa"/>
        <w:tblCellMar>
          <w:top w:w="28" w:type="dxa"/>
          <w:left w:w="28" w:type="dxa"/>
          <w:bottom w:w="28" w:type="dxa"/>
          <w:right w:w="28" w:type="dxa"/>
        </w:tblCellMar>
      </w:tblPr>
      <w:tblGrid>
        <w:gridCol w:w="1642"/>
        <w:gridCol w:w="1440"/>
        <w:gridCol w:w="1448"/>
        <w:gridCol w:w="211"/>
        <w:gridCol w:w="826"/>
        <w:gridCol w:w="109"/>
        <w:gridCol w:w="109"/>
        <w:gridCol w:w="109"/>
        <w:gridCol w:w="109"/>
        <w:gridCol w:w="211"/>
        <w:gridCol w:w="826"/>
        <w:gridCol w:w="154"/>
      </w:tblGrid>
      <w:tr>
        <w:trPr/>
        <w:tc>
          <w:tcPr>
            <w:tcW w:w="1642"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accrued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6. Revolving Line of Credit and Term Loan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$357.0 million in borrowings outstanding under the revolving line of credit at a weighted-average interest rate of 6.343%, and $281.3 million in outstanding balance of the term loan at an interest rate of 6.529%, of which $531.3 million was classified as a long-term liability and recorded in long-term debt within the accompanying condensed consolidated balance sheets. We were in compliance with all financial covenants under this credit agreement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7. Senior Notes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indentures for the Senior Notes contain certain covenants typical of unsecured obligations and we were in compliance as of March 31, 2023.</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face values and fair values for the Senior Notes at March 31, 2023 and September 30, 2022:</w:t>
      </w:r>
    </w:p>
    <w:tbl>
      <w:tblPr>
        <w:tblW w:w="10205" w:type="dxa"/>
        <w:jc w:val="left"/>
        <w:tblInd w:w="0" w:type="dxa"/>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Face Value (*)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1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pPr>
      <w:r>
        <w:rPr>
          <w:rFonts w:ascii="Times New Roman;sans-serif" w:hAnsi="Times New Roman;sans-serif"/>
          <w:b w:val="false"/>
          <w:color w:val="000000"/>
          <w:sz w:val="18"/>
        </w:rPr>
        <w:t xml:space="preserve">(*) </w:t>
      </w:r>
      <w:r>
        <w:rPr>
          <w:rFonts w:ascii="Times New Roman;sans-serif" w:hAnsi="Times New Roman;sans-serif"/>
          <w:b w:val="false"/>
          <w:color w:val="000000"/>
          <w:sz w:val="20"/>
        </w:rPr>
        <w:t>The carrying value of the Senior Notes was the face value reduced by the net debt issuance costs of $12.9 million and $14.3 million at March 31, 2023 and September 30,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8. Revenue from Contracts with Customers</w:t>
      </w:r>
    </w:p>
    <w:p>
      <w:pPr>
        <w:pStyle w:val="TextBody"/>
        <w:spacing w:lineRule="auto" w:line="288" w:before="120" w:after="283"/>
        <w:ind w:left="0" w:right="0" w:firstLine="25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disaggregated revenue by primary geographical market:</w:t>
      </w:r>
    </w:p>
    <w:p>
      <w:pPr>
        <w:pStyle w:val="TextBody"/>
        <w:spacing w:before="0" w:after="0"/>
        <w:ind w:left="0" w:right="0" w:firstLine="450"/>
        <w:jc w:val="both"/>
        <w:rPr/>
      </w:pPr>
      <w:r>
        <w:rPr/>
      </w:r>
    </w:p>
    <w:tbl>
      <w:tblPr>
        <w:tblW w:w="8123" w:type="dxa"/>
        <w:jc w:val="left"/>
        <w:tblInd w:w="0" w:type="dxa"/>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tbl>
      <w:tblPr>
        <w:tblW w:w="8123" w:type="dxa"/>
        <w:jc w:val="left"/>
        <w:tblInd w:w="0" w:type="dxa"/>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2022</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tbl>
      <w:tblPr>
        <w:tblW w:w="8123" w:type="dxa"/>
        <w:jc w:val="left"/>
        <w:tblInd w:w="0" w:type="dxa"/>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2023</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2022</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deployment method:</w:t>
      </w:r>
    </w:p>
    <w:tbl>
      <w:tblPr>
        <w:tblW w:w="10992" w:type="dxa"/>
        <w:jc w:val="left"/>
        <w:tblInd w:w="0" w:type="dxa"/>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6"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product features:</w:t>
      </w:r>
    </w:p>
    <w:tbl>
      <w:tblPr>
        <w:tblW w:w="11082" w:type="dxa"/>
        <w:jc w:val="left"/>
        <w:tblInd w:w="0" w:type="dxa"/>
        <w:tblCellMar>
          <w:top w:w="28" w:type="dxa"/>
          <w:left w:w="28" w:type="dxa"/>
          <w:bottom w:w="28" w:type="dxa"/>
          <w:right w:w="28" w:type="dxa"/>
        </w:tblCellMar>
      </w:tblPr>
      <w:tblGrid>
        <w:gridCol w:w="652"/>
        <w:gridCol w:w="305"/>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65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6"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software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timing of revenue recognition:</w:t>
      </w:r>
    </w:p>
    <w:tbl>
      <w:tblPr>
        <w:tblW w:w="10962" w:type="dxa"/>
        <w:jc w:val="left"/>
        <w:tblInd w:w="0" w:type="dxa"/>
        <w:tblCellMar>
          <w:top w:w="28" w:type="dxa"/>
          <w:left w:w="28" w:type="dxa"/>
          <w:bottom w:w="28" w:type="dxa"/>
          <w:right w:w="28" w:type="dxa"/>
        </w:tblCellMar>
      </w:tblPr>
      <w:tblGrid>
        <w:gridCol w:w="445"/>
        <w:gridCol w:w="325"/>
        <w:gridCol w:w="326"/>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4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6"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Software recognized at a point in time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Software recognized over contract term</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license portion of our on-premises subscription software and perpetual license, both of which are recognized when the software is made available to the customer, or at the start of the subscription.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maintenance portion and usage-based fees of our on-premises subscription software, maintenance revenue on perpetual licenses, as well as SaaS revenue.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Scores segment by distribution method:</w:t>
      </w:r>
    </w:p>
    <w:p>
      <w:pPr>
        <w:pStyle w:val="TextBody"/>
        <w:spacing w:before="0" w:after="0"/>
        <w:ind w:left="0" w:right="0" w:firstLine="450"/>
        <w:jc w:val="both"/>
        <w:rPr/>
      </w:pPr>
      <w:r>
        <w:rPr/>
      </w:r>
    </w:p>
    <w:tbl>
      <w:tblPr>
        <w:tblW w:w="11772" w:type="dxa"/>
        <w:jc w:val="left"/>
        <w:tblInd w:w="0" w:type="dxa"/>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6"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43% and 39% of our total revenues in the quarters ended March 31, 2023 and 2022, respectively, with three and two consumer reporting agencies each contributing more than 10% of our total revenues in the quarters ended March 31, 2023 and 2022, respectively. Revenues collectively generated by agreements with these customers accounted for 40% and 38% of our total revenues in the six months ended March 31, 2023 and 2022, respectively, with two consumer reporting agencies each contributing more than 10% of our total revenues in each of the six months ended March 31, 2023 and 2022.</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TextBody"/>
        <w:spacing w:lineRule="auto" w:line="288" w:before="180" w:after="200"/>
        <w:ind w:left="0" w:right="0" w:firstLine="450"/>
        <w:jc w:val="both"/>
        <w:rPr/>
      </w:pPr>
      <w:r>
        <w:rPr>
          <w:rFonts w:ascii="Times New Roman;sans-serif" w:hAnsi="Times New Roman;sans-serif"/>
          <w:b w:val="false"/>
          <w:color w:val="000000"/>
          <w:sz w:val="20"/>
        </w:rPr>
        <w:t>Receivables at March 31, 2023 and September 30, 2022 consisted of the following:</w:t>
      </w:r>
      <w:r>
        <w:rPr>
          <w:color w:val="000000"/>
        </w:rPr>
        <w:t> </w:t>
      </w:r>
    </w:p>
    <w:tbl>
      <w:tblPr>
        <w:tblW w:w="6369" w:type="dxa"/>
        <w:jc w:val="left"/>
        <w:tblInd w:w="0" w:type="dxa"/>
        <w:tblCellMar>
          <w:top w:w="28" w:type="dxa"/>
          <w:left w:w="28" w:type="dxa"/>
          <w:bottom w:w="28" w:type="dxa"/>
          <w:right w:w="28" w:type="dxa"/>
        </w:tblCellMar>
      </w:tblPr>
      <w:tblGrid>
        <w:gridCol w:w="1151"/>
        <w:gridCol w:w="1014"/>
        <w:gridCol w:w="1029"/>
        <w:gridCol w:w="232"/>
        <w:gridCol w:w="908"/>
        <w:gridCol w:w="119"/>
        <w:gridCol w:w="109"/>
        <w:gridCol w:w="109"/>
        <w:gridCol w:w="109"/>
        <w:gridCol w:w="281"/>
        <w:gridCol w:w="1103"/>
        <w:gridCol w:w="205"/>
      </w:tblGrid>
      <w:tr>
        <w:trPr/>
        <w:tc>
          <w:tcPr>
            <w:tcW w:w="1151"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203,351 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199,111 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165,386 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long-term receivables (*)</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(42,109)</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Short-term receivables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338,239 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322,410 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Short-term receivables and long-term receivables were recorded in accounts receivable, net and other assets, respectively, within the accompanying condensed consolidated balance sheets.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CellMar>
          <w:top w:w="28" w:type="dxa"/>
          <w:left w:w="28" w:type="dxa"/>
          <w:bottom w:w="28" w:type="dxa"/>
          <w:right w:w="28" w:type="dxa"/>
        </w:tblCellMar>
      </w:tblPr>
      <w:tblGrid>
        <w:gridCol w:w="3020"/>
        <w:gridCol w:w="2653"/>
        <w:gridCol w:w="2662"/>
        <w:gridCol w:w="109"/>
        <w:gridCol w:w="109"/>
        <w:gridCol w:w="109"/>
        <w:gridCol w:w="272"/>
        <w:gridCol w:w="1070"/>
        <w:gridCol w:w="201"/>
      </w:tblGrid>
      <w:tr>
        <w:trPr/>
        <w:tc>
          <w:tcPr>
            <w:tcW w:w="3020" w:type="dxa"/>
            <w:tcBorders/>
            <w:shd w:fill="auto" w:val="clear"/>
            <w:vAlign w:val="center"/>
          </w:tcPr>
          <w:p>
            <w:pPr>
              <w:pStyle w:val="TableContents"/>
              <w:spacing w:before="0" w:after="283"/>
              <w:rPr>
                <w:sz w:val="4"/>
                <w:szCs w:val="4"/>
              </w:rPr>
            </w:pPr>
            <w:r>
              <w:rPr>
                <w:sz w:val="4"/>
                <w:szCs w:val="4"/>
              </w:rPr>
            </w:r>
          </w:p>
        </w:tc>
        <w:tc>
          <w:tcPr>
            <w:tcW w:w="2653"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8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 2023</w:t>
            </w:r>
          </w:p>
        </w:tc>
      </w:tr>
      <w:tr>
        <w:trPr/>
        <w:tc>
          <w:tcPr>
            <w:tcW w:w="8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(51,360)</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Deferred revenues at March 31, 2023 included current portion of $118.3 million and long-term portion of $6.8 million that were recorded in deferred revenue and other liabilities, respectively, within the condensed consolidated balance sheets.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Usage-based revenue that will be recognized in future periods from on-premises software subscriptions;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Consumption-based variable fees from SaaS software that will be recognized in the distinct service period during which it is earned;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was $420.9 million as of March 31, 2023, approximately 50% of which we expect to recognize over the next 16 months and the remainder thereafter. Revenue allocated to remaining performance obligations was $357.4 million as of September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spacing w:lineRule="auto" w:line="288" w:before="1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26.1% and 21.2% during the quarters ended March 31, 2023 and 2022, respectively, and 22.0% and 20.2% during the six months ended March 31, 2023 and 2022,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increase in the effective tax rate for the six months ended March 31, 2023 was primarily due to a decrease in tax benefits related to the reduction of research and development credits.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enacted as part of the 2017 Tax Cuts and Jobs Act requires companies to capitalize research and experimental expenditures for tax purposes. The provision is effective for fiscal years beginning after December 31, 2021, which means that it was effective for our fiscal year beginning October 1, 2022. While this provision is not expected to have a material impact on our fiscal 2023 effective tax rate, we expect our fiscal 2023 cash tax payments and related deferred tax asset positions to increase significantly compared to fiscal 2022.</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tax benefit for uncertain tax positions was estimated to be $13.0 million at each of March 31, 2023 and September 30, 2022. We recognize interest expense related to unrecognized tax benefits and penalties as part of the provision for income taxes in our condensed consolidated statements of income and comprehensive income. We accrued interest of $0.8 million and $0.5 million related to unrecognized tax benefits as of March 31, 2023 and September 30,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spacing w:lineRule="auto" w:line="288" w:before="120" w:after="283"/>
        <w:ind w:left="0" w:right="0" w:firstLine="495"/>
        <w:jc w:val="both"/>
        <w:rPr/>
      </w:pPr>
      <w:r>
        <w:rPr>
          <w:rFonts w:ascii="Times New Roman;sans-serif" w:hAnsi="Times New Roman;sans-serif"/>
          <w:b w:val="false"/>
          <w:color w:val="000000"/>
          <w:sz w:val="20"/>
        </w:rPr>
        <w:t>The following table presents reconciliations for the numerators and denominators of basic and diluted earnings per share (“EPS”) for the quarters and six-month periods ended March 31, 2023 and 2022:</w:t>
      </w:r>
      <w:r>
        <w:rPr>
          <w:color w:val="000000"/>
        </w:rPr>
        <w:t> </w:t>
      </w:r>
    </w:p>
    <w:tbl>
      <w:tblPr>
        <w:tblW w:w="9854" w:type="dxa"/>
        <w:jc w:val="left"/>
        <w:tblInd w:w="0" w:type="dxa"/>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6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share-based awards excluded from the calculations of diluted EPS were immaterial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11. Segment Information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spacing w:lineRule="auto" w:line="288" w:before="180" w:after="283"/>
        <w:ind w:left="0" w:right="0" w:hanging="360"/>
        <w:jc w:val="both"/>
        <w:rPr/>
      </w:pPr>
      <w:r>
        <w:rPr>
          <w:color w:val="000000"/>
        </w:rPr>
        <w:t>•</w:t>
      </w:r>
      <w:r>
        <w:rPr>
          <w:rFonts w:ascii="Times New Roman;sans-serif" w:hAnsi="Times New Roman;sans-serif"/>
          <w:b w:val="false"/>
          <w:i/>
          <w:color w:val="000000"/>
          <w:sz w:val="20"/>
        </w:rPr>
        <w:t>Scores.</w:t>
      </w:r>
      <w:r>
        <w:rPr>
          <w:color w:val="000000"/>
        </w:rPr>
        <w:t xml:space="preserve"> </w:t>
      </w:r>
      <w:r>
        <w:rPr>
          <w:rFonts w:ascii="Times New Roman;sans-serif" w:hAnsi="Times New Roman;sans-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Software</w:t>
      </w:r>
      <w:r>
        <w:rPr>
          <w:rFonts w:ascii="Times New Roman;sans-serif" w:hAnsi="Times New Roman;sans-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recast certain prior period amounts within this note to conform to the way we internally managed and monitored segment performance during the current fiscal year, reflecting immaterial movements of business activities between segments and changes in cost allocations.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segment information for the quarters and six-month periods ended March 31, 2023 and 2022:</w:t>
      </w:r>
    </w:p>
    <w:tbl>
      <w:tblPr>
        <w:tblW w:w="9570" w:type="dxa"/>
        <w:jc w:val="left"/>
        <w:tblInd w:w="0" w:type="dxa"/>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tbl>
      <w:tblPr>
        <w:tblW w:w="9570" w:type="dxa"/>
        <w:jc w:val="left"/>
        <w:tblInd w:w="0" w:type="dxa"/>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2022</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expense, net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9570" w:type="dxa"/>
        <w:jc w:val="left"/>
        <w:tblInd w:w="0" w:type="dxa"/>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2023</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tbl>
      <w:tblPr>
        <w:tblW w:w="9570" w:type="dxa"/>
        <w:jc w:val="center"/>
        <w:tblInd w:w="0" w:type="dxa"/>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2022</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expense, net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12. Contingencies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283"/>
        <w:ind w:left="0" w:right="0" w:firstLine="495"/>
        <w:jc w:val="both"/>
        <w:rPr/>
      </w:pPr>
      <w:r>
        <w:rPr>
          <w:rFonts w:ascii="Times New Roman;sans-serif" w:hAnsi="Times New Roman;sans-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of our Annual Report on Form 10-K for the fiscal year ended September 30, 2022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495"/>
        <w:jc w:val="both"/>
        <w:rPr/>
      </w:pP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spacing w:lineRule="auto" w:line="288" w:before="180" w:after="283"/>
        <w:ind w:left="0" w:right="0" w:firstLine="450"/>
        <w:jc w:val="both"/>
        <w:rPr/>
      </w:pPr>
      <w:r>
        <w:rPr>
          <w:rFonts w:ascii="Times New Roman;sans-serif" w:hAnsi="Times New Roman;sans-serif"/>
          <w:b w:val="false"/>
          <w:color w:val="000000"/>
          <w:sz w:val="20"/>
        </w:rPr>
        <w:t>Our business consists of two operating segments: Scores and Software.</w:t>
      </w:r>
      <w:r>
        <w:rPr>
          <w:color w:val="000000"/>
        </w:rPr>
        <w:t xml:space="preserve">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spacing w:lineRule="auto" w:line="288" w:before="180" w:after="283"/>
        <w:ind w:left="0" w:right="0" w:firstLine="450"/>
        <w:jc w:val="both"/>
        <w:rPr/>
      </w:pPr>
      <w:r>
        <w:rPr>
          <w:rFonts w:ascii="Times New Roman;sans-serif" w:hAnsi="Times New Roman;sans-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 xml:space="preserve">Highlights from the quarter and six months ended March 31, 2023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was $380.3 million during the quarter ended March 31, 2023, a 6% increase from the quarter ended March 31, 2022, and $725.1 million during the six months ended March 31, 2023, a 7% increase from the six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for our Scores segment was $198.5 million during the quarter ended March 31, 2023, an 8% increase from the quarter ended March 31, 2022, and $376.5 million during the six months ended March 31, 2023, a 7% increase from the six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Annual Recurring Revenue for our Software segment as of March 31, 2023 was $613.5 million, a 17% increase from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Dollar-Based Net Retention Rate for our Software segment was 114% during the quarter ended March 31, 2023.</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income was $159.8 million during the quarter ended March 31, 2023, a 5% increase from the quarter ended March 31, 2022, and $300.1 million during the six months ended March 31, 2023, a 12% increase from the six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was $101.6 million during the quarter ended March 31, 2023, a 3% decrease from the quarter ended March 31, 2022, and $199.2 million during the six months ended March 31, 2023, a 5% increase from the six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Diluted EPS was $4.00 during the quarter ended March 31, 2023, a 1% increase from the quarter ended March 31, 2022, and $7.83 during the six months ended March 31, 2023, a 12% increase from the six months ended March 31, 2022.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Cash flows from operating activities were $182.2 million during the six months ended March 31, 2023, compared with $247.5 million during the six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Cash and cash equivalents were $137.8 million as of March 31, 2023, compared with $133.2 million as of September 30,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debt balance was $1.9 billion as of March 31, 2023 and September 30,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share repurchases during the quarter ended March 31, 2023 were $116.3 million, compared with $264.0 million during the quarter ended March 31, 2022, and during the six months ended March 31, 2023 were $191.3 million, compared with $757.6 million during the six months ended March 31, 2022.</w:t>
      </w:r>
    </w:p>
    <w:p>
      <w:pPr>
        <w:pStyle w:val="TextBody"/>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Key performance metrics for Software segment</w:t>
      </w:r>
    </w:p>
    <w:p>
      <w:pPr>
        <w:pStyle w:val="TextBody"/>
        <w:spacing w:lineRule="auto" w:line="288" w:before="12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Contract Value Bookings (“ACV Bookings”)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regards ACV Bookings as an important indicator of future revenues, but they are not comparable to, nor are they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disclose estimated revenue expected to be recognized in the future related to remaining performance obligations in Note 8 to the accompanying condensed consolidated financial statements. However, we believe ACV Bookings is a more meaningful measure of our business as it includes estimated revenues and future billings excluded from Note 8, such as usage-based fees and guaranteed minimums derived from our on-premises software licenses, among others.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ACV Bookings during the periods indicated:</w:t>
      </w:r>
    </w:p>
    <w:tbl>
      <w:tblPr>
        <w:tblW w:w="7849" w:type="dxa"/>
        <w:jc w:val="left"/>
        <w:tblInd w:w="0" w:type="dxa"/>
        <w:tblCellMar>
          <w:top w:w="28" w:type="dxa"/>
          <w:left w:w="28" w:type="dxa"/>
          <w:bottom w:w="28" w:type="dxa"/>
          <w:right w:w="28" w:type="dxa"/>
        </w:tblCellMar>
      </w:tblPr>
      <w:tblGrid>
        <w:gridCol w:w="1190"/>
        <w:gridCol w:w="1046"/>
        <w:gridCol w:w="1049"/>
        <w:gridCol w:w="211"/>
        <w:gridCol w:w="512"/>
        <w:gridCol w:w="109"/>
        <w:gridCol w:w="109"/>
        <w:gridCol w:w="109"/>
        <w:gridCol w:w="109"/>
        <w:gridCol w:w="211"/>
        <w:gridCol w:w="512"/>
        <w:gridCol w:w="109"/>
        <w:gridCol w:w="109"/>
        <w:gridCol w:w="109"/>
        <w:gridCol w:w="109"/>
        <w:gridCol w:w="233"/>
        <w:gridCol w:w="565"/>
        <w:gridCol w:w="120"/>
        <w:gridCol w:w="120"/>
        <w:gridCol w:w="120"/>
        <w:gridCol w:w="120"/>
        <w:gridCol w:w="233"/>
        <w:gridCol w:w="565"/>
        <w:gridCol w:w="170"/>
      </w:tblGrid>
      <w:tr>
        <w:trPr/>
        <w:tc>
          <w:tcPr>
            <w:tcW w:w="119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on-premises and SaaS software </w:t>
            </w:r>
            <w:r>
              <w:rPr>
                <w:rFonts w:ascii="Times New Roman;sans-serif" w:hAnsi="Times New Roman;sans-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amounts above exclude this product line for all periods presented.</w:t>
      </w:r>
    </w:p>
    <w:p>
      <w:pPr>
        <w:pStyle w:val="TextBody"/>
        <w:spacing w:lineRule="auto" w:line="288" w:before="24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spacing w:lineRule="auto" w:line="288" w:before="120" w:after="283"/>
        <w:ind w:left="0" w:right="0" w:firstLine="495"/>
        <w:jc w:val="both"/>
        <w:rPr/>
      </w:pPr>
      <w:r>
        <w:rPr>
          <w:rFonts w:ascii="Times New Roman;sans-serif" w:hAnsi="Times New Roman;sans-serif"/>
          <w:b w:val="false"/>
          <w:color w:val="000000"/>
          <w:sz w:val="20"/>
        </w:rPr>
        <w:t xml:space="preserve">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ans-serif" w:hAnsi="Times New Roman;sans-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ans-serif" w:hAnsi="Times New Roman;sans-serif"/>
          <w:b w:val="false"/>
          <w:color w:val="000000"/>
          <w:sz w:val="20"/>
        </w:rPr>
        <w:t>We calculate ARR as the quarterly recurring revenue run-rate multiplied by four.</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ARR for on-premises and SaaS software at each of the dates presented:</w:t>
      </w:r>
    </w:p>
    <w:tbl>
      <w:tblPr>
        <w:tblW w:w="10470" w:type="dxa"/>
        <w:jc w:val="left"/>
        <w:tblInd w:w="0" w:type="dxa"/>
        <w:tblCellMar>
          <w:top w:w="28" w:type="dxa"/>
          <w:left w:w="28" w:type="dxa"/>
          <w:bottom w:w="28" w:type="dxa"/>
          <w:right w:w="28" w:type="dxa"/>
        </w:tblCellMar>
      </w:tblPr>
      <w:tblGrid>
        <w:gridCol w:w="460"/>
        <w:gridCol w:w="404"/>
        <w:gridCol w:w="412"/>
        <w:gridCol w:w="263"/>
        <w:gridCol w:w="203"/>
        <w:gridCol w:w="409"/>
        <w:gridCol w:w="109"/>
        <w:gridCol w:w="109"/>
        <w:gridCol w:w="109"/>
        <w:gridCol w:w="310"/>
        <w:gridCol w:w="170"/>
        <w:gridCol w:w="401"/>
        <w:gridCol w:w="109"/>
        <w:gridCol w:w="109"/>
        <w:gridCol w:w="109"/>
        <w:gridCol w:w="294"/>
        <w:gridCol w:w="191"/>
        <w:gridCol w:w="380"/>
        <w:gridCol w:w="109"/>
        <w:gridCol w:w="109"/>
        <w:gridCol w:w="109"/>
        <w:gridCol w:w="234"/>
        <w:gridCol w:w="232"/>
        <w:gridCol w:w="339"/>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243"/>
        <w:gridCol w:w="223"/>
        <w:gridCol w:w="393"/>
      </w:tblGrid>
      <w:tr>
        <w:trPr/>
        <w:tc>
          <w:tcPr>
            <w:tcW w:w="46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ARR </w:t>
            </w:r>
            <w:r>
              <w:rPr>
                <w:rFonts w:ascii="Times New Roman;sans-serif" w:hAnsi="Times New Roman;sans-serif"/>
                <w:b/>
                <w:color w:val="000000"/>
                <w:sz w:val="13"/>
              </w:rPr>
              <w:t>(*)</w:t>
            </w:r>
          </w:p>
        </w:tc>
        <w:tc>
          <w:tcPr>
            <w:tcW w:w="9194"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Platform</w:t>
            </w:r>
            <w:r>
              <w:rPr>
                <w:color w:val="000000"/>
              </w:rPr>
              <w:t xml:space="preserve"> </w:t>
            </w:r>
            <w:r>
              <w:rPr>
                <w:rFonts w:ascii="Times New Roman;sans-serif" w:hAnsi="Times New Roman;sans-serif"/>
                <w:b/>
                <w:color w:val="000000"/>
                <w:sz w:val="13"/>
              </w:rPr>
              <w:t>(**)</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8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r>
      <w:tr>
        <w:trPr/>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w:t>
            </w:r>
          </w:p>
        </w:tc>
        <w:tc>
          <w:tcPr>
            <w:tcW w:w="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YoY Change</w:t>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amounts and percentages above exclude this product line at all dates presented.</w:t>
      </w:r>
    </w:p>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Dollar-Based Net Retention Rate (“DBNRR”)</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spacing w:lineRule="auto" w:line="288" w:before="180" w:after="283"/>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DBNRR for on-premises and SaaS software for each of the periods presented:</w:t>
      </w:r>
    </w:p>
    <w:tbl>
      <w:tblPr>
        <w:tblW w:w="10432" w:type="dxa"/>
        <w:jc w:val="left"/>
        <w:tblInd w:w="0" w:type="dxa"/>
        <w:tblCellMar>
          <w:top w:w="28" w:type="dxa"/>
          <w:left w:w="28" w:type="dxa"/>
          <w:bottom w:w="28" w:type="dxa"/>
          <w:right w:w="28" w:type="dxa"/>
        </w:tblCellMar>
      </w:tblPr>
      <w:tblGrid>
        <w:gridCol w:w="522"/>
        <w:gridCol w:w="385"/>
        <w:gridCol w:w="369"/>
        <w:gridCol w:w="233"/>
        <w:gridCol w:w="233"/>
        <w:gridCol w:w="271"/>
        <w:gridCol w:w="109"/>
        <w:gridCol w:w="109"/>
        <w:gridCol w:w="109"/>
        <w:gridCol w:w="272"/>
        <w:gridCol w:w="194"/>
        <w:gridCol w:w="483"/>
        <w:gridCol w:w="109"/>
        <w:gridCol w:w="109"/>
        <w:gridCol w:w="109"/>
        <w:gridCol w:w="282"/>
        <w:gridCol w:w="184"/>
        <w:gridCol w:w="458"/>
        <w:gridCol w:w="109"/>
        <w:gridCol w:w="109"/>
        <w:gridCol w:w="109"/>
        <w:gridCol w:w="279"/>
        <w:gridCol w:w="187"/>
        <w:gridCol w:w="326"/>
        <w:gridCol w:w="109"/>
        <w:gridCol w:w="109"/>
        <w:gridCol w:w="109"/>
        <w:gridCol w:w="233"/>
        <w:gridCol w:w="233"/>
        <w:gridCol w:w="285"/>
        <w:gridCol w:w="109"/>
        <w:gridCol w:w="109"/>
        <w:gridCol w:w="109"/>
        <w:gridCol w:w="272"/>
        <w:gridCol w:w="194"/>
        <w:gridCol w:w="483"/>
        <w:gridCol w:w="109"/>
        <w:gridCol w:w="109"/>
        <w:gridCol w:w="109"/>
        <w:gridCol w:w="282"/>
        <w:gridCol w:w="184"/>
        <w:gridCol w:w="458"/>
        <w:gridCol w:w="109"/>
        <w:gridCol w:w="109"/>
        <w:gridCol w:w="109"/>
        <w:gridCol w:w="264"/>
        <w:gridCol w:w="202"/>
        <w:gridCol w:w="375"/>
      </w:tblGrid>
      <w:tr>
        <w:trPr/>
        <w:tc>
          <w:tcPr>
            <w:tcW w:w="52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20"/>
              </w:rPr>
              <w:t xml:space="preserve">DBNRR </w:t>
            </w:r>
            <w:r>
              <w:rPr>
                <w:rFonts w:ascii="Times New Roman;sans-serif" w:hAnsi="Times New Roman;sans-serif"/>
                <w:b/>
                <w:color w:val="000000"/>
                <w:sz w:val="13"/>
              </w:rPr>
              <w:t>(*)</w:t>
            </w:r>
          </w:p>
        </w:tc>
        <w:tc>
          <w:tcPr>
            <w:tcW w:w="6737" w:type="dxa"/>
            <w:gridSpan w:val="3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percentages above exclude this product line for all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ind w:left="0" w:right="0" w:firstLine="720"/>
        <w:jc w:val="both"/>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revenues, operating income, and related financial information, including disaggregation of revenue, are set forth in Note 8 and Note 11 to the accompanying condensed consolidated financial statements.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revenues for the quarters and six-month periods ended March 31, 2023 and 2022:</w:t>
      </w:r>
    </w:p>
    <w:tbl>
      <w:tblPr>
        <w:tblW w:w="10076" w:type="dxa"/>
        <w:jc w:val="left"/>
        <w:tblInd w:w="0" w:type="dxa"/>
        <w:tblCellMar>
          <w:top w:w="28" w:type="dxa"/>
          <w:left w:w="28" w:type="dxa"/>
          <w:bottom w:w="28" w:type="dxa"/>
          <w:right w:w="28" w:type="dxa"/>
        </w:tblCellMar>
      </w:tblPr>
      <w:tblGrid>
        <w:gridCol w:w="298"/>
        <w:gridCol w:w="262"/>
        <w:gridCol w:w="266"/>
        <w:gridCol w:w="211"/>
        <w:gridCol w:w="826"/>
        <w:gridCol w:w="109"/>
        <w:gridCol w:w="109"/>
        <w:gridCol w:w="109"/>
        <w:gridCol w:w="109"/>
        <w:gridCol w:w="211"/>
        <w:gridCol w:w="826"/>
        <w:gridCol w:w="109"/>
        <w:gridCol w:w="109"/>
        <w:gridCol w:w="109"/>
        <w:gridCol w:w="109"/>
        <w:gridCol w:w="232"/>
        <w:gridCol w:w="234"/>
        <w:gridCol w:w="380"/>
        <w:gridCol w:w="152"/>
        <w:gridCol w:w="152"/>
        <w:gridCol w:w="152"/>
        <w:gridCol w:w="232"/>
        <w:gridCol w:w="234"/>
        <w:gridCol w:w="387"/>
        <w:gridCol w:w="109"/>
        <w:gridCol w:w="109"/>
        <w:gridCol w:w="109"/>
        <w:gridCol w:w="391"/>
        <w:gridCol w:w="1340"/>
        <w:gridCol w:w="204"/>
        <w:gridCol w:w="109"/>
        <w:gridCol w:w="109"/>
        <w:gridCol w:w="109"/>
        <w:gridCol w:w="317"/>
        <w:gridCol w:w="317"/>
        <w:gridCol w:w="926"/>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5" w:type="dxa"/>
            <w:gridSpan w:val="9"/>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23,266 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45,580 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100" w:after="283"/>
        <w:rPr/>
      </w:pPr>
      <w:r>
        <w:rPr/>
      </w:r>
    </w:p>
    <w:p>
      <w:pPr>
        <w:pStyle w:val="TextBody"/>
        <w:spacing w:before="100" w:after="283"/>
        <w:rPr/>
      </w:pPr>
      <w:r>
        <w:rPr/>
      </w:r>
    </w:p>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color w:val="000000"/>
          <w:sz w:val="20"/>
        </w:rPr>
      </w:pPr>
      <w:r>
        <w:rPr>
          <w:rFonts w:ascii="Times New Roman;sans-serif" w:hAnsi="Times New Roman;sans-serif"/>
          <w:b/>
          <w:color w:val="000000"/>
          <w:sz w:val="20"/>
        </w:rPr>
        <w:t>Quarter Ended March 31, 2023 Compared to Quarter Ended March 31, 2022</w:t>
      </w:r>
    </w:p>
    <w:p>
      <w:pPr>
        <w:pStyle w:val="TextBody"/>
        <w:spacing w:lineRule="auto" w:line="288" w:before="24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$14.8 million due to an increase of $19.6 million in our business-to-business scores revenue, partially offset by a decrease of $4.8 million in our business-to-consumer revenue. The increase in business-to-business scores revenue was primarily attributable to a higher unit price, partially offset by a decrease in volume in mortgage originations. The decrease in business-to-consumer revenue was primarily attributable to a decrease in direct sales generated from the myFICO.com website.</w:t>
      </w:r>
    </w:p>
    <w:p>
      <w:pPr>
        <w:pStyle w:val="TextBody"/>
        <w:spacing w:lineRule="auto" w:line="288" w:before="30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436"/>
        <w:gridCol w:w="1273"/>
        <w:gridCol w:w="226"/>
        <w:gridCol w:w="109"/>
        <w:gridCol w:w="109"/>
        <w:gridCol w:w="109"/>
        <w:gridCol w:w="317"/>
        <w:gridCol w:w="317"/>
        <w:gridCol w:w="925"/>
      </w:tblGrid>
      <w:tr>
        <w:trPr/>
        <w:tc>
          <w:tcPr>
            <w:tcW w:w="95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$8.3 million due to a $5.5 million increase in our on-premises and SaaS software revenue and a $2.8 million increase in services revenue. The increase in our on-premises and SaaS software revenue was primarily attributable to an increase in over-time recognition largely driven by SaaS growth, partially offset by a decrease in point-in-time recognition mainly due to a large license deal entered into during the quarter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300" w:after="283"/>
        <w:rPr>
          <w:rFonts w:ascii="Times New Roman;sans-serif" w:hAnsi="Times New Roman;sans-serif"/>
          <w:b/>
          <w:color w:val="000000"/>
          <w:sz w:val="20"/>
        </w:rPr>
      </w:pPr>
      <w:r>
        <w:rPr>
          <w:rFonts w:ascii="Times New Roman;sans-serif" w:hAnsi="Times New Roman;sans-serif"/>
          <w:b/>
          <w:color w:val="000000"/>
          <w:sz w:val="20"/>
        </w:rPr>
        <w:t xml:space="preserve">Six Months Ended March 31, 2023 Compared to Six Months Ended March 31, 2022 </w:t>
      </w:r>
    </w:p>
    <w:p>
      <w:pPr>
        <w:pStyle w:val="TextBody"/>
        <w:spacing w:lineRule="auto" w:line="288" w:before="12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$23.3 million due to an increase of $31.6 million in our business-to-business scores revenue, partially offset by a decrease of $8.3 million in our business-to-consumer revenue. The increase in business-to-business scores revenue was primarily attributable to a higher unit price, partially offset by a decrease in volume in mortgage originations. The decrease in business-to-consumer revenue was primarily attributable to a decrease in direct sales generated from the myFICO.com website.</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23,718 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$22.3 million due to a $23.7 million increase in our on-premises and SaaS software revenue, partially offset by a $1.4 million decrease in services revenue. The increase in our on-premises and SaaS software revenue was primarily attributable to an increase in over-time recognition largely driven by SaaS growth, partially offset by a decrease in point-in-time recognition mainly due to a large license deal entered into during the six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Operating Expenses and Other Income (Expense), Net</w:t>
      </w:r>
    </w:p>
    <w:p>
      <w:pPr>
        <w:pStyle w:val="TextBody"/>
        <w:spacing w:lineRule="auto" w:line="288" w:before="12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related to our condensed consolidated statements of income and comprehensive income for the quarters and six-month periods ended March 31, 2023 and 2022:</w:t>
      </w:r>
    </w:p>
    <w:tbl>
      <w:tblPr>
        <w:tblW w:w="10205" w:type="dxa"/>
        <w:jc w:val="left"/>
        <w:tblInd w:w="0" w:type="dxa"/>
        <w:tblCellMar>
          <w:top w:w="28" w:type="dxa"/>
          <w:left w:w="28" w:type="dxa"/>
          <w:bottom w:w="28" w:type="dxa"/>
          <w:right w:w="28" w:type="dxa"/>
        </w:tblCellMar>
      </w:tblPr>
      <w:tblGrid>
        <w:gridCol w:w="804"/>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3"/>
        <w:gridCol w:w="1035"/>
        <w:gridCol w:w="157"/>
        <w:gridCol w:w="109"/>
        <w:gridCol w:w="109"/>
        <w:gridCol w:w="109"/>
        <w:gridCol w:w="293"/>
        <w:gridCol w:w="228"/>
        <w:gridCol w:w="668"/>
      </w:tblGrid>
      <w:tr>
        <w:trPr/>
        <w:tc>
          <w:tcPr>
            <w:tcW w:w="80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w:t>
              <w:br/>
              <w:t>employees)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employees)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quarter end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800"/>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03"/>
        <w:gridCol w:w="1040"/>
        <w:gridCol w:w="158"/>
        <w:gridCol w:w="109"/>
        <w:gridCol w:w="109"/>
        <w:gridCol w:w="109"/>
        <w:gridCol w:w="294"/>
        <w:gridCol w:w="230"/>
        <w:gridCol w:w="673"/>
      </w:tblGrid>
      <w:tr>
        <w:trPr/>
        <w:tc>
          <w:tcPr>
            <w:tcW w:w="80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spacing w:lineRule="auto" w:line="288" w:before="180" w:after="283"/>
        <w:ind w:left="0" w:right="0" w:firstLine="495"/>
        <w:jc w:val="both"/>
        <w:rPr/>
      </w:pPr>
      <w:r>
        <w:rPr>
          <w:rFonts w:ascii="Times New Roman;sans-serif" w:hAnsi="Times New Roman;sans-serif"/>
          <w:b w:val="false"/>
          <w:color w:val="000000"/>
          <w:sz w:val="20"/>
        </w:rPr>
        <w:t>The quarter-over-prior year quarter increase in cost of revenues of $8.0 million was primarily attributable to an $8.5 million increase in personnel and labor costs, partially offset by a $1.8 million decrease in direct materials costs. The increase in personnel and labor costs was primarily attributable to increases in employee time allocated to cost of revenues, increased incentive expense and headcount. The decrease in direct materials costs was primarily attributable to a decrease in telecommunications costs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Customer Communications Services revenue and a decrease in credit bureau data costs associated with decreased business-to-consumer scoring solutions revenue through the myFICO.com website. Cost of revenues as a percentage of revenues increased to 21% during the quarter ended March 31, 2023 from 20% during the quarter ended March 31, 2022, primarily due to an increase in personnel and labor costs.</w:t>
      </w:r>
    </w:p>
    <w:p>
      <w:pPr>
        <w:pStyle w:val="TextBody"/>
        <w:spacing w:lineRule="auto" w:line="288" w:before="180" w:after="283"/>
        <w:ind w:left="0" w:right="0" w:firstLine="495"/>
        <w:jc w:val="both"/>
        <w:rPr/>
      </w:pPr>
      <w:r>
        <w:rPr>
          <w:rFonts w:ascii="Times New Roman;sans-serif" w:hAnsi="Times New Roman;sans-serif"/>
          <w:b w:val="false"/>
          <w:color w:val="000000"/>
          <w:sz w:val="20"/>
        </w:rPr>
        <w:t>The year-to-date period over period increase in cost of revenues of $15.4 million was primarily attributable to a $17.7 million increase in personnel and labor costs and a $0.8 million increase in travel costs, partially offset by a $4.0 million decrease in direct materials costs. The increase in personnel and labor costs was primarily attributable to increases in employee time allocated to cost of revenues, increased incentive expense, and headcount. The increase in travel costs was primarily attributable to relaxed COVID-19 related restrictions. The decrease in direct materials costs was primarily attributable to a decrease in telecommunications costs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Customer Communications Services revenue and a decrease in credit bureau data costs associated with decreased business-to-consumer scoring solutions revenue through the myFICO.com website. Cost of revenues as a percentage of revenues remained consistent at 21% during the six months ended March 31, 2023 and 2022. </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research and development expenses of $3.9 million was primarily attributable to a $2.8 million increase in personnel and labor costs as a result of increased incentive expense and increases in time allocated to research and development activities, and a $0.9 million increase in infrastructure costs primarily attributable to increased third-party cloud computing costs. Research and development expenses as a percentage of revenues increased to 11% during the quarter ended March 31, 2023 from 10% during the quarter ended March 31, 2022.</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 over period increase in research and development expenses of $1.5 million was primarily attributable to a $1.4 million increase in infrastructure costs primarily attributable to increased third-party cloud computing and SaaS costs. Research and development expenses as a percentage of revenues remained consistent at 11% during the six months ended March 31, 2023 and 2022.</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selling, general and administrative expenses of $3.7 million was primarily attributable to a $3.3 million increase in marketing and business development costs, a $2.6 million increase in outside services, and a $1.0 million increase in travel costs, partially offset by a $2.0 million decrease in infrastructure costs and a $1.2 million decrease in personnel and labor costs. The increases in marketing, business development and travel costs were primarily driven by increased corporate events, as certain COVID-19 related restrictions have been relaxed, and increased advertising and promotional expenses. The increase in outside services was primarily attributable to increased legal and third-party consulting expenses. The decrease in infrastructure costs was primarily the result of a decrease in software royalty fees and maintenance. The decrease in personnel and labor costs was primarily a result of decreases in employee time allocated to these expenses, decreased share-based compensation, and decreased non-capitalizable commission costs, partially offset by increased fringe benefit costs related to our supplemental retirement and savings plan. Selling, general and administrative expenses as a percentage of revenues decreased to 26% during the quarter ended March 31, 2023 from 27% during the quarter ended March 31, 2022.</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 over period decrease in selling, general and administrative expenses of $1.3 million was primarily attributable to a $6.7 million decrease in personnel and labor costs and a $4.7 million decrease in facilities and infrastructure costs, partially offset by a $5.5 million increase in marketing and business development costs, a $2.6 million increase in travel costs and a $2.2 million increase in outside services. The decrease in personnel and labor costs was primarily a result of decreases in employee time allocated to these expenses, decreased share-based compensation, decreased non-capitalizable commission costs and decreased headcount, partially offset by increased fringe benefit costs related to our supplemental retirement and savings plan. The decrease in facilities and infrastructure costs was primarily attributable to a decrease in software royalty fees and maintenance, and a favorable adjustment from the termination of an office lease related to our consolidation of office space. The increases in marketing, business development and travel costs were primarily driven by increased corporate events, as certain COVID-19 related restrictions have been relaxed, and increased advertising and other promotional expenses. The increase in outside services was primarily attributable to increased legal and third-party consulting expenses. Selling, general and administrative expenses as a percentage of revenues decreased to 27% during the six months ended March 31, 2023 from 29% during the six months ended March 31, 2022.</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periods ranging from five to ten years.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$0.3 million during the quarter ended March 31, 2023 compared to $0.5 million during the quarter ended March 31, 2022.</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$0.6 million during the six months ended March 31, 2023 compared to $1.1 million during the six months ended March 31, 2022.</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Gain on Product Line Asset Sale</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gain on product line asset sale during the six months ended March 31, 2023 was attributable to the sale of certain assets related to our Siron compliance business in the quarter ended December 31, 2022.</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interest on the senior notes issued in December 2021, December 2019 and May 2018, as well as interest and credit agreement fees on the revolving line of credit and term loan. On our condensed consolidated statements of income and comprehensive income, interest expense is netted with interest income, which is derived primarily from the investment of funds in excess of our immediate operating requirements.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interest expense of $6.7 million was primarily attributable to a higher average outstanding debt balance, as well as a higher average interest rate on our revolving line of credit and term loan during the quarter ended March 31, 2023.</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 over period increase in interest expense of $17.3 million was primarily attributable to a higher average outstanding debt balance, as well as a higher average interest rate on our revolving line of credit and term loan during the six months ended March 31, 2023.</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quarter-over-quarter change in other income (expense), net of $4.0 million, from $2.4 million in other expense, net to $1.6 million in other income, net, was primarily attributable to net unrealized gains on investments classified as trading securities in our supplemental retirement and savings plan in the current year period compared to losses in the prior year period, partially offset by an increase in foreign currency exchange losses.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year-to-date period over period change in other income (expense), net of $2.9 million, from $0.9 million in other expense, net to $2.0 million in other income, net, was primarily attributable to net unrealized gains on investments classified as trading securities in our supplemental retirement and savings plan in the current year period compared to losses in the prior year period, partially offset by an increase in foreign currency exchange losses. </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26.1% and 21.2% during the quarters ended March 31, 2023 and 2022, respectively, and 22.0% and 20.2% during the six months ended March 31, 2023 and 2022,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the effective tax rate for the six months ended March 31, 2023 was primarily due to a decrease in tax benefits related to the reduction of research and development credits.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operating income for the quarters and six-month periods ended March 31, 2023 and 2022.</w:t>
      </w:r>
    </w:p>
    <w:tbl>
      <w:tblPr>
        <w:tblW w:w="10052" w:type="dxa"/>
        <w:jc w:val="left"/>
        <w:tblInd w:w="0" w:type="dxa"/>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operating income of $7.7 million was primarily attributable to a $23.1 million increase in segment revenues and a $0.9 million decrease in share-based compensation cost, partially offset by a $9.7 million increase in corporate expenses and a $6.8 million increase in segment operating expenses.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quarter-over-prior year quarter increase in segment operating income of $6.6 million was the result of a $14.1 million increase in our Scores segment operating income, a $2.2 million increase in our Software segment operating income, partially offset by a $9.7 million increase in corporate expenses.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Scores segment operating income of $14.1 million was due to a $14.8 million increase in segment revenue, partially offset by a $0.7 million increase in segment operating expenses. Segment operating income as a percentage of segment revenue for Scores was 88%, consistent with the quarter ended March 31, 2022.</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Software segment operating income of $2.2 million was due to an $8.3 million increase in segment revenue, partially offset by a $6.1 million increase in segment operating expenses. Segment operating income as a percentage of segment revenue for Software was 30%, consistent with the quarter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1257"/>
        <w:gridCol w:w="1099"/>
        <w:gridCol w:w="1122"/>
        <w:gridCol w:w="211"/>
        <w:gridCol w:w="826"/>
        <w:gridCol w:w="109"/>
        <w:gridCol w:w="109"/>
        <w:gridCol w:w="109"/>
        <w:gridCol w:w="109"/>
        <w:gridCol w:w="211"/>
        <w:gridCol w:w="826"/>
        <w:gridCol w:w="109"/>
        <w:gridCol w:w="109"/>
        <w:gridCol w:w="109"/>
        <w:gridCol w:w="109"/>
        <w:gridCol w:w="384"/>
        <w:gridCol w:w="1318"/>
        <w:gridCol w:w="200"/>
        <w:gridCol w:w="109"/>
        <w:gridCol w:w="109"/>
        <w:gridCol w:w="109"/>
        <w:gridCol w:w="315"/>
        <w:gridCol w:w="315"/>
        <w:gridCol w:w="922"/>
      </w:tblGrid>
      <w:tr>
        <w:trPr/>
        <w:tc>
          <w:tcPr>
            <w:tcW w:w="125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r>
      <w:tr>
        <w:trPr/>
        <w:tc>
          <w:tcPr>
            <w:tcW w:w="3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(238,856)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 over period increase of $32.5 million in operating income was primarily attributable to a $45.6 million increase in segment revenues, a $1.9 million gain on product line asset sale, and a $1.1 million decrease in share-based compensation cost, partially offset by a $10.0 million increase in segment operating expenses and a $6.7 million increase in corporate expenses.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year-to-date period over period increase of $28.9 million in segment operating income was the result of a $22.4 million increase in our Scores segment operating income, a $13.2 million increase in our Software segment operating income, partially offset by a $6.7 million increase in corporate expenses.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 over period $22.4 million increase in Scores segment operating income was attributable to a $23.3 million increase in segment revenue, partially offset by a $0.9 million increase in segment operating expenses. Segment operating income as a percentage of segment revenue for Scores was 88%, consistent with the six months ended March 31, 2022.</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 over period $13.2 million increase in Software segment operating income was attributable to a $22.3 million increase in segment revenue, partially offset by a $9.1 million increase in segment operating expenses. Segment operating income as a percentage of segment revenue for Software increased to 29% from 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CAPITAL RESOURCES AND LIQUIDITY</w:t>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$137.8 million in cash and cash equivalents, which included $110.5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our term loan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TextBody"/>
        <w:spacing w:lineRule="auto" w:line="288" w:before="300" w:after="283"/>
        <w:ind w:left="0" w:right="0" w:firstLine="225"/>
        <w:rPr/>
      </w:pPr>
      <w:r>
        <w:rPr>
          <w:rFonts w:ascii="Times New Roman;sans-serif" w:hAnsi="Times New Roman;sans-serif"/>
          <w:b/>
          <w:i/>
          <w:color w:val="000000"/>
          <w:sz w:val="20"/>
        </w:rPr>
        <w:t>Summary of Cash Flows</w:t>
      </w:r>
      <w:r>
        <w:rPr>
          <w:color w:val="000000"/>
        </w:rPr>
        <w:t> </w:t>
      </w:r>
    </w:p>
    <w:tbl>
      <w:tblPr>
        <w:tblW w:w="8916" w:type="dxa"/>
        <w:jc w:val="left"/>
        <w:tblInd w:w="0" w:type="dxa"/>
        <w:tblCellMar>
          <w:top w:w="28" w:type="dxa"/>
          <w:left w:w="28" w:type="dxa"/>
          <w:bottom w:w="28" w:type="dxa"/>
          <w:right w:w="28" w:type="dxa"/>
        </w:tblCellMar>
      </w:tblPr>
      <w:tblGrid>
        <w:gridCol w:w="1445"/>
        <w:gridCol w:w="1268"/>
        <w:gridCol w:w="1277"/>
        <w:gridCol w:w="211"/>
        <w:gridCol w:w="826"/>
        <w:gridCol w:w="109"/>
        <w:gridCol w:w="109"/>
        <w:gridCol w:w="109"/>
        <w:gridCol w:w="109"/>
        <w:gridCol w:w="211"/>
        <w:gridCol w:w="826"/>
        <w:gridCol w:w="109"/>
        <w:gridCol w:w="109"/>
        <w:gridCol w:w="109"/>
        <w:gridCol w:w="109"/>
        <w:gridCol w:w="378"/>
        <w:gridCol w:w="1324"/>
        <w:gridCol w:w="278"/>
      </w:tblGrid>
      <w:tr>
        <w:trPr/>
        <w:tc>
          <w:tcPr>
            <w:tcW w:w="1445"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2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(65,240)</w:t>
            </w:r>
          </w:p>
        </w:tc>
        <w:tc>
          <w:tcPr>
            <w:tcW w:w="2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(263,162)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89,917 </w:t>
            </w:r>
          </w:p>
        </w:tc>
        <w:tc>
          <w:tcPr>
            <w:tcW w:w="2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(21,135)</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25,704 </w:t>
            </w:r>
          </w:p>
        </w:tc>
        <w:tc>
          <w:tcPr>
            <w:tcW w:w="2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method for funding operations and growth has been through cash flows generated from operating activities. Net cash provided by operating activities decreased to $182.2 million during the six months ended March 31, 2023 from $247.5 million during the six months ended March 31, 2022. The $65.2 million decrease was attributable to a $42.9 million decrease due to the timing of receipts and payments in our ordinary course of business and a $32.2 million decrease in non-cash items. The decrease was partially offset by a $9.9 million increase in net income.</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to $11.9 million for the six months ended March 31, 2023 from $3.7 million for the six months ended March 31, 2022. The $8.2 million increase was primarily attributable to an $8.4 million decrease in cash proceeds from the product line asset sales, net of cash transferred.</w:t>
      </w:r>
    </w:p>
    <w:p>
      <w:pPr>
        <w:pStyle w:val="TextBody"/>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to $173.2 million for the six months ended March 31, 2023 from $263.2 million for the six months ended March 31, 2022. The $89.9 million decrease was primarily attributable to a $576.6 million decrease in repurchases of common stock and a $76.3 million decrease in payments, net of proceeds, on our revolving line of credit, partially offset by a $550.0 million decrease in proceeds from the issuance of senior notes and a $25.8 million increase in taxes paid related to net share settlement of equity awards.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our Board of Directors approved a new stock repurchase program replacing our previously authorized program. This program is open-ended and authorizes repurchases of shares of our common stock up to an aggregate cost of $500.0 million in the open market or in negotiated transactions.</w:t>
      </w:r>
    </w:p>
    <w:p>
      <w:pPr>
        <w:pStyle w:val="TextBody"/>
        <w:spacing w:lineRule="auto" w:line="288" w:before="180" w:after="283"/>
        <w:ind w:left="0" w:right="0" w:firstLine="495"/>
        <w:jc w:val="both"/>
        <w:rPr/>
      </w:pPr>
      <w:r>
        <w:rPr>
          <w:rFonts w:ascii="Times New Roman;sans-serif" w:hAnsi="Times New Roman;sans-serif"/>
          <w:b w:val="false"/>
          <w:color w:val="000000"/>
          <w:sz w:val="20"/>
        </w:rPr>
        <w:t>We expended $116.3 million and $264.0 million during the quarters ended March 31, 2023 and 2022, respectively, and $191.3 million and $757.6 million during the six months ended March 31, 2023 and 2022, respectively under our previously authorized stock repurchase programs and the October 2022 program. As of March 31, 2023, we had $334.8 million</w:t>
      </w:r>
      <w:r>
        <w:rPr>
          <w:color w:val="0000FF"/>
        </w:rPr>
        <w:t xml:space="preserve"> </w:t>
      </w:r>
      <w:r>
        <w:rPr>
          <w:rFonts w:ascii="Times New Roman;sans-serif" w:hAnsi="Times New Roman;sans-serif"/>
          <w:b w:val="false"/>
          <w:color w:val="000000"/>
          <w:sz w:val="20"/>
        </w:rPr>
        <w:t>remaining under the October 2022 program.</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Revolving Line of Credit and Term Loan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$357.0 million in borrowings outstanding under the revolving line of credit at a weighted-average interest rate of 6.343%, and $281.3 million in outstanding balance of the term loan at an interest rate of 6.529%, of which $531.3 million was classified as a long-term liability and recorded in long-term debt within the accompanying condensed consolidated balance sheets. We were in compliance with all financial covenants under this credit agreement as of March 31, 2023.</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March 31, 2023, the carrying value of the Senior Notes was $1.3 billion and we were in compliance with all financial covenants under these obligations.</w:t>
      </w:r>
    </w:p>
    <w:p>
      <w:pPr>
        <w:pStyle w:val="TextBody"/>
        <w:spacing w:before="120" w:after="283"/>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2022 (“Annual Report on Form 10-K”). There have been no significant changes from the critical accounting estimates disclosed in our Annual Report on Form 10-K. </w:t>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Market Risk Disclosures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and foreign exchange rates. We do not use derivative financial instruments for speculative or trading purposes.</w:t>
      </w:r>
    </w:p>
    <w:p>
      <w:pPr>
        <w:pStyle w:val="TextBody"/>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Interest Rate</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2023 and September 30, 2022: </w:t>
      </w:r>
    </w:p>
    <w:tbl>
      <w:tblPr>
        <w:tblW w:w="10205" w:type="dxa"/>
        <w:jc w:val="left"/>
        <w:tblInd w:w="0" w:type="dxa"/>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5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r>
      <w:tr>
        <w:trPr/>
        <w:tc>
          <w:tcPr>
            <w:tcW w:w="2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98"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2023 and September 30, 2022:</w:t>
      </w:r>
    </w:p>
    <w:tbl>
      <w:tblPr>
        <w:tblW w:w="10205" w:type="dxa"/>
        <w:jc w:val="center"/>
        <w:tblInd w:w="0" w:type="dxa"/>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1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450"/>
        <w:jc w:val="both"/>
        <w:rPr/>
      </w:pP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 xml:space="preserve">The carrying value of the Senior Notes was the face value reduced by the net debt issuance costs of $12.9 million and $14.3 million at March 31, 2023 and September 30, 2022, respectively.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March 31, 2023, we had $357.0 million in borrowings outstanding under the revolving line of credit at a weighted-average interest rate of 6.343% and $281.3 million in outstanding balance of the term loan at an interest rate of 6.529%.</w:t>
      </w:r>
    </w:p>
    <w:p>
      <w:pPr>
        <w:pStyle w:val="TextBody"/>
        <w:spacing w:before="0" w:after="0"/>
        <w:ind w:left="0" w:right="0" w:firstLine="225"/>
        <w:jc w:val="both"/>
        <w:rPr/>
      </w:pPr>
      <w:r>
        <w:rPr/>
      </w:r>
    </w:p>
    <w:p>
      <w:pPr>
        <w:pStyle w:val="TextBody"/>
        <w:spacing w:lineRule="auto" w:line="288" w:before="0" w:after="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March 31, 2023 and September 30, 2022:</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tbl>
      <w:tblPr>
        <w:tblW w:w="6034" w:type="dxa"/>
        <w:jc w:val="left"/>
        <w:tblInd w:w="0" w:type="dxa"/>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4"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March 31, 2023 and September 30, 2022, respectively; therefore, their fair value was $0 on each of these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spacing w:lineRule="auto" w:line="288" w:before="1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March 31, 2023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spacing w:lineRule="auto" w:line="288" w:before="36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2022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20" w:after="283"/>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spacing w:lineRule="auto" w:line="288" w:before="120" w:after="283"/>
        <w:rPr/>
      </w:pPr>
      <w:r>
        <w:rPr>
          <w:rFonts w:ascii="Times New Roman;sans-serif" w:hAnsi="Times New Roman;sans-serif"/>
          <w:b/>
          <w:color w:val="000000"/>
          <w:sz w:val="20"/>
        </w:rPr>
        <w:t>Issuer Purchases of Equity Securities</w:t>
      </w:r>
      <w:r>
        <w:rPr>
          <w:color w:val="000000"/>
        </w:rPr>
        <w:t> </w:t>
      </w:r>
    </w:p>
    <w:tbl>
      <w:tblPr>
        <w:tblW w:w="9920" w:type="dxa"/>
        <w:jc w:val="left"/>
        <w:tblInd w:w="0" w:type="dxa"/>
        <w:tblCellMar>
          <w:top w:w="28" w:type="dxa"/>
          <w:left w:w="28" w:type="dxa"/>
          <w:bottom w:w="28" w:type="dxa"/>
          <w:right w:w="28" w:type="dxa"/>
        </w:tblCellMar>
      </w:tblPr>
      <w:tblGrid>
        <w:gridCol w:w="1340"/>
        <w:gridCol w:w="1180"/>
        <w:gridCol w:w="1199"/>
        <w:gridCol w:w="412"/>
        <w:gridCol w:w="414"/>
        <w:gridCol w:w="346"/>
        <w:gridCol w:w="109"/>
        <w:gridCol w:w="109"/>
        <w:gridCol w:w="109"/>
        <w:gridCol w:w="211"/>
        <w:gridCol w:w="721"/>
        <w:gridCol w:w="109"/>
        <w:gridCol w:w="109"/>
        <w:gridCol w:w="109"/>
        <w:gridCol w:w="109"/>
        <w:gridCol w:w="485"/>
        <w:gridCol w:w="485"/>
        <w:gridCol w:w="486"/>
        <w:gridCol w:w="109"/>
        <w:gridCol w:w="109"/>
        <w:gridCol w:w="109"/>
        <w:gridCol w:w="211"/>
        <w:gridCol w:w="1186"/>
        <w:gridCol w:w="154"/>
      </w:tblGrid>
      <w:tr>
        <w:trPr/>
        <w:tc>
          <w:tcPr>
            <w:tcW w:w="134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1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spacing w:lineRule="auto" w:line="240" w:before="0" w:after="0"/>
              <w:jc w:val="center"/>
              <w:rPr/>
            </w:pPr>
            <w:r>
              <w:rPr>
                <w:rFonts w:ascii="Times New Roman;sans-serif" w:hAnsi="Times New Roman;sans-serif"/>
                <w:b/>
                <w:color w:val="000000"/>
                <w:sz w:val="16"/>
              </w:rPr>
              <w:t>Purchased</w:t>
            </w:r>
            <w:r>
              <w:rPr>
                <w:color w:val="000000"/>
              </w:rPr>
              <w:t>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spacing w:lineRule="auto" w:line="240" w:before="0" w:after="0"/>
              <w:jc w:val="center"/>
              <w:rPr/>
            </w:pPr>
            <w:r>
              <w:rPr>
                <w:rFonts w:ascii="Times New Roman;sans-serif" w:hAnsi="Times New Roman;sans-serif"/>
                <w:b/>
                <w:color w:val="000000"/>
                <w:sz w:val="16"/>
              </w:rPr>
              <w:t>or Programs</w:t>
            </w:r>
            <w:r>
              <w:rPr>
                <w:color w:val="000000"/>
              </w:rPr>
              <w:t xml:space="preserve">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spacing w:lineRule="auto" w:line="240" w:before="0" w:after="0"/>
              <w:jc w:val="center"/>
              <w:rPr/>
            </w:pPr>
            <w:r>
              <w:rPr>
                <w:rFonts w:ascii="Times New Roman;sans-serif" w:hAnsi="Times New Roman;sans-serif"/>
                <w:b/>
                <w:color w:val="000000"/>
                <w:sz w:val="16"/>
              </w:rPr>
              <w:t>Programs</w:t>
            </w:r>
            <w:r>
              <w:rPr>
                <w:color w:val="000000"/>
              </w:rPr>
              <w:t xml:space="preserve"> </w:t>
            </w:r>
            <w:r>
              <w:rPr>
                <w:rFonts w:ascii="Times New Roman;sans-serif" w:hAnsi="Times New Roman;sans-serif"/>
                <w:b/>
                <w:color w:val="000000"/>
                <w:sz w:val="10"/>
              </w:rPr>
              <w:t>(2)</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through January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451,060,533 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through February 28, 2023</w:t>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80,050 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4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396,785,170 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through March 31, 2023</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90,466 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334,796,879 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171,177 </w:t>
            </w:r>
          </w:p>
        </w:tc>
        <w:tc>
          <w:tcPr>
            <w:tcW w:w="3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4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334,796,879 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1,177 shares delivered in satisfaction of the tax withholding obligations resulting from the vesting of restricted stock units held by employees during the quarter ended March 31, 2023.</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 October 2022, our Board of Directors approved a new stock repurchase program replacing our previously authorized January 2022 program. This program is open-ended and authorizes repurchases of shares of our common stock up to an aggregate cost of $500.0 million in the open market or in negotiated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Defaults Upon Senior Securities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Mine Safety Disclosures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r>
        <w:rPr>
          <w:color w:val="000000"/>
        </w:rPr>
        <w:t> </w:t>
      </w:r>
    </w:p>
    <w:tbl>
      <w:tblPr>
        <w:tblW w:w="10205" w:type="dxa"/>
        <w:jc w:val="left"/>
        <w:tblInd w:w="0" w:type="dxa"/>
        <w:tblCellMar>
          <w:top w:w="28" w:type="dxa"/>
          <w:left w:w="28" w:type="dxa"/>
          <w:bottom w:w="28" w:type="dxa"/>
          <w:right w:w="28" w:type="dxa"/>
        </w:tblCellMar>
      </w:tblPr>
      <w:tblGrid>
        <w:gridCol w:w="316"/>
        <w:gridCol w:w="279"/>
        <w:gridCol w:w="280"/>
        <w:gridCol w:w="109"/>
        <w:gridCol w:w="109"/>
        <w:gridCol w:w="109"/>
        <w:gridCol w:w="2689"/>
        <w:gridCol w:w="2600"/>
        <w:gridCol w:w="3714"/>
      </w:tblGrid>
      <w:tr>
        <w:trPr/>
        <w:tc>
          <w:tcPr>
            <w:tcW w:w="31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By-laws of Fair Isaac Corporation. (Incorporated by reference to Exhibit 3.1 to the Company’s Form 10-Q for the quarter ended December 31, 2009).</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icoex101q22023-indemnific.htm">
              <w:r>
                <w:rPr>
                  <w:rStyle w:val="InternetLink"/>
                  <w:rFonts w:ascii="Times New Roman;sans-serif" w:hAnsi="Times New Roman;sans-serif"/>
                  <w:b w:val="false"/>
                  <w:color w:val="0000FF"/>
                  <w:sz w:val="20"/>
                  <w:u w:val="single"/>
                </w:rPr>
                <w:t>Form of Indemnification Agreement between the Company and its executive officers.</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icoex311q22023.htm">
              <w:r>
                <w:rPr>
                  <w:rStyle w:val="InternetLink"/>
                  <w:rFonts w:ascii="Times New Roman;sans-serif" w:hAnsi="Times New Roman;sans-serif"/>
                  <w:b w:val="false"/>
                  <w:color w:val="0000FF"/>
                  <w:sz w:val="20"/>
                  <w:u w:val="single"/>
                </w:rPr>
                <w:t>Rule 13a-14(a)/15d-14(a) Certifications of CEO.</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icoex312q22023.htm">
              <w:r>
                <w:rPr>
                  <w:rStyle w:val="InternetLink"/>
                  <w:rFonts w:ascii="Times New Roman;sans-serif" w:hAnsi="Times New Roman;sans-serif"/>
                  <w:b w:val="false"/>
                  <w:color w:val="0000FF"/>
                  <w:sz w:val="20"/>
                  <w:u w:val="single"/>
                </w:rPr>
                <w:t>Rule 13a-14(a)/15d-14(a) Certifications of CFO.</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icoex321q22023.htm">
              <w:r>
                <w:rPr>
                  <w:rStyle w:val="InternetLink"/>
                  <w:rFonts w:ascii="Times New Roman;sans-serif" w:hAnsi="Times New Roman;sans-serif"/>
                  <w:b w:val="false"/>
                  <w:color w:val="0000FF"/>
                  <w:sz w:val="20"/>
                  <w:u w:val="single"/>
                </w:rPr>
                <w:t>Section 1350 Certification of CEO.</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icoex322q22023.htm">
              <w:r>
                <w:rPr>
                  <w:rStyle w:val="InternetLink"/>
                  <w:rFonts w:ascii="Times New Roman;sans-serif" w:hAnsi="Times New Roman;sans-serif"/>
                  <w:b w:val="false"/>
                  <w:color w:val="0000FF"/>
                  <w:sz w:val="20"/>
                  <w:u w:val="single"/>
                </w:rPr>
                <w:t>Section 1350 Certification of CFO.</w:t>
              </w:r>
            </w:hyperlink>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707" w:type="dxa"/>
        <w:jc w:val="left"/>
        <w:tblInd w:w="0" w:type="dxa"/>
        <w:tblCellMar>
          <w:top w:w="28" w:type="dxa"/>
          <w:left w:w="28" w:type="dxa"/>
          <w:bottom w:w="28" w:type="dxa"/>
          <w:right w:w="28" w:type="dxa"/>
        </w:tblCellMar>
      </w:tblPr>
      <w:tblGrid>
        <w:gridCol w:w="124"/>
        <w:gridCol w:w="109"/>
        <w:gridCol w:w="109"/>
        <w:gridCol w:w="400"/>
        <w:gridCol w:w="400"/>
        <w:gridCol w:w="5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2e699001ccf24f65830277010022575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487" w:type="dxa"/>
        <w:jc w:val="left"/>
        <w:tblInd w:w="0" w:type="dxa"/>
        <w:tblCellMar>
          <w:top w:w="28" w:type="dxa"/>
          <w:left w:w="28" w:type="dxa"/>
          <w:bottom w:w="28" w:type="dxa"/>
          <w:right w:w="28" w:type="dxa"/>
        </w:tblCellMar>
      </w:tblPr>
      <w:tblGrid>
        <w:gridCol w:w="249"/>
        <w:gridCol w:w="220"/>
        <w:gridCol w:w="221"/>
        <w:gridCol w:w="429"/>
        <w:gridCol w:w="429"/>
        <w:gridCol w:w="431"/>
        <w:gridCol w:w="406"/>
        <w:gridCol w:w="406"/>
        <w:gridCol w:w="406"/>
        <w:gridCol w:w="1253"/>
        <w:gridCol w:w="1253"/>
        <w:gridCol w:w="1784"/>
      </w:tblGrid>
      <w:tr>
        <w:trPr/>
        <w:tc>
          <w:tcPr>
            <w:tcW w:w="24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ISAAC CORPORATION</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Interim Chief Financial Officer</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(for Registrant as duly authorized officer and</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Principal Financial Officer)</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LEONARD</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Leonard</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Chief Accounting Officer</w:t>
              <w:br/>
              <w:t>(Principal Accounting Officer)</w:t>
            </w:r>
          </w:p>
        </w:tc>
      </w:tr>
    </w:tbl>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INDEMNIFICATION AGREEMENT</w:t>
      </w:r>
    </w:p>
    <w:p>
      <w:pPr>
        <w:pStyle w:val="TextBody"/>
        <w:spacing w:before="0" w:after="0"/>
        <w:jc w:val="center"/>
        <w:rPr/>
      </w:pPr>
      <w:r>
        <w:rPr/>
      </w:r>
    </w:p>
    <w:p>
      <w:pPr>
        <w:pStyle w:val="TextBody"/>
        <w:spacing w:before="0" w:after="0"/>
        <w:rPr/>
      </w:pPr>
      <w:r>
        <w:rPr/>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This Indemnification Agreement (this “Agreement”), dated as of ___________________, between Fair Isaac Corporation, a Delaware corporation (the “Corporation”), and ____________________ (“Indemnitee”), </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Indemnitee is either a member of the board of directors of the Corporation (the “Board of Directors”) or an officer of the Corporation, or both, and in such capacity or capacities, or otherwise as an Agent (as hereinafter defined) of the Corporation, is performing a valuable service for the Corporation;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Indemnitee is willing to serve, continue to serve and to take on additional service for or on behalf of the Corporation on the condition that he or she be indemnified as herein provided;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it is intended that Indemnitee shall be paid promptly by the Corporation all amounts necessary to effectuate in full the indemnity and advancement of expenses provided for herein: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covenants in this Agreement, and of Indemnitee continuing to serve the Corporation as an Agent and intending to be legally bound hereby, the parties hereto agree as follows:</w:t>
      </w:r>
    </w:p>
    <w:p>
      <w:pPr>
        <w:pStyle w:val="TextBody"/>
        <w:spacing w:lineRule="auto" w:line="240" w:before="0" w:after="240"/>
        <w:ind w:left="0" w:right="0" w:firstLine="720"/>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Services by Indemnitee</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Indemnitee agrees to serve (a) as a director or an officer of the Corporation, or both, so long as Indemnitee is duly appointed or elected and qualified in accordance with the applicable provisions of the Restated Certificate of Incorporation and By-Laws of the Corporation, and until such time as Indemnitee resigns or fails to stand for election or is removed from Indemnitee’s position, or (b) otherwise as an Agent of the Corporation. Indemnitee may from time to time also perform other services at the request or for the convenience of, or otherwise benefiting the Corporation. Indemnitee may at any time and for any reason resign from such position (subject to any other contractual obligation or other obligation imposed by operation of law), in which event the Indemnitee shall have no obligation under this Agreement to continue to serve in any such position and the Corporation shall have no obligation under this Agreement to continue Indemnitee in any such position. The Corporation acknowledges that the execution of this Agreement by Indemnitee represents Indemnitee’s written demand for an indemnification contract as contemplated by Article 6(b) of this Corporation’s Restated Certificate of Incorporation.</w:t>
      </w:r>
    </w:p>
    <w:p>
      <w:pPr>
        <w:pStyle w:val="TextBody"/>
        <w:spacing w:lineRule="auto" w:line="240" w:before="0" w:after="240"/>
        <w:ind w:left="0" w:right="0" w:firstLine="72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Agreement, the Corporation hereby agrees to indemnify Indemnitee as follows: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The Corporation shall, with respect to any Proceeding (as hereinafter defined) associated with Indemnitee’s being an Agent (as hereinafter defined), indemnify Indemnitee to the fullest extent permitted by applicable law and the Restated Certificate of Incorporation of the Corporation in effect on the date hereof or as such law or Restated Certificate of Incorporation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may from time to time be amended (but, in the case of any such amendment, only to the extent such amendment permits the Corporation to provide broader indemnification rights than the law or Restated Certificate of Incorporation permitted the Corporation to provide before such amendment). The right to indemnification conferred herein and in the Restated Certificate of Incorporation shall be presumed to have been relied upon by Indemnitee in serving or continuing to serve the Corporation as an Agent and shall be enforceable as a contract right. Without in any way limiting or diminishing the scope of the indemnification provided by this Section 2, the Corporation agrees to indemnify Indemnitee to the fullest extent permitted by law if and wherever Indemnitee is or was a party to, or is threatened to be made a party to, any Proceeding, including without limitation any Proceeding brought by or in the right of the Corporation, by reason of the fact that Indemnitee is or was an Agent or by reason of anything done or not done by Indemnitee in such capacity as an Agent, against all Expenses (as hereinafter defined) and Liabilities (as hereinafter defined) actually and reasonably incurred by Indemnitee or on his or her behalf in connection with the investigation, defense, settlement or appeal of such Proceeding. In addition to, and not as a limitation of, the foregoing, the rights of indemnification of Indemnitee provided under this Agreement shall include those rights set forth in Sections 3 and 8 below. Notwithstanding the foregoing, the Corporation shall not be required to indemnify Indemnitee in connection with a Proceeding commenced by Indemnitee unless (i) such Proceeding was commenced by Indemnitee to enforce Indemnitee’s rights under this Agreement or (ii) the commencement of such Proceeding was authorized by the Board of Directors.</w:t>
      </w:r>
    </w:p>
    <w:p>
      <w:pPr>
        <w:pStyle w:val="TextBody"/>
        <w:spacing w:lineRule="auto" w:line="240" w:before="0" w:after="240"/>
        <w:ind w:left="0" w:right="0" w:firstLine="720"/>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Advancement of Expenses; Letter of Credit</w:t>
      </w:r>
      <w:r>
        <w:rPr>
          <w:rFonts w:ascii="Times New Roman;sans-serif" w:hAnsi="Times New Roman;sans-serif"/>
          <w:b w:val="false"/>
          <w:color w:val="000000"/>
          <w:sz w:val="24"/>
        </w:rPr>
        <w:t>.</w:t>
      </w:r>
    </w:p>
    <w:p>
      <w:pPr>
        <w:pStyle w:val="TextBody"/>
        <w:spacing w:lineRule="auto" w:line="240" w:before="0" w:after="240"/>
        <w:ind w:left="0" w:right="0" w:firstLine="72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Advancement of Expenses</w:t>
      </w:r>
      <w:r>
        <w:rPr>
          <w:rFonts w:ascii="Times New Roman;sans-serif" w:hAnsi="Times New Roman;sans-serif"/>
          <w:b w:val="false"/>
          <w:color w:val="000000"/>
          <w:sz w:val="24"/>
        </w:rPr>
        <w:t>. The Corporation agrees with Indemnitee that all reasonable Expenses incurred by or on behalf of Indemnitee (including costs of enforcement of this Agreement) in connection with a Proceeding shall be advanced from time to time by the Corporation to Indemnitee within thirty (30) days after the receipt by the Corporation of a written request by or on behalf of Indemnitee for an advance of such Expenses, whether prior to, during or after final disposition of a Proceeding (including without limitation any Proceeding brought by or in the right of the Corporation), except to the extent that there has been a Final Adverse Determination (as hereinafter defined) that Indemnitee is not entitled to be indemnified for such Expenses. A written request by an Indemnitee for an advancement of any and all Expenses under this paragraph shall contain reasonable detail of the Expenses incurred by Indemnitee for which the Indemnitee is seeking an advance. In the event that such written request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 By execution of this Agreement, Indemnitee shall be deemed to have made whatever undertaking as may be required by law at the time of any advancement of Expenses with respect to repayment to the Corporation of such advanced Expenses. In the event that the Corporation shall breach its obligation to advance Expenses under this Section 3, the parties hereto agree that Indemnitee’s remedies available at law would not be adequate and that Indemnitee would be entitled to the remedies of specific performance and injunctive relief to enforce such obligation of the Corporation. The Corporation acknowledges that it has agreed to advance Expenses hereunder in order to promote the business interests of the Corporation and the Corporation agrees with Indemnitee that it will not fail to comply with its obligation to advance Expenses to Indemnitee as required under this Agreement on the ground that such advancement violates or would violate Section 13(k) of the Securities Exchange Act of 1934, as amended (the “Exchange Act”), unless the Corporation has received an affirmative and unqualified written opinion of Independent Legal Counsel to the effect that such an advance of Expenses would result in a violation of said Section 13(k).</w:t>
      </w:r>
    </w:p>
    <w:p>
      <w:pPr>
        <w:pStyle w:val="TextBody"/>
        <w:spacing w:before="0" w:after="240"/>
        <w:ind w:left="0" w:right="0" w:firstLine="72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5780"/>
                <wp:effectExtent l="0" t="0" r="0" b="0"/>
                <wp:wrapNone/>
                <wp:docPr id="39" name="Frame3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Witness Expenses in Certain Proceedings</w:t>
      </w:r>
      <w:r>
        <w:rPr>
          <w:rFonts w:ascii="Times New Roman;sans-serif" w:hAnsi="Times New Roman;sans-serif"/>
          <w:b w:val="false"/>
          <w:color w:val="000000"/>
          <w:sz w:val="24"/>
        </w:rPr>
        <w:t>. Notwithstanding any other provision of this Agreement to the contrary, to the extent that Indemnitee was or is, by reason of the fact that the Indemnitee is or was an Agent, a witness or other non-party participant in any Proceeding to which the Indemnitee is not made a party, the Corporation shall indemnify the Indemnitee against all Expenses actually and reasonably incurred by the Indemnitee or on the Indemnitee’s behalf solely in connection with the Indemnitee’s being a witness or other non-party participant in such Proceeding, and in preparing to be a witness or such other non-party participant in such Proceeding without the need for any determination with respect to the Indemnitee’s conduct pursuant to Section 5 of this Agreement.</w:t>
      </w:r>
    </w:p>
    <w:p>
      <w:pPr>
        <w:pStyle w:val="TextBody"/>
        <w:spacing w:lineRule="auto" w:line="240" w:before="0" w:after="240"/>
        <w:ind w:left="0" w:right="0" w:firstLine="720"/>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Letter of Credit</w:t>
      </w:r>
      <w:r>
        <w:rPr>
          <w:rFonts w:ascii="Times New Roman;sans-serif" w:hAnsi="Times New Roman;sans-serif"/>
          <w:b w:val="false"/>
          <w:color w:val="000000"/>
          <w:sz w:val="24"/>
        </w:rPr>
        <w:t>. In order to secure the obligations of the Corporation to indemnify and advance Expenses to Indemnitee pursuant to this Agreement, the Corporation agrees that it shall obtain and have in force at the time of any Change in Control (as hereinafter defined) an irrevocable standby letter of credit naming Indemnitee as the sole beneficiary (the “Letter of Credit”). The Letter of Credit shall be in an appropriate amount not less than one million dollars ($1,000,000), shall be issued by a commercial bank headquartered in the United States having assets in excess of $20 billion and capital according to its most recent published reports equal to or greater than the then applicable minimum capital standards promulgated by such bank’s primary federal regulator and shall contain terms and conditions reasonably acceptable to Indemnitee. The Letter of Credit shall provide that Indemnitee may from time to time draw certain amounts thereunder, upon written certification by Indemnitee to the issuer of the Letter of Credit that (i) Indemnitee has made written request upon the Corporation for an amount not less than the amount Indemnitee is drawing under the Letter of Credit and that the Corporation has failed or refused to provide Indemnitee with such amount in full within thirty (30) days after receipt of the request, and (ii) Indemnitee believes that he or she is entitled under the terms of this Agreement to the amount that Indemnitee is drawing upon under the Letter of Credit. The issuance of the Letter of Credit shall not be an exclusive remedy, nor shall it in any way diminish the Corporation’s obligations to advance Expenses and to indemnify Indemnitee against Expenses and Liabilities to the full extent required by this Agreement.</w:t>
      </w:r>
    </w:p>
    <w:p>
      <w:pPr>
        <w:pStyle w:val="TextBody"/>
        <w:spacing w:lineRule="auto" w:line="240" w:before="0" w:after="240"/>
        <w:ind w:left="0" w:right="0" w:firstLine="720"/>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Term of Letter of Credit</w:t>
      </w:r>
      <w:r>
        <w:rPr>
          <w:rFonts w:ascii="Times New Roman;sans-serif" w:hAnsi="Times New Roman;sans-serif"/>
          <w:b w:val="false"/>
          <w:color w:val="000000"/>
          <w:sz w:val="24"/>
        </w:rPr>
        <w:t>. Once the Corporation has obtained the Letter of Credit, the Corporation (or its successor) shall maintain in effect and renew the Letter of Credit or a substitute letter of credit meeting the criteria of Section 3(c) during the term of this Agreement. The Letter of Credit shall have an initial term of five (5) years, be renewed for successive five-year terms, and always have at least one (1) year of its term remaining.</w:t>
      </w:r>
    </w:p>
    <w:p>
      <w:pPr>
        <w:pStyle w:val="TextBody"/>
        <w:spacing w:lineRule="auto" w:line="240" w:before="0" w:after="240"/>
        <w:ind w:left="0" w:right="0" w:firstLine="720"/>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Presumptions and Effect of Certain Proceedings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Upon making a request for indemnification, Indemnitee shall be presumed to be entitled to indemnification under this Agreement and the Corporation shall have the burden of proof to overcome that presumption in reaching any contrary determination. The termination of any Proceeding by judgment, order, settlement (whether with or without court approval), arbitration award or conviction, or upon a plea of nolo contendere or its equivalent shall not affect this presumption or, except as determined by a judgment or other final adjudication adverse to Indemnitee, establish a presumption with regard to any factual matter relevant to determining Indemnitee’s rights to indemnification hereunder. If the forum so empowered to make a determination of Indemnitee’s entitlement to indemnification pursuant to Section 5 hereof shall have failed to make the requested determination within sixty (60) days after any judgment, order, settlement, dismissal, arbitration award, conviction, acceptance of a plea of nolo contendere or its equivalent, or other disposition or partial disposition of any Proceeding or any other event that could enable the Corporation to determine Indemnitee’s entitlement to indemnification, the requisite determination that Indemnitee is entitled to indemnification shall be deemed to have been made.</w:t>
      </w:r>
    </w:p>
    <w:p>
      <w:pPr>
        <w:pStyle w:val="TextBody"/>
        <w:spacing w:lineRule="auto" w:line="240" w:before="0" w:after="240"/>
        <w:ind w:left="0" w:right="0" w:firstLine="720"/>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Procedure for Determination of Entitlement to Indemnification</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5780"/>
                <wp:effectExtent l="0" t="0" r="0" b="0"/>
                <wp:wrapNone/>
                <wp:docPr id="40" name="Frame4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00000"/>
          <w:sz w:val="24"/>
        </w:rPr>
        <w:t>(a)    Whenever Indemnitee believes that Indemnitee is entitled to indemnification pursuant to this Agreement, Indemnitee shall submit a written request for indemnification to the Corporation. The Corporation’s obligation to comply with such request for indemnification is subject to the condition that the matter of the Indemnitee’s entitlement to such indemnification under applicable law has been heard before a forum referred to in Section 5(b) below and such forum shall not have determined that the Indemnitee did not meet the required standard of conduct under applicable law; provided, however, that such condition shall not be applicable (and no such hearing or determination shall be required) (i) </w:t>
      </w:r>
      <w:r>
        <w:rPr>
          <w:rFonts w:ascii="Times New Roman;sans-serif" w:hAnsi="Times New Roman;sans-serif"/>
          <w:b w:val="false"/>
          <w:color w:val="212121"/>
          <w:sz w:val="24"/>
        </w:rPr>
        <w:t>to the extent the Indemnitee has been successful on the merits or otherwise in defense of any Proceeding or in defense of any claim, issue or matter therein or</w:t>
      </w:r>
      <w:r>
        <w:rPr>
          <w:color w:val="212121"/>
          <w:highlight w:val="white"/>
        </w:rPr>
        <w:t xml:space="preserve"> </w:t>
      </w:r>
      <w:r>
        <w:rPr>
          <w:rFonts w:ascii="Times New Roman;sans-serif" w:hAnsi="Times New Roman;sans-serif"/>
          <w:b w:val="false"/>
          <w:color w:val="000000"/>
          <w:sz w:val="24"/>
        </w:rPr>
        <w:t xml:space="preserve">where indemnification is otherwise mandatory under applicable law, (ii) with respect to any request for indemnification by an Indemnitee under Section 3(b) or (iii) in any case in which such determination is, by the express terms of this Agreement (including but not limited to Section 4 hereof), deemed to have </w:t>
      </w:r>
      <w:r>
        <w:rPr>
          <w:rFonts w:ascii="Times New Roman;sans-serif" w:hAnsi="Times New Roman;sans-serif"/>
          <w:b w:val="false"/>
          <w:color w:val="212121"/>
          <w:sz w:val="24"/>
          <w:highlight w:val="white"/>
        </w:rPr>
        <w:t>been</w:t>
      </w:r>
      <w:r>
        <w:rPr>
          <w:color w:val="000000"/>
        </w:rPr>
        <w:t xml:space="preserve"> </w:t>
      </w:r>
      <w:r>
        <w:rPr>
          <w:rFonts w:ascii="Times New Roman;sans-serif" w:hAnsi="Times New Roman;sans-serif"/>
          <w:b w:val="false"/>
          <w:color w:val="000000"/>
          <w:sz w:val="24"/>
        </w:rPr>
        <w:t>made or is otherwise not required to be made under this Agreement, and in each such case payment of indemnification to which an Indemnitee is entitled under this Agreement shall be made within thirty (30) days after such request is received by the Corporation. Any request for indemnification shall include sufficient documentation or information reasonably available to Indemnitee for the determination of entitlement to indemnification. In any event, Indemnitee shall submit Indemnitee’s claim for indemnification within a reasonable time, not to exceed five (5) years after any judgment, order, settlement, dismissal, arbitration award, conviction, acceptance of a plea of nolo contendere or its equivalent, or final determination, whichever is the later date for which Indemnitee requests indemnification. The Secretary or other appropriate officer of the Corporation shall, promptly upon receipt of Indemnitee’s request for indemnification, advise the Board of Directors in writing that Indemnitee has made such request. Determination of Indemnitee’s entitlement to indemnification shall be made not later than sixty (60) days after the Corporation’s receipt of Indemnitee’s written request for such indemnification, provided that any request for indemnification for Liabilities, other than amounts paid in settlement, shall have been made after a determination thereof in a Proceeding.</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The Indemnitee shall be entitled to select the forum in which the Indemnitee’s entitlement to indemnification will be heard, which selection shall be included in the written request for indemnification referred to in Section 5(a), except that the Indemnitee may not choose to have the stockholders of the Corporation make such determination without the consent of the Board of Directors. Subject to the foregoing, the forum shall be any one of the following:</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    the stockholders of the Corporation (with such approval being sufficient if it is given by stockholders holding a majority of the shares present at a meeting of the stockholders at which a quorum is present);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    a majority vote of Disinterested Directors (as hereinafter defined), even though less than a quorum;</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    Independent Legal Counsel, whose determination shall be made in a written opinion; 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(iv)    a panel of three arbitrators, one selected by the Corporation, another by Indemnitee and the third by the first two arbitrators; or if for any reason three arbitrators are not selected within thirty (30) days after the appointment of the first arbitrator, then selection of additional arbitrators shall be made by the American Arbitration Association. If any arbitrator resigns or is unable to serve in such capacity for any reason, the American Arbitration Association shall select such arbitrator’s replacement. The arbitration shall be conducted pursuant to the commercial arbitration rules of the American Arbitration Association now in effect.</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5780"/>
                <wp:effectExtent l="0" t="0" r="0" b="0"/>
                <wp:wrapNone/>
                <wp:docPr id="41" name="Frame4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    Payment of indemnification for Liabilities and Expenses as to which Indemnitee is entitled determined pursuant to Section 5 or deemed determined pursuant to Section 4 shall be made as promptly as practicable after such determination or deemed determination and in any event within thirty (30) days thereafter.</w:t>
      </w:r>
    </w:p>
    <w:p>
      <w:pPr>
        <w:pStyle w:val="TextBody"/>
        <w:spacing w:lineRule="auto" w:line="240" w:before="0" w:after="240"/>
        <w:ind w:left="0" w:right="0" w:firstLine="720"/>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Specific Limitations on Indemnification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to the contrary, the Corporation shall not be obligated under this Agreement to make any payment to Indemnitee with respect to any Proceeding:</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To the extent that such payment is actually made to Indemnitee under any insurance policy, or is made to Indemnitee by the Corporation or an affiliate otherwise than pursuant to this Agreement. Notwithstanding the availability of such insurance, Indemnitee also may claim indemnification from the Corporation pursuant to this Agreement by assigning to the Corporation any claims under such insurance to the extent Indemnitee is paid by the Corporation;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Provided there has been no Change in Control, for Liabilities in connection with Proceedings settled by the Indemnitee without the Corporation’s consent, which consent, however, shall not be unreasonably withheld or delayed;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    For an accounting of profits made from the purchase or sale by Indemnitee of securities of the Corporation within the meaning of Section 16(b) of the Securities Exchange Act of 1934, as amended (the “Exchange Act”), or similar provisions of any state statutory or common law; 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(d)    To the extent it would be otherwise prohibited by law, if so established by a judgment or other final adjudication adverse to Indemnitee.</w:t>
      </w:r>
    </w:p>
    <w:p>
      <w:pPr>
        <w:pStyle w:val="TextBody"/>
        <w:spacing w:lineRule="auto" w:line="240" w:before="0" w:after="240"/>
        <w:ind w:left="0" w:right="0" w:firstLine="720"/>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Fees and Expenses of Forum</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Corporation agrees to pay all reasonable fees and expenses associated with the determination of the Indemnitee’s entitlement to indemnification in accordance with Section 5(b), including, without limitation, fees and expenses in connection with a meeting of the stockholders of the Corporation and the reasonable fees and expenses of Disinterested Directors, Independent Legal Counsel or a panel of three arbitrators should such Disinterested Directors, Independent Legal Counsel or such arbitrators be retained to make a determination of Indemnitee’s entitlement to indemnification pursuant to Section 5(b) of this Agreement, and the Corporation shall fully indemnify such Disinterested Directors, Independent Legal Counsel or arbitrators against any and all expenses and losses incurred by any of them arising out of or relating to this Agreement or their engagement pursuant hereto.</w:t>
      </w:r>
    </w:p>
    <w:p>
      <w:pPr>
        <w:pStyle w:val="TextBody"/>
        <w:spacing w:lineRule="auto" w:line="240" w:before="0" w:after="240"/>
        <w:ind w:left="0" w:right="0" w:firstLine="720"/>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Remedies of Indemnitee</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(a)    In the event that (i) a determination pursuant to Section 5 hereof is made that Indemnitee is not entitled to indemnification, (ii) advances of Expenses are not timely made pursuant to this Agreement, (iii) payment of indemnification to the Indemnitee has not been timely made pursuant to this Agreement, or (iv) Indemnitee otherwise seeks enforcement of this Agreement, then Indemnitee shall be entitled to a final adjudication in the Court of Chancery of the State of Delaware of the Indemnitee’s rights and remedies under this Agreement (which remedies may include, without limitation, an order compelling enforcement of the Corporation’s obligations under this Agreement through the remedy of specific performance or injunctive relief). Alternatively, unless (i) the determination of the Indemnitee’s entitlement to indemnification was made by a panel of arbitrators pursuant to Section 5(b)(iv) hereof, or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5780"/>
                <wp:effectExtent l="0" t="0" r="0" b="0"/>
                <wp:wrapNone/>
                <wp:docPr id="42" name="Frame4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(ii) court approval is required by law for the indemnification sought by Indemnitee, Indemnitee at Indemnitee’s option may seek an award in arbitration to be conducted by a single arbitrator pursuant to the commercial arbitration rules of the American Arbitration Association now in effect, which award is to be made within ninety (90) days following the filing of the demand for arbitration. The Corporation shall not oppose Indemnitee’s right to seek any such adjudication or arbitration award. In any such proceeding or arbitration Indemnitee shall be presumed to be entitled to indemnification and advancement of Expenses under this Agreement and the Corporation shall have the burden of proof to overcome that presumption.</w:t>
      </w:r>
    </w:p>
    <w:p>
      <w:pPr>
        <w:pStyle w:val="TextBody"/>
        <w:spacing w:lineRule="auto" w:line="240" w:before="0" w:after="240"/>
        <w:ind w:left="0" w:right="0" w:firstLine="720"/>
        <w:rPr/>
      </w:pPr>
      <w:r>
        <w:rPr>
          <w:rFonts w:ascii="Times New Roman;sans-serif" w:hAnsi="Times New Roman;sans-serif"/>
          <w:b w:val="false"/>
          <w:color w:val="000000"/>
          <w:sz w:val="24"/>
        </w:rPr>
        <w:t xml:space="preserve">(b)    In the event that a determination that Indemnitee is not entitled to indemnification, in whole or in part, has been made pursuant to Section 5 hereof, the decision in the judicial proceeding or arbitration provided in paragraph (a) of this Section 8 shall be made </w:t>
      </w:r>
      <w:r>
        <w:rPr>
          <w:rFonts w:ascii="Times New Roman;sans-serif" w:hAnsi="Times New Roman;sans-serif"/>
          <w:b w:val="false"/>
          <w:i/>
          <w:color w:val="000000"/>
          <w:sz w:val="24"/>
        </w:rPr>
        <w:t>de novo</w:t>
      </w:r>
      <w:r>
        <w:rPr>
          <w:color w:val="000000"/>
        </w:rPr>
        <w:t xml:space="preserve"> </w:t>
      </w:r>
      <w:r>
        <w:rPr>
          <w:rFonts w:ascii="Times New Roman;sans-serif" w:hAnsi="Times New Roman;sans-serif"/>
          <w:b w:val="false"/>
          <w:color w:val="000000"/>
          <w:sz w:val="24"/>
        </w:rPr>
        <w:t>on the merits and Indemnitee shall not be prejudiced by reason of such prior determination that Indemnitee is not entitled to indemnification.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    If a determination that Indemnitee is entitled to indemnification has been made pursuant to Section 5 hereof, or is deemed to have been made pursuant to Section 4 hereof or otherwise pursuant to the terms of this Agreement, then the Corporation shall be bound by such determination or deemed determination in the absence of an intentional misrepresentation or omission of a material fact by Indemnitee in connection with such determination.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(d)    The Corporation shall be precluded from asserting that the procedures and presumptions of this Agreement are not valid, binding and enforceable. The Corporation shall stipulate in any such court or before any such arbitrator that the Corporation is bound by all the provisions of this Agreement and is precluded from making any assertion to the contrary.</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(e)    Expenses reasonably incurred by Indemnitee in connection with Indemnitee’s request for indemnification under this Agreement, seeking enforcement of this Agreement or to recover damages for breach of this Agreement shall be borne by the Corporation when and as incurred by Indemnitee irrespective of any Final Adverse Determination that Indemnitee is not entitled to indemnification.</w:t>
      </w:r>
    </w:p>
    <w:p>
      <w:pPr>
        <w:pStyle w:val="TextBody"/>
        <w:spacing w:lineRule="auto" w:line="240" w:before="0" w:after="240"/>
        <w:ind w:left="0" w:right="0" w:firstLine="720"/>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Contribution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If the Indemnitee is not entitled to the indemnification provided in Section 2 for any reason other than the statutory limitations set forth in the Delaware General Corporation Law, then the Corporation, in lieu of indemnifying Indemnitee, shall contribute to the amount of Expenses and Liabilities actually and reasonably incurred and paid or to be paid by the Indemnitee in such proportion as is deemed fair and reasonable in light of all the circumstances of the relevant Proceeding to reflect (i) the relative benefits received by the Corporation on the one hand and the Indemnitee on the other hand from the transaction from which such Proceeding arose and (ii) the relative fault of the Corporation on the one hand and of the Indemnitee on the other hand in connection with the events which resulted in such Expenses and Liabilities, as well as any other relevant equitable considerations. The relative fault of the Corporation on the one hand and of the Indemnitee on the other hand shall be determined by reference to, among other things, the parties’ relative intent, knowledge, access to information, and opportunity to correct or prevent the circumstances resulting in such Expenses and Liabilities. The Corporation agrees that it would not be just and equitable if contribution pursuant to this Section 9 were determined by pro rata allocation or any other method of allocation which does not take account of the foregoing equitable considerations.</w:t>
      </w:r>
    </w:p>
    <w:p>
      <w:pPr>
        <w:pStyle w:val="TextBody"/>
        <w:spacing w:before="0" w:after="240"/>
        <w:ind w:left="0" w:right="0" w:firstLine="72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5780"/>
                <wp:effectExtent l="0" t="0" r="0" b="0"/>
                <wp:wrapNone/>
                <wp:docPr id="43" name="Frame4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Partial Indemnification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If the Indemnitee is entitled under any provision of this Agreement to indemnification by the Corporation for some or a portion of any Expenses or Liabilities of any type whatsoever, but the Indemnitee is not entitled, however, to indemnification for the total amount thereof, then the Corporation shall nevertheless indemnify the Indemnitee for the portion thereof to which the Indemnitee is entitled.</w:t>
      </w:r>
    </w:p>
    <w:p>
      <w:pPr>
        <w:pStyle w:val="TextBody"/>
        <w:spacing w:lineRule="auto" w:line="240" w:before="0" w:after="240"/>
        <w:ind w:left="0" w:right="0" w:firstLine="720"/>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Maintenance of Insurance; Notice</w:t>
      </w:r>
      <w:r>
        <w:rPr>
          <w:rFonts w:ascii="Times New Roman;sans-serif" w:hAnsi="Times New Roman;sans-serif"/>
          <w:b w:val="false"/>
          <w:color w:val="000000"/>
          <w:sz w:val="24"/>
        </w:rPr>
        <w: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The Corporation represents that it presently has in place certain directors’ and officers’ liability insurance policies covering its directors and officers. Subject only to the provisions within this Section 11, the Corporation agrees that so long as Indemnitee shall have consented to serve or shall continue to serve as a director or officer of the Corporation, or both, or as an Agent of the Corporation, and thereafter so long as Indemnitee shall be subject to any possible Proceeding (such periods being hereinafter sometimes referred to as the “Indemnification Period”), the Corporation will use all reasonable efforts to maintain in effect for the benefit of Indemnitee one or more valid, binding and enforceable policies of directors’ and officers’ liability insurance from established and reputable insurers, providing, in all respects, coverage both in scope and amount which is no less favorable than that presently provided. Notwithstanding the foregoing, the Corporation shall not be required to maintain said policies of directors’ and officers’ liability insurance during any time period if during such period such insurance is not reasonably available or if it is determined in good faith by the then Board of Directors either that: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    The premium cost of maintaining such insurance is substantially disproportionate to the amount of coverage provided thereunder; 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    The protection provided by such insurance is so limited by exclusions, deductions or otherwise that there is insufficient benefit to warrant the cost of maintaining such insurance.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Anything in this Agreement to the contrary notwithstanding, to the extent that and for so long as the Corporation shall choose to continue to maintain any policies of directors’ and officers’ liability insurance during the Indemnification Period, the Corporation shall maintain similar and equivalent insurance for the benefit of Indemnitee during the Indemnification Period (unless such insurance shall be less favorable to Indemnitee than the Corporation’s existing policies).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If, at the time of the receipt of a written request for indemnification pursuant to Section 5(a), the Corporation has directors’ and officers’ liability insurance in effect, the Corporation shall give prompt notice of the commencement of the Proceeding to which such indemnification request relates to the insurer or insurers providing such directors’ and officers’ liability insurance in accordance with the procedures set forth in the respective directors’ and officers’ liability insurance policies. The Corporation shall thereafter take all necessary or desirable action to cause such insurers to pay, on behalf of the Indemnitee, all amounts payable by such insurers as a result of such proceeding in accordance with the terms of such directors’ and officers’ liability insurance policies.</w:t>
      </w:r>
    </w:p>
    <w:p>
      <w:pPr>
        <w:pStyle w:val="TextBody"/>
        <w:spacing w:lineRule="auto" w:line="240" w:before="0" w:after="240"/>
        <w:ind w:left="0" w:right="0" w:firstLine="720"/>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Modification, Waiver, Termination and Cancellation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 supplement, modification, termination, cancellation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5780"/>
                <wp:effectExtent l="0" t="0" r="0" b="0"/>
                <wp:wrapNone/>
                <wp:docPr id="44" name="Frame4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Subrogation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the event of a payment to the Indemnitee under this Agreement, the Corporation shall be subrogated to the extent of such payment to all of the rights of recovery of Indemnitee with respect to the circumstances giving rise to such payment, and such Indemnitee shall execute all papers reasonably required and shall do everything that may be necessary to secure any such subrogation rights, including the execution of such documents reasonably necessary to enable the Corporation effectively to bring suit to enforce such rights.</w:t>
      </w:r>
    </w:p>
    <w:p>
      <w:pPr>
        <w:pStyle w:val="TextBody"/>
        <w:spacing w:lineRule="auto" w:line="240" w:before="0" w:after="240"/>
        <w:ind w:left="0" w:right="0" w:firstLine="720"/>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Notice by Indemnitee and Defense of Claim</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Indemnitee shall promptly notify the Corporation in writing upon being served with any summons, citation, subpoena, complaint, indictment, information or other document relating to any matter, whether civil, criminal, administrative or investigative, but the omission so to notify the Corporation will not relieve it from any liability that it may have to Indemnitee if such omission does not prejudice the Corporation’s rights. If such omission does prejudice the Corporation’s rights, the Corporation will be relieved from liability only to the extent of such prejudice. Notwithstanding the foregoing, such omission will not relieve the Corporation from any liability that it may have to Indemnitee otherwise than under this Agreement. With respect to any Proceeding as to which Indemnitee notifies the Corporation of the commencement thereof:</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The Corporation will be entitled to participate therein at its own expense;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The Corporation jointly with any other indemnifying party similarly notified will be entitled to assume the defense thereof, with counsel reasonably satisfactory to Indemnitee; provided, however, that the Corporation shall not be entitled to assume the defense of any Proceeding without the Indemnitee’s written consent if there has been a Change in Control or if Indemnitee shall have reasonably concluded that there may be a conflict of interest between the Corporation and Indemnitee with respect to such Proceeding. After notice from the Corporation to Indemnitee of the Corporation’s election to assume the defense thereof, the Corporation will not be liable to Indemnitee under this Agreement for any Expenses subsequently incurred by Indemnitee in connection with the defense thereof, other than reasonable costs of investigation or as otherwise provided below. Indemnitee shall have the right to employ Indemnitee’s own counsel in such Proceeding, but the fees and expenses of such counsel incurred after notice from the Corporation of its assumption of the defense thereof shall be at the expense of Indemnitee unless: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    the employment of counsel by Indemnitee has been authorized by the Corporation;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    Indemnitee shall have reasonably concluded that counsel engaged by the Corporation may not adequately represent Indemnitee due to, among other things, actual or potential differing interests; 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    the Corporation shall not in fact have employed counsel to assume the defense in such Proceeding or shall not in fact have assumed such defense and be acting in connection therewith with reasonable diligence; in each of which cases the fees and expenses of such counsel shall be at the expense of the Corporation.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    The Corporation shall not settle any Proceeding in any manner that would impose any penalty or limitation on Indemnitee without Indemnitee’s written consent; provided, however, that Indemnitee will not unreasonably withhold his or her consent to any proposed settlement.</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45" name="Frame4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so mailed: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If to Indemnitee, to the last known residence address for Indemnitee on file with the Corporation; and</w:t>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(b)    If to the Corporation, to: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Fair Isaac Corporation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181 Metro Drive, Suite 700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San Jose, CA 95110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Attn: General Counsel</w:t>
      </w:r>
    </w:p>
    <w:p>
      <w:pPr>
        <w:pStyle w:val="TextBody"/>
        <w:spacing w:lineRule="auto" w:line="240" w:before="0" w:after="0"/>
        <w:rPr>
          <w:color w:val="000000"/>
        </w:rPr>
      </w:pPr>
      <w:r>
        <w:rPr>
          <w:color w:val="000000"/>
        </w:rPr>
        <w:t>    </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as may have been furnished to Indemnitee by the Corporation or to the Corporation by Indemnitee, as the case may be.</w:t>
      </w:r>
    </w:p>
    <w:p>
      <w:pPr>
        <w:pStyle w:val="TextBody"/>
        <w:spacing w:lineRule="auto" w:line="240" w:before="0" w:after="240"/>
        <w:ind w:left="0" w:right="0" w:firstLine="720"/>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Nonexclusivity</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rights of Indemnitee hereunder shall not be deemed exclusive of any other rights to which Indemnitee may be entitled under applicable law, the Corporation’s Restated Certificate of Incorporation or By-laws, or any agreements, vote of stockholders, resolution of the Board of Directors or otherwise, and to the extent that during the Indemnification Period the rights of the then existing directors and officers are more favorable to such directors or officers than the rights currently provided to Indemnitee thereunder or under this Agreement, Indemnitee shall be entitled to the full benefits of such more favorable rights.</w:t>
      </w:r>
    </w:p>
    <w:p>
      <w:pPr>
        <w:pStyle w:val="TextBody"/>
        <w:spacing w:lineRule="auto" w:line="240" w:before="0" w:after="240"/>
        <w:ind w:left="0" w:right="0" w:firstLine="720"/>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Certain Definitions</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Agent</w:t>
      </w:r>
      <w:r>
        <w:rPr>
          <w:color w:val="000000"/>
        </w:rPr>
        <w:t xml:space="preserve">” </w:t>
      </w:r>
      <w:r>
        <w:rPr>
          <w:rFonts w:ascii="Times New Roman;sans-serif" w:hAnsi="Times New Roman;sans-serif"/>
          <w:b w:val="false"/>
          <w:color w:val="000000"/>
          <w:sz w:val="24"/>
        </w:rPr>
        <w:t>shall mean any person who: (i) is or was a director or officer of the Corporation or a Subsidiary (as defined below) of the Corporation or serves or served as a member of any committee of the board of directors of the Corporation of any Subsidiary; (ii) is or was serving at the request of, for the convenience of, or to represent the interest of, the Corporation or a Subsidiary of the Corporation as a director or officer of, or member of a committee of the board of directors of (or comparable management body of), another foreign or domestic corporation, partnership, joint venture, limited liability company, trust or other enterprise or an affiliate of the Corporation; or (iii) is or was a director or officer (or member of a committee of the board of directors) of a foreign or domestic corporation which was a predecessor corporation of the Corporation or a Subsidiary of the Corporation, or is or was a director or officer (or member of a committee of the board of directors) of another enterprise or affiliate of the Corporation at the request of, for the convenience of, or to represent the interests of, such predecessor corporation. The term “</w:t>
      </w:r>
      <w:r>
        <w:rPr>
          <w:rFonts w:ascii="Times New Roman;sans-serif" w:hAnsi="Times New Roman;sans-serif"/>
          <w:b/>
          <w:i/>
          <w:color w:val="000000"/>
          <w:sz w:val="24"/>
        </w:rPr>
        <w:t>enterprise</w:t>
      </w:r>
      <w:r>
        <w:rPr>
          <w:color w:val="000000"/>
        </w:rPr>
        <w:t xml:space="preserve">” </w:t>
      </w:r>
      <w:r>
        <w:rPr>
          <w:rFonts w:ascii="Times New Roman;sans-serif" w:hAnsi="Times New Roman;sans-serif"/>
          <w:b w:val="false"/>
          <w:color w:val="000000"/>
          <w:sz w:val="24"/>
        </w:rPr>
        <w:t>includes, without limitation, any employee benefit plan of the Corporation, its Subsidiaries, affiliates and predecessor corporations. The term “</w:t>
      </w:r>
      <w:r>
        <w:rPr>
          <w:rFonts w:ascii="Times New Roman;sans-serif" w:hAnsi="Times New Roman;sans-serif"/>
          <w:b/>
          <w:i/>
          <w:color w:val="000000"/>
          <w:sz w:val="24"/>
        </w:rPr>
        <w:t>Subsidiary</w:t>
      </w:r>
      <w:r>
        <w:rPr>
          <w:color w:val="000000"/>
        </w:rPr>
        <w:t xml:space="preserve">” </w:t>
      </w:r>
      <w:r>
        <w:rPr>
          <w:rFonts w:ascii="Times New Roman;sans-serif" w:hAnsi="Times New Roman;sans-serif"/>
          <w:b w:val="false"/>
          <w:color w:val="000000"/>
          <w:sz w:val="24"/>
        </w:rPr>
        <w:t>means any corporation of which more than fifty percent (50%) of the outstanding voting securities is owned directly or indirectly by (i) the Corporation, (ii) the Corporation and one or more of its Subsidiaries or (iii) one or more of the Corporation’s Subsidiaries.</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46" name="Frame4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mean the occurrence after the date of this Agreement of any of the following:</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    Both (A) any “person” (as defined below) is or becomes the “beneficial owner” (as defined in Rule 13d-3 under the Exchange Act), directly or indirectly, of securities of the Corporation representing at least 15% of the total voting power represented by the Corporation’s then outstanding voting securities; and (B) the beneficial ownership by such person of securities representing such percentage has not been approved by a majority of the “continuing directors” (as defined below);</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(ii)    Any “person” is or becomes the “beneficial owner” (as defined in Rule 13d-3 under the Exchange Act), directly or indirectly, of securities of the Corporation representing at least 50% of the total voting power represented by the Corporation’s then outstanding voting securities;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(iii)    A change in the composition of the Board of Directors occurs, as a result of which fewer than two-thirds of the incumbent directors are directors who either (A) had been directors of the Corporation on the “look-back date” (as defined below) (the “Original Directors”) or (B) were elected, or nominated for election, to the Board of Directors with the affirmative votes of at least a majority in the aggregate of the Original Directors who were still in office at the time of the election or nomination and directors whose election or nomination was previously so approved (the “continuing directors”);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(iv)    The stockholders of the Corporation approve a merger or consolidation of the Corporation with any other corporation, if such merger or consolidation would result in the voting securities of the Corporation outstanding immediately prior thereto representing (either by remaining outstanding or by being converted into voting securities of the surviving entity) 50% or less of the total voting power represented by the voting securities of the Corporation or such surviving entity outstanding immediately after such merger or consolidation; 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    The stockholders of the Corporation approve (A) a plan of complete liquidation of the Corporation or (B) an agreement for the sale or disposition by the Corporation of all or substantially all of the Corporation’s assets.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For purposes of Subsection (i) above, the term “person” shall have the same meaning as when used in Sections 13(d) and 14(d) of the Exchange Act, but shall exclude (x) a trustee or other fiduciary holding securities under an employee benefit plan of the Corporation or of a parent or subsidiary of the Corporation or (y) a corporation owned directly or indirectly by the stockholders of the Corporation in substantially the same proportions as their ownership of the common stock of the Corporation.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For purposes of Subsection (iii) above, the term “look-back date” shall mean the later of (x) the date hereof or (y) the date 24 months prior to the date of the event that may constitute a “Change in Control.”</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Any other provision of this Section 17(b) notwithstanding, the term “Change in Control” shall not include a transaction, if undertaken at the election of the Corporation, the result of which is to sell all or substantially all of the assets of the Corporation to another corporation (the “surviving corporation”); provided that the surviving corporation is owned directly or indirectly by the stockholders of the Corporation immediately following such transaction in substantially the same proportions as their ownership of the Corporation’s common stock immediately preceding such transaction; and provided, further, that the surviving corporation expressly assumes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47" name="Frame4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Disinterested Director</w:t>
      </w:r>
      <w:r>
        <w:rPr>
          <w:color w:val="000000"/>
        </w:rPr>
        <w:t xml:space="preserve">” </w:t>
      </w:r>
      <w:r>
        <w:rPr>
          <w:rFonts w:ascii="Times New Roman;sans-serif" w:hAnsi="Times New Roman;sans-serif"/>
          <w:b w:val="false"/>
          <w:color w:val="000000"/>
          <w:sz w:val="24"/>
        </w:rPr>
        <w:t>shall mean a director of the Corporation who is not or was not a party to or otherwise involved in the Proceeding in respect of which indemnification is being sought by Indemnitee.</w:t>
      </w:r>
    </w:p>
    <w:p>
      <w:pPr>
        <w:pStyle w:val="TextBody"/>
        <w:spacing w:lineRule="auto" w:line="240" w:before="0" w:after="240"/>
        <w:ind w:left="0" w:right="0" w:firstLine="720"/>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Expenses</w:t>
      </w:r>
      <w:r>
        <w:rPr>
          <w:color w:val="000000"/>
        </w:rPr>
        <w:t xml:space="preserve">” </w:t>
      </w:r>
      <w:r>
        <w:rPr>
          <w:rFonts w:ascii="Times New Roman;sans-serif" w:hAnsi="Times New Roman;sans-serif"/>
          <w:b w:val="false"/>
          <w:color w:val="000000"/>
          <w:sz w:val="24"/>
        </w:rPr>
        <w:t>shall include all direct and indirect costs (including, without limitation, attorneys’ fees, retainers, court costs, transcripts, fees of experts, witness fees, travel expenses, duplicating costs, printing and binding costs, telephone charges, postage, delivery service fees, all other disbursements or out-of-pocket expenses and reasonable compensation for time spent by Indemnitee for which Indemnitee is otherwise not compensated by the Corporation or any third party) actually and reasonably incurred in connection with either the investigation, defense, settlement or appeal of a Proceeding or establishing or enforcing a right to indemnification under this Agreement, any similar agreement, the Restated Certificate of Incorporation or By-laws of the Corporation or any Subsidiary, applicable law or otherwise; provided, however, that “Expenses” shall not include any Liabilities.</w:t>
      </w:r>
    </w:p>
    <w:p>
      <w:pPr>
        <w:pStyle w:val="TextBody"/>
        <w:spacing w:lineRule="auto" w:line="240" w:before="0" w:after="240"/>
        <w:ind w:left="0" w:right="0" w:firstLine="720"/>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Final Adverse Determination</w:t>
      </w:r>
      <w:r>
        <w:rPr>
          <w:color w:val="000000"/>
        </w:rPr>
        <w:t xml:space="preserve">” </w:t>
      </w:r>
      <w:r>
        <w:rPr>
          <w:rFonts w:ascii="Times New Roman;sans-serif" w:hAnsi="Times New Roman;sans-serif"/>
          <w:b w:val="false"/>
          <w:color w:val="000000"/>
          <w:sz w:val="24"/>
        </w:rPr>
        <w:t>shall mean that a determination that Indemnitee is not entitled to indemnification shall have been made pursuant to Section 5 hereof and either (i) a final adjudication in the Court of Chancery of the State of Delaware or decision of an arbitrator pursuant to Section 8(a) hereof shall have denied Indemnitee’s right to indemnification hereunder, or (ii) Indemnitee shall have failed to file a complaint in a Delaware court or seek an arbitrator’s award pursuant to Section 8(a) for a period of one hundred eighty (180) days after the determination made pursuant to Section 5 hereof.</w:t>
      </w:r>
    </w:p>
    <w:p>
      <w:pPr>
        <w:pStyle w:val="TextBody"/>
        <w:spacing w:lineRule="auto" w:line="240" w:before="0" w:after="240"/>
        <w:ind w:left="0" w:right="0" w:firstLine="720"/>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Independent Legal Counsel</w:t>
      </w:r>
      <w:r>
        <w:rPr>
          <w:color w:val="000000"/>
        </w:rPr>
        <w:t xml:space="preserve">” </w:t>
      </w:r>
      <w:r>
        <w:rPr>
          <w:rFonts w:ascii="Times New Roman;sans-serif" w:hAnsi="Times New Roman;sans-serif"/>
          <w:b w:val="false"/>
          <w:color w:val="000000"/>
          <w:sz w:val="24"/>
        </w:rPr>
        <w:t>shall mean a law firm or a member of a firm selected by the Corporation and approved by Indemnitee (which approval shall not be unreasonably withheld) or, if there has been a Change in Control, selected by Indemnitee and approved by the Corporation (which approval shall not be unreasonably withheld), that neither is presently nor in the past five (5) years has been retained to represent: (i) the Corporation or any of its Subsidiaries or affiliates, or Indemnitee or any corporation of which Indemnitee was or is a director, officer, employee or agent, or any subsidiary or affiliate of such a corporation, in any material matter, or (ii) any other party to the Proceeding giving rise to a claim for indemnification hereunder. Notwithstanding the foregoing, the term “Independent Legal Counsel” shall not include any person who, under the applicable standards of professional conduct then prevailing, would have a conflict of interest in representing either the Corporation or Indemnitee in an action to determine Indemnitee’s right to indemnification under this Agreement.</w:t>
      </w:r>
    </w:p>
    <w:p>
      <w:pPr>
        <w:pStyle w:val="TextBody"/>
        <w:spacing w:lineRule="auto" w:line="240" w:before="0" w:after="240"/>
        <w:ind w:left="0" w:right="0" w:firstLine="720"/>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Liabilities</w:t>
      </w:r>
      <w:r>
        <w:rPr>
          <w:color w:val="000000"/>
        </w:rPr>
        <w:t xml:space="preserve">” </w:t>
      </w:r>
      <w:r>
        <w:rPr>
          <w:rFonts w:ascii="Times New Roman;sans-serif" w:hAnsi="Times New Roman;sans-serif"/>
          <w:b w:val="false"/>
          <w:color w:val="000000"/>
          <w:sz w:val="24"/>
        </w:rPr>
        <w:t>shall mean liabilities of any type whatsoever including, but not limited to, any judgments, fines, ERISA excise taxes and penalties, penalties and amounts paid in settlement (including all interest assessments and other charges paid or payable in connection with or in respect of such judgments, fines, penalties or amounts paid in settlement) of any Proceeding.</w:t>
      </w:r>
    </w:p>
    <w:p>
      <w:pPr>
        <w:pStyle w:val="TextBody"/>
        <w:spacing w:lineRule="auto" w:line="240" w:before="0" w:after="240"/>
        <w:ind w:left="0" w:right="0" w:firstLine="720"/>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shall mean any threatened, pending or completed action, claim, suit, arbitration, alternate dispute resolution mechanism, investigation, administrative hearing or any other proceeding whether civil, criminal, administrative or investigative, including any appeal therefrom, that is associated with Indemnitee’s being an Agent of the Corporation.</w:t>
      </w:r>
    </w:p>
    <w:p>
      <w:pPr>
        <w:pStyle w:val="TextBody"/>
        <w:spacing w:lineRule="auto" w:line="240" w:before="0" w:after="240"/>
        <w:ind w:left="0" w:right="0" w:firstLine="720"/>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Binding Effect; Duration and Scope of Agreement</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shall be binding upon and inure to the benefit of and be enforceable by the parties hereto and their respective successors and assigns (including any direct or indirect successor by purchase, merger, consolidation or otherwise to all or substantially all of the business or assets of the Corporation), spouses, heirs and personal and legal representatives.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48" name="Frame4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This Agreement shall continue in effect during the Indemnification Period, regardless of whether Indemnitee continues to serve as an Agent.</w:t>
      </w:r>
    </w:p>
    <w:p>
      <w:pPr>
        <w:pStyle w:val="TextBody"/>
        <w:spacing w:lineRule="auto" w:line="240" w:before="0" w:after="240"/>
        <w:ind w:left="0" w:right="0" w:firstLine="720"/>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If any provision or provisions of this Agreement (or any portion thereof) shall be held to be invalid, illegal or unenforceable for any reason whatsoever: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the validity, legality and enforceability of the remaining provisions of this Agreement shall not in any way be affected or impaired thereby;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to the fullest extent legally possible, the provisions of this Agreement shall be construed so as to give effect to the intent of any provision held invalid, illegal or unenforceable.</w:t>
      </w:r>
    </w:p>
    <w:p>
      <w:pPr>
        <w:pStyle w:val="TextBody"/>
        <w:spacing w:lineRule="auto" w:line="240" w:before="0" w:after="240"/>
        <w:ind w:left="0" w:right="0" w:firstLine="720"/>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Agreement shall be governed by and construed and enforced in accordance with the laws of the State of Delaware, as applied to contracts between Delaware residents entered into and to be performed entirely within the State of Delaware, without regard to conflict of laws rules.</w:t>
      </w:r>
    </w:p>
    <w:p>
      <w:pPr>
        <w:pStyle w:val="TextBody"/>
        <w:spacing w:lineRule="auto" w:line="240" w:before="0" w:after="240"/>
        <w:ind w:left="0" w:right="0" w:firstLine="720"/>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Consent to Jurisdiction</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Corporation and Indemnitee each irrevocably consent to the jurisdiction of the courts of the State of Delaware for all purposes in connection with any action or proceeding that arises out of or relates to this Agreement and agree that any action instituted under this Agreement shall be brought only in the state courts of the State of Delaware.</w:t>
      </w:r>
    </w:p>
    <w:p>
      <w:pPr>
        <w:pStyle w:val="TextBody"/>
        <w:spacing w:lineRule="auto" w:line="240" w:before="0" w:after="240"/>
        <w:ind w:left="0" w:right="0" w:firstLine="720"/>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represents the entire agreement between the parties hereto with respect to the subject matter of this Agreement, and there are no other agreements, contracts or understandings between the parties hereto with respect to the subject matter of this Agreement, except as specifically referred to in Section 16 hereof. </w:t>
      </w:r>
    </w:p>
    <w:p>
      <w:pPr>
        <w:pStyle w:val="TextBody"/>
        <w:spacing w:lineRule="auto" w:line="240" w:before="0" w:after="0"/>
        <w:ind w:left="0" w:right="0" w:firstLine="720"/>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Agreement may be executed in one or more counterparts, each of which shall for all purposes be deemed to be an original but all of which together shall constitute one and the same Agreement.</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Corporation has caused this Agreement to be executed by a duly authorized officer and Indemnitee has executed this Agreement as of the date first above written.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FAIR ISAAC CORPORATION</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color w:val="000000"/>
          <w:u w:val="single"/>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Mark R. Scadina</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INDEMNITEE</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color w:val="000000"/>
          <w:u w:val="single"/>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Approved 11.02.2022</w:t>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5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William J. Lansing,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tbl>
      <w:tblPr>
        <w:tblW w:w="2621" w:type="dxa"/>
        <w:jc w:val="left"/>
        <w:tblInd w:w="0" w:type="dxa"/>
        <w:tblCellMar>
          <w:top w:w="28" w:type="dxa"/>
          <w:left w:w="28" w:type="dxa"/>
          <w:bottom w:w="28" w:type="dxa"/>
          <w:right w:w="28" w:type="dxa"/>
        </w:tblCellMar>
      </w:tblPr>
      <w:tblGrid>
        <w:gridCol w:w="813"/>
        <w:gridCol w:w="716"/>
        <w:gridCol w:w="720"/>
        <w:gridCol w:w="109"/>
        <w:gridCol w:w="109"/>
        <w:gridCol w:w="154"/>
      </w:tblGrid>
      <w:tr>
        <w:trPr/>
        <w:tc>
          <w:tcPr>
            <w:tcW w:w="813"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Steven P. Weber,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tbl>
      <w:tblPr>
        <w:tblW w:w="4632" w:type="dxa"/>
        <w:jc w:val="left"/>
        <w:tblInd w:w="0" w:type="dxa"/>
        <w:tblCellMar>
          <w:top w:w="28" w:type="dxa"/>
          <w:left w:w="28" w:type="dxa"/>
          <w:bottom w:w="28" w:type="dxa"/>
          <w:right w:w="28" w:type="dxa"/>
        </w:tblCellMar>
      </w:tblPr>
      <w:tblGrid>
        <w:gridCol w:w="1544"/>
        <w:gridCol w:w="1355"/>
        <w:gridCol w:w="1361"/>
        <w:gridCol w:w="109"/>
        <w:gridCol w:w="109"/>
        <w:gridCol w:w="154"/>
      </w:tblGrid>
      <w:tr>
        <w:trPr/>
        <w:tc>
          <w:tcPr>
            <w:tcW w:w="154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Interim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spacing w:lineRule="auto" w:line="288" w:before="0" w:after="0"/>
        <w:rPr>
          <w:color w:val="000000"/>
        </w:rPr>
      </w:pPr>
      <w:r>
        <w:rPr>
          <w:color w:val="000000"/>
        </w:rPr>
        <w:t> </w:t>
      </w:r>
    </w:p>
    <w:tbl>
      <w:tblPr>
        <w:tblW w:w="4124" w:type="dxa"/>
        <w:jc w:val="left"/>
        <w:tblInd w:w="0" w:type="dxa"/>
        <w:tblCellMar>
          <w:top w:w="28" w:type="dxa"/>
          <w:left w:w="28" w:type="dxa"/>
          <w:bottom w:w="28" w:type="dxa"/>
          <w:right w:w="28" w:type="dxa"/>
        </w:tblCellMar>
      </w:tblPr>
      <w:tblGrid>
        <w:gridCol w:w="200"/>
        <w:gridCol w:w="177"/>
        <w:gridCol w:w="178"/>
        <w:gridCol w:w="429"/>
        <w:gridCol w:w="429"/>
        <w:gridCol w:w="431"/>
        <w:gridCol w:w="666"/>
        <w:gridCol w:w="666"/>
        <w:gridCol w:w="94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spacing w:lineRule="auto" w:line="288" w:before="0" w:after="0"/>
        <w:rPr>
          <w:color w:val="000000"/>
        </w:rPr>
      </w:pPr>
      <w:r>
        <w:rPr>
          <w:color w:val="000000"/>
        </w:rPr>
        <w:t> </w:t>
      </w:r>
    </w:p>
    <w:tbl>
      <w:tblPr>
        <w:tblW w:w="6133" w:type="dxa"/>
        <w:jc w:val="left"/>
        <w:tblInd w:w="0" w:type="dxa"/>
        <w:tblCellMar>
          <w:top w:w="28" w:type="dxa"/>
          <w:left w:w="28" w:type="dxa"/>
          <w:bottom w:w="28" w:type="dxa"/>
          <w:right w:w="28" w:type="dxa"/>
        </w:tblCellMar>
      </w:tblPr>
      <w:tblGrid>
        <w:gridCol w:w="200"/>
        <w:gridCol w:w="177"/>
        <w:gridCol w:w="178"/>
        <w:gridCol w:w="429"/>
        <w:gridCol w:w="429"/>
        <w:gridCol w:w="431"/>
        <w:gridCol w:w="1254"/>
        <w:gridCol w:w="1254"/>
        <w:gridCol w:w="178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Interim 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14547/000095012310009970/c56194exv3w2.htm" TargetMode="External"/><Relationship Id="rId3" Type="http://schemas.openxmlformats.org/officeDocument/2006/relationships/hyperlink" Target="http://www.sec.gov/Archives/edgar/data/814547/000095012310009970/c56194exv3w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24065</Words>
  <CharactersWithSpaces>154594</CharactersWithSpaces>
  <Paragraphs>3532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