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ans-serif" w:hAnsi="Times New Roman;sans-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Fair Isaac Corporation</w:t>
      </w:r>
    </w:p>
    <w:p>
      <w:pPr>
        <w:pStyle w:val="TextBody"/>
        <w:bidi w:val="0"/>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 w:after="283"/>
        <w:jc w:val="center"/>
        <w:rPr/>
      </w:pPr>
      <w:r>
        <w:rPr>
          <w:rFonts w:ascii="Times New Roman;sans-serif" w:hAnsi="Times New Roman;sans-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on July 21, 2023 was 24,857,214 (excluding 63,999,569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0">
              <w:r>
                <w:rPr>
                  <w:rStyle w:val="InternetLink"/>
                  <w:rFonts w:ascii="Times New Roman;sans-serif" w:hAnsi="Times New Roman;sans-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6">
              <w:r>
                <w:rPr>
                  <w:rStyle w:val="InternetLink"/>
                  <w:rFonts w:ascii="Times New Roman;sans-serif" w:hAnsi="Times New Roman;sans-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3">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79">
              <w:r>
                <w:rPr>
                  <w:rStyle w:val="InternetLink"/>
                  <w:rFonts w:ascii="Times New Roman;sans-serif" w:hAnsi="Times New Roman;sans-serif"/>
                  <w:b w:val="false"/>
                  <w:color w:val="0000FF"/>
                  <w:sz w:val="20"/>
                  <w:u w:val="singl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09">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09">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12">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12">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15">
              <w:r>
                <w:rPr>
                  <w:rStyle w:val="InternetLink"/>
                  <w:rFonts w:ascii="Times New Roman;sans-serif" w:hAnsi="Times New Roman;sans-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18">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18">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21">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21">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24">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24">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27">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27">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30">
              <w:r>
                <w:rPr>
                  <w:rStyle w:val="InternetLink"/>
                  <w:rFonts w:ascii="Times New Roman;sans-serif" w:hAnsi="Times New Roman;sans-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30">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33">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33">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36">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36">
              <w:r>
                <w:rPr>
                  <w:rStyle w:val="InternetLink"/>
                  <w:rFonts w:ascii="Times New Roman;sans-serif" w:hAnsi="Times New Roman;sans-serif"/>
                  <w:b w:val="false"/>
                  <w:color w:val="0000FF"/>
                  <w:sz w:val="20"/>
                  <w:u w:val="single"/>
                </w:rPr>
                <w:t>33</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d873c2b14e949cda27adbb2b3a309e7_139">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873c2b14e949cda27adbb2b3a309e7_139">
              <w:r>
                <w:rPr>
                  <w:rStyle w:val="InternetLink"/>
                  <w:rFonts w:ascii="Times New Roman;sans-serif" w:hAnsi="Times New Roman;sans-serif"/>
                  <w:b w:val="false"/>
                  <w:color w:val="0000FF"/>
                  <w:sz w:val="20"/>
                  <w:u w:val="single"/>
                </w:rPr>
                <w:t>34</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2"/>
        <w:gridCol w:w="2228"/>
        <w:gridCol w:w="2182"/>
        <w:gridCol w:w="211"/>
        <w:gridCol w:w="976"/>
        <w:gridCol w:w="109"/>
        <w:gridCol w:w="109"/>
        <w:gridCol w:w="109"/>
        <w:gridCol w:w="109"/>
        <w:gridCol w:w="227"/>
        <w:gridCol w:w="1054"/>
        <w:gridCol w:w="169"/>
      </w:tblGrid>
      <w:tr>
        <w:trPr/>
        <w:tc>
          <w:tcPr>
            <w:tcW w:w="27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7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par value data)</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w:t>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29,103</w:t>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484,715</w:t>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w:t>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1,442,034 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88,857 shares issued and 24,892 and 25,154 shares outstanding at June 30, 2023 and September 30,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(63,965 and 63,703 shares at June 30, 2023 and September 30, 2022,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(4,935,769)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(801,947)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1,442,034 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79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1,281,270 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(5,110,421)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(99,769)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(770,793)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1,312,390 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1,242,280 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(4,599,242)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1,269,289 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(103,695)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1,312,390 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(5,208,553)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3,286,635 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(703,976)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1,237,348 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(3,857,855)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(75,854)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(1,039,984)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1,269,289 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(4,881,304)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(103,695)</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2"/>
        <w:gridCol w:w="2357"/>
        <w:gridCol w:w="2373"/>
        <w:gridCol w:w="211"/>
        <w:gridCol w:w="826"/>
        <w:gridCol w:w="109"/>
        <w:gridCol w:w="109"/>
        <w:gridCol w:w="109"/>
        <w:gridCol w:w="109"/>
        <w:gridCol w:w="212"/>
        <w:gridCol w:w="832"/>
        <w:gridCol w:w="156"/>
      </w:tblGrid>
      <w:tr>
        <w:trPr/>
        <w:tc>
          <w:tcPr>
            <w:tcW w:w="280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7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sales and abandonment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product line asset sales, net of cash transferred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line of credit and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line of credit and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treasury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of $567 and $1,021 during the nine-month periods ended June 30, 2023 and 2022,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repurchases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Isaac Corporation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Fair Isaac Corporation (NYSE: FICO) (together with its consolidated subsidiaries, the “Company,” which may also be referred to in this report as “we,” “us,” “our,” or “FICO”) is a leading applied analytics company.</w:t>
      </w:r>
      <w:r>
        <w:rPr>
          <w:color w:val="000000"/>
        </w:rPr>
        <w:t xml:space="preserve"> </w:t>
      </w: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2022.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estimates and assumptions that affect the amounts reported in the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October 2021, the Financial Accounting Standards Board (“FASB”) issued Accounting Standards Update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w:t>
      </w:r>
      <w:r>
        <w:rPr>
          <w:rFonts w:ascii="Times New Roman;sans-serif" w:hAnsi="Times New Roman;sans-serif"/>
          <w:b w:val="false"/>
          <w:color w:val="000000"/>
          <w:sz w:val="20"/>
        </w:rPr>
        <w:t xml:space="preserve">(“ASU 2021-08”). ASU 2021-08 requires an acquirer in a business combination to recognize and measure contract assets and contract liabilities from acquired contracts using the revenue recognition guidance under 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in order to align the recognition of a contract liability with the definition of a performance obligation.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condensed consolidated financial statements.</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pronouncements will have a significant effect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2. Fair Value Measurements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June 30, 2023 and September 30,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June 30, 2023 and September 30,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June 30, 2023 and September 30, 2022.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financial assets that we measured at fair value on a recurring basis at June 30, 2023 and September 30, 2022:</w:t>
      </w:r>
    </w:p>
    <w:tbl>
      <w:tblPr>
        <w:tblW w:w="6837" w:type="dxa"/>
        <w:jc w:val="left"/>
        <w:tblInd w:w="0" w:type="dxa"/>
        <w:tblLayout w:type="fixed"/>
        <w:tblCellMar>
          <w:top w:w="28" w:type="dxa"/>
          <w:left w:w="28" w:type="dxa"/>
          <w:bottom w:w="28" w:type="dxa"/>
          <w:right w:w="28" w:type="dxa"/>
        </w:tblCellMar>
      </w:tblPr>
      <w:tblGrid>
        <w:gridCol w:w="746"/>
        <w:gridCol w:w="657"/>
        <w:gridCol w:w="666"/>
        <w:gridCol w:w="331"/>
        <w:gridCol w:w="1133"/>
        <w:gridCol w:w="172"/>
        <w:gridCol w:w="109"/>
        <w:gridCol w:w="109"/>
        <w:gridCol w:w="109"/>
        <w:gridCol w:w="543"/>
        <w:gridCol w:w="1863"/>
        <w:gridCol w:w="399"/>
      </w:tblGrid>
      <w:tr>
        <w:trPr/>
        <w:tc>
          <w:tcPr>
            <w:tcW w:w="7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as of </w:t>
              <w:br/>
              <w:t>June 30,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59,850 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2022</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43,829 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43,829 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 at June 30, 2023 and September 30, 2022. Not included in these tables are cash deposits of $135.2 million and $113.9 million at June 30, 2023 and September 30, 2022,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June 30, 2023 and September 30, 2022.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7 for the fair value of our senior notes.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of the fair value hierarchy during the quarters and nine-month periods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June 30, 2023 and September 30, 2022:</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June 30, 2023 and September 30, 2022; therefore, their fair value was $0 on each of these dates.</w:t>
      </w:r>
    </w:p>
    <w:p>
      <w:pPr>
        <w:pStyle w:val="TextBody"/>
        <w:bidi w:val="0"/>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derivative financial instruments were recorded in our condensed consolidated statements of income and comprehensive income as a component of other income (expense), net, and consisted of the following: </w:t>
      </w:r>
    </w:p>
    <w:tbl>
      <w:tblPr>
        <w:tblW w:w="9075" w:type="dxa"/>
        <w:jc w:val="left"/>
        <w:tblInd w:w="0" w:type="dxa"/>
        <w:tblLayout w:type="fixed"/>
        <w:tblCellMar>
          <w:top w:w="28" w:type="dxa"/>
          <w:left w:w="28" w:type="dxa"/>
          <w:bottom w:w="28" w:type="dxa"/>
          <w:right w:w="28" w:type="dxa"/>
        </w:tblCellMar>
      </w:tblPr>
      <w:tblGrid>
        <w:gridCol w:w="1559"/>
        <w:gridCol w:w="1368"/>
        <w:gridCol w:w="1378"/>
        <w:gridCol w:w="211"/>
        <w:gridCol w:w="46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foreign currency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 income and comprehensive income. Amortization expense consisted of the following:</w:t>
      </w:r>
      <w:r>
        <w:rPr>
          <w:color w:val="000000"/>
        </w:rPr>
        <w:t> </w:t>
      </w:r>
    </w:p>
    <w:tbl>
      <w:tblPr>
        <w:tblW w:w="7562" w:type="dxa"/>
        <w:jc w:val="left"/>
        <w:tblInd w:w="0" w:type="dxa"/>
        <w:tblLayout w:type="fixed"/>
        <w:tblCellMar>
          <w:top w:w="28" w:type="dxa"/>
          <w:left w:w="28" w:type="dxa"/>
          <w:bottom w:w="28" w:type="dxa"/>
          <w:right w:w="28" w:type="dxa"/>
        </w:tblCellMar>
      </w:tblPr>
      <w:tblGrid>
        <w:gridCol w:w="1131"/>
        <w:gridCol w:w="991"/>
        <w:gridCol w:w="998"/>
        <w:gridCol w:w="211"/>
        <w:gridCol w:w="466"/>
        <w:gridCol w:w="109"/>
        <w:gridCol w:w="109"/>
        <w:gridCol w:w="109"/>
        <w:gridCol w:w="109"/>
        <w:gridCol w:w="211"/>
        <w:gridCol w:w="466"/>
        <w:gridCol w:w="109"/>
        <w:gridCol w:w="109"/>
        <w:gridCol w:w="109"/>
        <w:gridCol w:w="109"/>
        <w:gridCol w:w="223"/>
        <w:gridCol w:w="494"/>
        <w:gridCol w:w="115"/>
        <w:gridCol w:w="115"/>
        <w:gridCol w:w="115"/>
        <w:gridCol w:w="115"/>
        <w:gridCol w:w="223"/>
        <w:gridCol w:w="653"/>
        <w:gridCol w:w="163"/>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relationships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intangible asset amortization expense associated with intangible assets existing at June 30, 2023 was as follows:</w:t>
      </w:r>
    </w:p>
    <w:tbl>
      <w:tblPr>
        <w:tblW w:w="5790" w:type="dxa"/>
        <w:jc w:val="left"/>
        <w:tblInd w:w="0" w:type="dxa"/>
        <w:tblLayout w:type="fixed"/>
        <w:tblCellMar>
          <w:top w:w="28" w:type="dxa"/>
          <w:left w:w="28" w:type="dxa"/>
          <w:bottom w:w="28" w:type="dxa"/>
          <w:right w:w="28" w:type="dxa"/>
        </w:tblCellMar>
      </w:tblPr>
      <w:tblGrid>
        <w:gridCol w:w="1666"/>
        <w:gridCol w:w="1467"/>
        <w:gridCol w:w="1472"/>
        <w:gridCol w:w="255"/>
        <w:gridCol w:w="744"/>
        <w:gridCol w:w="186"/>
      </w:tblGrid>
      <w:tr>
        <w:trPr/>
        <w:tc>
          <w:tcPr>
            <w:tcW w:w="166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September 30,</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nine months ended June 30, 2023)</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following table summarizes changes to goodwill during the nine months ended June 30, 2023, both in total and as allocated to our segments. We have not recognized any goodwill impairment losses to date.</w:t>
      </w:r>
      <w:r>
        <w:rPr>
          <w:color w:val="000000"/>
        </w:rPr>
        <w:t> </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5. Composition of Certain Financial Statement Captions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property and equipment, net and other accrued liabilities at June 30, 2023 and September 30, 2022:</w:t>
      </w:r>
    </w:p>
    <w:tbl>
      <w:tblPr>
        <w:tblW w:w="7194" w:type="dxa"/>
        <w:jc w:val="left"/>
        <w:tblInd w:w="0" w:type="dxa"/>
        <w:tblLayout w:type="fixed"/>
        <w:tblCellMar>
          <w:top w:w="28" w:type="dxa"/>
          <w:left w:w="28" w:type="dxa"/>
          <w:bottom w:w="28" w:type="dxa"/>
          <w:right w:w="28" w:type="dxa"/>
        </w:tblCellMar>
      </w:tblPr>
      <w:tblGrid>
        <w:gridCol w:w="1642"/>
        <w:gridCol w:w="1440"/>
        <w:gridCol w:w="1448"/>
        <w:gridCol w:w="211"/>
        <w:gridCol w:w="826"/>
        <w:gridCol w:w="109"/>
        <w:gridCol w:w="109"/>
        <w:gridCol w:w="109"/>
        <w:gridCol w:w="109"/>
        <w:gridCol w:w="211"/>
        <w:gridCol w:w="826"/>
        <w:gridCol w:w="154"/>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accrued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6. Revolving Line of Credit and Term Loan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$365.0 million in borrowings outstanding under the revolving line of credit at a weighted-average interest rate of 6.723%, and $277.5 million in outstanding balance of the term loan at an interest rate of 6.830%, of which $527.5 million was classified as a long-term liability and recorded in long-term debt within the accompanying condensed consolidated balance sheets. We were in compliance with all financial covenants under this credit agreement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7. 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for the Senior Notes contain certain covenants typical of unsecured obligations and we were in compliance as of June 30, 2023.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face values and fair values for the Senior Notes at June 30, 2023 and September 30, 2022:</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Face Value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ans-serif" w:hAnsi="Times New Roman;sans-serif"/>
          <w:b w:val="false"/>
          <w:color w:val="000000"/>
          <w:sz w:val="18"/>
        </w:rPr>
        <w:t xml:space="preserve">(*) </w:t>
      </w:r>
      <w:r>
        <w:rPr>
          <w:rFonts w:ascii="Times New Roman;sans-serif" w:hAnsi="Times New Roman;sans-serif"/>
          <w:b w:val="false"/>
          <w:color w:val="000000"/>
          <w:sz w:val="20"/>
        </w:rPr>
        <w:t>The carrying value of the Senior Notes was the face value reduced by the net debt issuance costs of $12.2 million and $14.3 million at June 30, 2023 and September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8. Revenue from Contracts with Customers</w:t>
      </w:r>
    </w:p>
    <w:p>
      <w:pPr>
        <w:pStyle w:val="TextBody"/>
        <w:bidi w:val="0"/>
        <w:spacing w:lineRule="auto" w:line="288" w:before="120" w:after="283"/>
        <w:ind w:left="0" w:right="0" w:firstLine="25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2022</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27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2022</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deployment method:</w:t>
      </w:r>
    </w:p>
    <w:tbl>
      <w:tblPr>
        <w:tblW w:w="10992" w:type="dxa"/>
        <w:jc w:val="left"/>
        <w:tblInd w:w="0" w:type="dxa"/>
        <w:tblLayout w:type="fixed"/>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product features:</w:t>
      </w:r>
    </w:p>
    <w:tbl>
      <w:tblPr>
        <w:tblW w:w="11082" w:type="dxa"/>
        <w:jc w:val="left"/>
        <w:tblInd w:w="0" w:type="dxa"/>
        <w:tblLayout w:type="fixed"/>
        <w:tblCellMar>
          <w:top w:w="28" w:type="dxa"/>
          <w:left w:w="28" w:type="dxa"/>
          <w:bottom w:w="28" w:type="dxa"/>
          <w:right w:w="28" w:type="dxa"/>
        </w:tblCellMar>
      </w:tblPr>
      <w:tblGrid>
        <w:gridCol w:w="652"/>
        <w:gridCol w:w="305"/>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65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software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timing of revenue recognition:</w:t>
      </w:r>
    </w:p>
    <w:tbl>
      <w:tblPr>
        <w:tblW w:w="10962" w:type="dxa"/>
        <w:jc w:val="left"/>
        <w:tblInd w:w="0" w:type="dxa"/>
        <w:tblLayout w:type="fixed"/>
        <w:tblCellMar>
          <w:top w:w="28" w:type="dxa"/>
          <w:left w:w="28" w:type="dxa"/>
          <w:bottom w:w="28" w:type="dxa"/>
          <w:right w:w="28" w:type="dxa"/>
        </w:tblCellMar>
      </w:tblPr>
      <w:tblGrid>
        <w:gridCol w:w="445"/>
        <w:gridCol w:w="325"/>
        <w:gridCol w:w="326"/>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Software recognized at a point in time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Software recognized over contract term</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license portion of our on-premises subscription software and perpetual license,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11772" w:type="dxa"/>
        <w:jc w:val="left"/>
        <w:tblInd w:w="0" w:type="dxa"/>
        <w:tblLayout w:type="fixed"/>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42% and 41% of our total revenues in the quarters ended June 30, 2023 and 2022, respectively, with all three consumer reporting agencies each contributing more than 10% of our total revenues in each of the quarters ended June 30, 2023 and 2022. Revenues collectively generated by agreements with these customers accounted for 40% and 39% of our total revenues in the nine months ended June 30, 2023 and 2022, respectively, with three and two consumer reporting agencies each contributing more than 10% of our total revenues in the nine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TextBody"/>
        <w:bidi w:val="0"/>
        <w:spacing w:lineRule="auto" w:line="288" w:before="180" w:after="200"/>
        <w:ind w:left="0" w:right="0" w:firstLine="450"/>
        <w:jc w:val="both"/>
        <w:rPr/>
      </w:pPr>
      <w:r>
        <w:rPr>
          <w:rFonts w:ascii="Times New Roman;sans-serif" w:hAnsi="Times New Roman;sans-serif"/>
          <w:b w:val="false"/>
          <w:color w:val="000000"/>
          <w:sz w:val="20"/>
        </w:rPr>
        <w:t>Receivables at June 30, 2023 and September 30, 2022 consisted of the following:</w:t>
      </w:r>
      <w:r>
        <w:rPr>
          <w:color w:val="000000"/>
        </w:rPr>
        <w:t> </w:t>
      </w:r>
    </w:p>
    <w:tbl>
      <w:tblPr>
        <w:tblW w:w="6256" w:type="dxa"/>
        <w:jc w:val="left"/>
        <w:tblInd w:w="0" w:type="dxa"/>
        <w:tblLayout w:type="fixed"/>
        <w:tblCellMar>
          <w:top w:w="28" w:type="dxa"/>
          <w:left w:w="28" w:type="dxa"/>
          <w:bottom w:w="28" w:type="dxa"/>
          <w:right w:w="28" w:type="dxa"/>
        </w:tblCellMar>
      </w:tblPr>
      <w:tblGrid>
        <w:gridCol w:w="1151"/>
        <w:gridCol w:w="1014"/>
        <w:gridCol w:w="1029"/>
        <w:gridCol w:w="211"/>
        <w:gridCol w:w="826"/>
        <w:gridCol w:w="109"/>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203,351 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364,519 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long-term receivables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receivables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322,410 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2985"/>
        <w:gridCol w:w="2620"/>
        <w:gridCol w:w="2629"/>
        <w:gridCol w:w="109"/>
        <w:gridCol w:w="109"/>
        <w:gridCol w:w="109"/>
        <w:gridCol w:w="290"/>
        <w:gridCol w:w="1139"/>
        <w:gridCol w:w="215"/>
      </w:tblGrid>
      <w:tr>
        <w:trPr/>
        <w:tc>
          <w:tcPr>
            <w:tcW w:w="2985"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w:t>
              <w:br/>
              <w:t>June 30, 2023</w:t>
            </w:r>
          </w:p>
        </w:tc>
      </w:tr>
      <w:tr>
        <w:trPr/>
        <w:tc>
          <w:tcPr>
            <w:tcW w:w="8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112,457 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r>
      <w:tr>
        <w:trPr/>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134,113 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Deferred revenues at June 30, 2023 included current portion of $127.3 million and long-term portion of $6.8 million that were recorded in deferred revenue and other liabilities, respectively, within the condensed consolidated balance sheets. Deferred revenues at September 30, 2022 included current portion of $120.0 million and long-term portion of $6.6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was $428.7 million as of June 30, 2023, approximately 51% of which we expect to recognize over the next 16 months and the remainder thereafter. Revenue allocated to remaining performance obligations was $357.4 million as of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18.4% and 22.7% during the quarters ended June 30, 2023 and 2022, respectively, and 20.6% and 21.0% during the nine months ended June 30, 2023 and 2022,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enacted as part of the 2017 Tax Cuts and Jobs Act requires companies to capitalize research and experimental expenditures for tax purposes. The provision is effective for fiscal years beginning after December 31, 2021, which means that it was effective for our fiscal year beginning October 1, 2022. While this provision is not expected to have a material impact on our fiscal 2023 effective tax rate, we expect our fiscal 2023 cash tax payments and related deferred tax asset positions to increase significantly compared to fiscal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tax benefit for uncertain tax positions was estimated to be $14.3 million and $13.0 million at June 30, 2023 and September 30, 2022, respectively. We recognize interest expense related to unrecognized tax benefits and penalties as part of the provision for income taxes in our condensed consolidated statements of income and comprehensive income. We accrued interest of $1.0 million and $0.5 million related to unrecognized tax benefits as of June 30, 2023 and September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The following table presents reconciliations for the numerators and denominators of basic and diluted earnings per share (“EPS”) for the quarters and nine-month periods ended June 30, 2023 and 2022:</w:t>
      </w:r>
      <w:r>
        <w:rPr>
          <w:color w:val="000000"/>
        </w:rPr>
        <w:t> </w:t>
      </w:r>
    </w:p>
    <w:tbl>
      <w:tblPr>
        <w:tblW w:w="9749"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11. Segment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Scores.</w:t>
      </w:r>
      <w:r>
        <w:rPr>
          <w:color w:val="000000"/>
        </w:rPr>
        <w:t xml:space="preserve"> </w:t>
      </w:r>
      <w:r>
        <w:rPr>
          <w:rFonts w:ascii="Times New Roman;sans-serif" w:hAnsi="Times New Roman;sans-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Software</w:t>
      </w:r>
      <w:r>
        <w:rPr>
          <w:rFonts w:ascii="Times New Roman;sans-serif" w:hAnsi="Times New Roman;sans-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recast certain prior period amounts within this note to conform to the way we internally managed and monitored segment performance during the current fiscal year, reflecting immaterial movements of business activities between segments and changes in cost allocations.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segment information for the quarters and nine-month periods ended June 30, 2023 and 2022:</w:t>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 2022</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675"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tbl>
      <w:tblPr>
        <w:tblW w:w="9675" w:type="dxa"/>
        <w:jc w:val="center"/>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2022</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Contingencies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of our Annual Report on Form 10-K for the fiscal year ended September 30, 2022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nearly 120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 xml:space="preserve">Highlights from the quarter and nine months ended June 30, 2023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was $398.7 million during the quarter ended June 30, 2023, a 14% increase from the quarter ended June 30, 2022, and $1.1 billion during the nine months ended June 30, 2023, a 9% increase from the nine months ended June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for our Scores segment was $201.8 million during the quarter ended June 30, 2023, a 13% increase from the quarter ended June 30, 2022, and $578.3 million during the nine months ended June 30, 2023, a 9% increase from the nine months ended June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Annual Recurring Revenue for our Software segment as of June 30, 2023 was $645.9 million, a 20% increase from June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Dollar-Based Net Retention Rate for our Software segment was 117% during the quarter ended June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income was $177.0 million during the quarter ended June 30, 2023, a 26% increase from the quarter ended June 30, 2022, and $477.1 million during the nine months ended June 30, 2023, a 17% increase from the nine months ended June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was $128.8 million during the quarter ended June 30, 2023, a 38% increase from the quarter ended June 30, 2022, and $328.0 million during the nine months ended June 30, 2023, a 16% increase from the nine months ended June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Diluted EPS was $5.08 during the quarter ended June 30, 2023, a 41% increase from the quarter ended June 30, 2022, and $12.91 during the nine months ended June 30, 2023, a 21% increase from the nine months ended June 30, 2022.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flows from operating activities were $304.9 million during the nine months ended June 30, 2023, compared with $364.6 million during the nine months ended June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and cash equivalents were $163.0 million as of June 30, 2023, compared with $133.2 million as of September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debt balance was $1.9 billion as of June 30, 2023 and September 30,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share repurchases during the quarter ended June 30, 2023 were $98.6 million, compared with $282.4 million during the quarter ended June 30, 2022, and during the nine months ended June 30, 2023 were $289.9 million, compared with $1.0 billion during the nine months ended June 30, 2022.</w:t>
      </w:r>
    </w:p>
    <w:p>
      <w:pPr>
        <w:pStyle w:val="TextBody"/>
        <w:bidi w:val="0"/>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Key performance metrics for Software segment</w:t>
      </w:r>
    </w:p>
    <w:p>
      <w:pPr>
        <w:pStyle w:val="TextBody"/>
        <w:bidi w:val="0"/>
        <w:spacing w:lineRule="auto" w:line="288" w:before="12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Contract Value Bookings (“ACV Bookings”)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regards ACV Bookings as an important indicator of future revenues, but they are not comparable to, nor are they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disclose estimated revenue expected to be recognized in the future related to remaining performance obligations in Note 8 to the accompanying condensed consolidated financial statements. However, we believe ACV Bookings is a more meaningful measure of our business as it includes estimated revenues and future billings excluded from Note 8, such as usage-based fees and guaranteed minimums derived from our on-premises software licenses,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ACV Bookings during the periods indicated:</w:t>
      </w:r>
    </w:p>
    <w:tbl>
      <w:tblPr>
        <w:tblW w:w="7819" w:type="dxa"/>
        <w:jc w:val="left"/>
        <w:tblInd w:w="0" w:type="dxa"/>
        <w:tblLayout w:type="fixed"/>
        <w:tblCellMar>
          <w:top w:w="28" w:type="dxa"/>
          <w:left w:w="28" w:type="dxa"/>
          <w:bottom w:w="28" w:type="dxa"/>
          <w:right w:w="28" w:type="dxa"/>
        </w:tblCellMar>
      </w:tblPr>
      <w:tblGrid>
        <w:gridCol w:w="1190"/>
        <w:gridCol w:w="1046"/>
        <w:gridCol w:w="1049"/>
        <w:gridCol w:w="211"/>
        <w:gridCol w:w="511"/>
        <w:gridCol w:w="109"/>
        <w:gridCol w:w="109"/>
        <w:gridCol w:w="109"/>
        <w:gridCol w:w="109"/>
        <w:gridCol w:w="211"/>
        <w:gridCol w:w="511"/>
        <w:gridCol w:w="109"/>
        <w:gridCol w:w="109"/>
        <w:gridCol w:w="109"/>
        <w:gridCol w:w="109"/>
        <w:gridCol w:w="230"/>
        <w:gridCol w:w="557"/>
        <w:gridCol w:w="119"/>
        <w:gridCol w:w="119"/>
        <w:gridCol w:w="119"/>
        <w:gridCol w:w="119"/>
        <w:gridCol w:w="230"/>
        <w:gridCol w:w="557"/>
        <w:gridCol w:w="168"/>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on-premises and SaaS software </w:t>
            </w:r>
            <w:r>
              <w:rPr>
                <w:rFonts w:ascii="Times New Roman;sans-serif" w:hAnsi="Times New Roman;sans-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amounts above exclude this product line for all periods presented.</w:t>
      </w:r>
    </w:p>
    <w:p>
      <w:pPr>
        <w:pStyle w:val="TextBody"/>
        <w:bidi w:val="0"/>
        <w:spacing w:lineRule="auto" w:line="288" w:before="24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 xml:space="preserve">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ans-serif" w:hAnsi="Times New Roman;sans-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ans-serif" w:hAnsi="Times New Roman;sans-serif"/>
          <w:b w:val="false"/>
          <w:color w:val="000000"/>
          <w:sz w:val="20"/>
        </w:rPr>
        <w:t>We calculate ARR as the quarterly recurring revenue run-rate multiplied by four.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ARR for on-premises and SaaS software at each of the dates presented:</w:t>
      </w:r>
    </w:p>
    <w:tbl>
      <w:tblPr>
        <w:tblW w:w="10466" w:type="dxa"/>
        <w:jc w:val="left"/>
        <w:tblInd w:w="0" w:type="dxa"/>
        <w:tblLayout w:type="fixed"/>
        <w:tblCellMar>
          <w:top w:w="28" w:type="dxa"/>
          <w:left w:w="28" w:type="dxa"/>
          <w:bottom w:w="28" w:type="dxa"/>
          <w:right w:w="28" w:type="dxa"/>
        </w:tblCellMar>
      </w:tblPr>
      <w:tblGrid>
        <w:gridCol w:w="460"/>
        <w:gridCol w:w="404"/>
        <w:gridCol w:w="412"/>
        <w:gridCol w:w="310"/>
        <w:gridCol w:w="170"/>
        <w:gridCol w:w="401"/>
        <w:gridCol w:w="109"/>
        <w:gridCol w:w="109"/>
        <w:gridCol w:w="109"/>
        <w:gridCol w:w="294"/>
        <w:gridCol w:w="191"/>
        <w:gridCol w:w="380"/>
        <w:gridCol w:w="109"/>
        <w:gridCol w:w="109"/>
        <w:gridCol w:w="109"/>
        <w:gridCol w:w="234"/>
        <w:gridCol w:w="232"/>
        <w:gridCol w:w="339"/>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234"/>
        <w:gridCol w:w="232"/>
        <w:gridCol w:w="339"/>
        <w:gridCol w:w="109"/>
        <w:gridCol w:w="109"/>
        <w:gridCol w:w="109"/>
        <w:gridCol w:w="267"/>
        <w:gridCol w:w="199"/>
        <w:gridCol w:w="459"/>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ARR </w:t>
            </w:r>
            <w:r>
              <w:rPr>
                <w:rFonts w:ascii="Times New Roman;sans-serif" w:hAnsi="Times New Roman;sans-serif"/>
                <w:b/>
                <w:color w:val="000000"/>
                <w:sz w:val="13"/>
              </w:rPr>
              <w:t>(*)</w:t>
            </w:r>
          </w:p>
        </w:tc>
        <w:tc>
          <w:tcPr>
            <w:tcW w:w="9190"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Platform</w:t>
            </w:r>
            <w:r>
              <w:rPr>
                <w:color w:val="000000"/>
              </w:rPr>
              <w:t xml:space="preserve"> </w:t>
            </w:r>
            <w:r>
              <w:rPr>
                <w:rFonts w:ascii="Times New Roman;sans-serif" w:hAnsi="Times New Roman;sans-serif"/>
                <w:b/>
                <w:color w:val="000000"/>
                <w:sz w:val="13"/>
              </w:rPr>
              <w:t>(**)</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w:t>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YoY Change</w:t>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amounts and percentages above exclude this product line at all dates presented.</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FICO platform software is a set of interoperable capabilities which use software assets owned and/or governed by FICO for building solutions and services which conform to FICO architectural standards based on key elements of Cloud Native Computing design principles. These standards encompass shared security context and access using FICO standard application programming interfaces.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Dollar-Based Net Retention Rate (“DBNRR”)</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DBNRR for on-premises and SaaS software for each of the periods presented:</w:t>
      </w:r>
    </w:p>
    <w:tbl>
      <w:tblPr>
        <w:tblW w:w="10442" w:type="dxa"/>
        <w:jc w:val="left"/>
        <w:tblInd w:w="0" w:type="dxa"/>
        <w:tblLayout w:type="fixed"/>
        <w:tblCellMar>
          <w:top w:w="28" w:type="dxa"/>
          <w:left w:w="28" w:type="dxa"/>
          <w:bottom w:w="28" w:type="dxa"/>
          <w:right w:w="28" w:type="dxa"/>
        </w:tblCellMar>
      </w:tblPr>
      <w:tblGrid>
        <w:gridCol w:w="522"/>
        <w:gridCol w:w="385"/>
        <w:gridCol w:w="369"/>
        <w:gridCol w:w="272"/>
        <w:gridCol w:w="194"/>
        <w:gridCol w:w="483"/>
        <w:gridCol w:w="109"/>
        <w:gridCol w:w="109"/>
        <w:gridCol w:w="109"/>
        <w:gridCol w:w="282"/>
        <w:gridCol w:w="184"/>
        <w:gridCol w:w="458"/>
        <w:gridCol w:w="109"/>
        <w:gridCol w:w="109"/>
        <w:gridCol w:w="109"/>
        <w:gridCol w:w="279"/>
        <w:gridCol w:w="187"/>
        <w:gridCol w:w="326"/>
        <w:gridCol w:w="109"/>
        <w:gridCol w:w="109"/>
        <w:gridCol w:w="109"/>
        <w:gridCol w:w="233"/>
        <w:gridCol w:w="233"/>
        <w:gridCol w:w="285"/>
        <w:gridCol w:w="109"/>
        <w:gridCol w:w="109"/>
        <w:gridCol w:w="109"/>
        <w:gridCol w:w="272"/>
        <w:gridCol w:w="194"/>
        <w:gridCol w:w="483"/>
        <w:gridCol w:w="109"/>
        <w:gridCol w:w="109"/>
        <w:gridCol w:w="109"/>
        <w:gridCol w:w="282"/>
        <w:gridCol w:w="184"/>
        <w:gridCol w:w="458"/>
        <w:gridCol w:w="109"/>
        <w:gridCol w:w="109"/>
        <w:gridCol w:w="109"/>
        <w:gridCol w:w="279"/>
        <w:gridCol w:w="187"/>
        <w:gridCol w:w="326"/>
        <w:gridCol w:w="109"/>
        <w:gridCol w:w="109"/>
        <w:gridCol w:w="109"/>
        <w:gridCol w:w="233"/>
        <w:gridCol w:w="233"/>
        <w:gridCol w:w="330"/>
      </w:tblGrid>
      <w:tr>
        <w:trPr/>
        <w:tc>
          <w:tcPr>
            <w:tcW w:w="5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 2023</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 xml:space="preserve">DBNRR </w:t>
            </w:r>
            <w:r>
              <w:rPr>
                <w:rFonts w:ascii="Times New Roman;sans-serif" w:hAnsi="Times New Roman;sans-serif"/>
                <w:b/>
                <w:color w:val="000000"/>
                <w:sz w:val="13"/>
              </w:rPr>
              <w:t>(*)</w:t>
            </w:r>
          </w:p>
        </w:tc>
        <w:tc>
          <w:tcPr>
            <w:tcW w:w="6924"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percentages above exclude this product line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revenues, operating income, and related financial information, including disaggregation of revenue, are set forth in Note 8 and Note 11 to the accompanying condensed consolidated financial statements.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revenues for the quarters and nine-month periods ended June 30, 2023 and 2022:</w:t>
      </w:r>
    </w:p>
    <w:tbl>
      <w:tblPr>
        <w:tblW w:w="10205" w:type="dxa"/>
        <w:jc w:val="left"/>
        <w:tblInd w:w="0" w:type="dxa"/>
        <w:tblLayout w:type="fixed"/>
        <w:tblCellMar>
          <w:top w:w="28" w:type="dxa"/>
          <w:left w:w="28" w:type="dxa"/>
          <w:bottom w:w="28" w:type="dxa"/>
          <w:right w:w="28" w:type="dxa"/>
        </w:tblCellMar>
      </w:tblPr>
      <w:tblGrid>
        <w:gridCol w:w="298"/>
        <w:gridCol w:w="262"/>
        <w:gridCol w:w="266"/>
        <w:gridCol w:w="211"/>
        <w:gridCol w:w="976"/>
        <w:gridCol w:w="109"/>
        <w:gridCol w:w="109"/>
        <w:gridCol w:w="109"/>
        <w:gridCol w:w="109"/>
        <w:gridCol w:w="211"/>
        <w:gridCol w:w="976"/>
        <w:gridCol w:w="109"/>
        <w:gridCol w:w="109"/>
        <w:gridCol w:w="109"/>
        <w:gridCol w:w="109"/>
        <w:gridCol w:w="232"/>
        <w:gridCol w:w="234"/>
        <w:gridCol w:w="380"/>
        <w:gridCol w:w="152"/>
        <w:gridCol w:w="152"/>
        <w:gridCol w:w="152"/>
        <w:gridCol w:w="232"/>
        <w:gridCol w:w="234"/>
        <w:gridCol w:w="387"/>
        <w:gridCol w:w="109"/>
        <w:gridCol w:w="109"/>
        <w:gridCol w:w="109"/>
        <w:gridCol w:w="364"/>
        <w:gridCol w:w="1248"/>
        <w:gridCol w:w="190"/>
        <w:gridCol w:w="109"/>
        <w:gridCol w:w="109"/>
        <w:gridCol w:w="109"/>
        <w:gridCol w:w="309"/>
        <w:gridCol w:w="309"/>
        <w:gridCol w:w="90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25"/>
        <w:jc w:val="left"/>
        <w:rPr>
          <w:rFonts w:ascii="Times New Roman;sans-serif" w:hAnsi="Times New Roman;sans-serif"/>
          <w:b/>
          <w:color w:val="000000"/>
          <w:sz w:val="20"/>
        </w:rPr>
      </w:pPr>
      <w:r>
        <w:rPr>
          <w:rFonts w:ascii="Times New Roman;sans-serif" w:hAnsi="Times New Roman;sans-serif"/>
          <w:b/>
          <w:color w:val="000000"/>
          <w:sz w:val="20"/>
        </w:rPr>
        <w:t>Quarter Ended June 30, 2023 Compared to Quarter Ended June 30, 2022</w:t>
      </w:r>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$22.4 million due to an increase of $29.1 million in our business-to-business scores revenue, partially offset by a decrease of $6.7 million in our business-to-consumer revenue. The increase in business-to-business scores revenue was primarily attributable to a higher unit price, partially offset by a decrease in volume in mortgage originations.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$27.3 million due to a $29.5 million increase in our on-premises and SaaS software revenue, partially offset by a $2.2 million decrease in services revenue. The increase in our on-premises and SaaS software revenue was primarily attributable to an increase in over-time recognition largely driven by SaaS growth and an increase in point-in-time recognition from a multi-year license renewal.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Nine Months Ended June 30, 2023 Compared to Nine Months Ended June 30, 2022 </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$45.7 million due to an increase of $60.7 million in our business-to-business scores revenue, partially offset by a decrease of $15.0 million in our business-to-consumer revenue. The increase in business-to-business scores revenue was primarily attributable to a higher unit price, partially offset by a decrease in volume in mortgage originations.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$49.6 million due to a $53.2 million increase in our on-premises and SaaS software revenue, partially offset by a $3.6 million decrease in services revenue. The increase in our on-premises and SaaS software revenue was primarily attributable to an increase in over-time recognition largely driven by SaaS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Expenses and Other Income (Expense), Net</w:t>
      </w:r>
    </w:p>
    <w:p>
      <w:pPr>
        <w:pStyle w:val="TextBody"/>
        <w:bidi w:val="0"/>
        <w:spacing w:lineRule="auto" w:line="288" w:before="12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related to our condensed consolidated statements of income and comprehensive income for the quarters and nine-month periods ended June 30, 2023 and 2022:</w:t>
      </w:r>
    </w:p>
    <w:tbl>
      <w:tblPr>
        <w:tblW w:w="10205" w:type="dxa"/>
        <w:jc w:val="left"/>
        <w:tblInd w:w="0" w:type="dxa"/>
        <w:tblLayout w:type="fixed"/>
        <w:tblCellMar>
          <w:top w:w="28" w:type="dxa"/>
          <w:left w:w="28" w:type="dxa"/>
          <w:bottom w:w="28" w:type="dxa"/>
          <w:right w:w="28" w:type="dxa"/>
        </w:tblCellMar>
      </w:tblPr>
      <w:tblGrid>
        <w:gridCol w:w="804"/>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3"/>
        <w:gridCol w:w="1035"/>
        <w:gridCol w:w="157"/>
        <w:gridCol w:w="109"/>
        <w:gridCol w:w="109"/>
        <w:gridCol w:w="109"/>
        <w:gridCol w:w="293"/>
        <w:gridCol w:w="228"/>
        <w:gridCol w:w="668"/>
      </w:tblGrid>
      <w:tr>
        <w:trPr/>
        <w:tc>
          <w:tcPr>
            <w:tcW w:w="8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quarter end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760"/>
        <w:gridCol w:w="404"/>
        <w:gridCol w:w="409"/>
        <w:gridCol w:w="211"/>
        <w:gridCol w:w="976"/>
        <w:gridCol w:w="109"/>
        <w:gridCol w:w="109"/>
        <w:gridCol w:w="109"/>
        <w:gridCol w:w="109"/>
        <w:gridCol w:w="211"/>
        <w:gridCol w:w="976"/>
        <w:gridCol w:w="109"/>
        <w:gridCol w:w="109"/>
        <w:gridCol w:w="109"/>
        <w:gridCol w:w="109"/>
        <w:gridCol w:w="233"/>
        <w:gridCol w:w="233"/>
        <w:gridCol w:w="380"/>
        <w:gridCol w:w="152"/>
        <w:gridCol w:w="152"/>
        <w:gridCol w:w="152"/>
        <w:gridCol w:w="233"/>
        <w:gridCol w:w="233"/>
        <w:gridCol w:w="387"/>
        <w:gridCol w:w="109"/>
        <w:gridCol w:w="109"/>
        <w:gridCol w:w="109"/>
        <w:gridCol w:w="290"/>
        <w:gridCol w:w="995"/>
        <w:gridCol w:w="151"/>
        <w:gridCol w:w="109"/>
        <w:gridCol w:w="109"/>
        <w:gridCol w:w="109"/>
        <w:gridCol w:w="290"/>
        <w:gridCol w:w="216"/>
        <w:gridCol w:w="635"/>
      </w:tblGrid>
      <w:tr>
        <w:trPr/>
        <w:tc>
          <w:tcPr>
            <w:tcW w:w="7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decrease in cost of revenues of $6.8 million was primarily attributable to an $8.8 million decrease in infrastructure and facilities costs and a $1.1 million decrease in direct materials costs, partially offset by a $2.7 million increase in personnel and labor costs. The decrease in infrastructure and facilities costs was primarily attributable to a one-time reimbursement from a third-party data center provider for implementation costs previously incurred. The decrease in direct materials costs was primarily attributable to a decrease in credit bureau data costs associated with decreased business-to-consumer scoring solutions revenue through the myFICO.com website. The increase in personnel and labor costs was primarily attributable to increases in employee time allocated to cost of revenues and headcount. Cost of revenues as a percentage of revenues decreased to 18% during the quarter ended June 30, 2023 from 23% during the quarter ended June 30, 2022, primarily due to the one-time reimbursement from a third-party data center provider for implementation costs previously incurred.</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year-to-date period-over-period increase in cost of revenues of $8.5 million was primarily attributable to a $20.4 million increase in personnel and labor costs and a $1.1 million increase in travel costs, partially offset by an $8.5 million decrease in infrastructure and facilities costs and a $5.1 million decrease in direct materials costs. The increase in personnel and labor costs was primarily attributable to increases in employee time allocated to cost of revenues, increased incentive expense and headcount. The increase in travel costs was primarily attributable to relaxed COVID-19 related restrictions. The decrease in infrastructure and facilities costs was primarily attributable to a one-time reimbursement from a third-party data center provider for implementation costs previously incurred. The decrease in direct materials costs was primarily attributable to a decrease in credit bureau data costs associated with decreased business-to-consumer scoring solutions revenue through the myFICO.com website and a decrease in telecommunications costs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Customer Communications Services revenue. Cost of revenues as a percentage of revenues decreased to 20% during the nine months ended June 30, 2023 from 21% during the nine months ended June 30, 2022, primarily due to the one-time reimbursement from a third-party data center provider for implementation costs previously incurred.</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research and development expenses of $5.6 million was primarily attributable to a $4.9 million increase in personnel and labor costs as a result of increases in time allocated to research and development activities, and a $0.6 million increase in infrastructure and facilities costs primarily attributable to increased third-party cloud computing costs. Research and development expenses as a percentage of revenues increased to 11% during the quarter ended June 30, 2023 from 10% during the quarter ended June 30,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research and development expenses of $7.1 million was primarily attributable to a $4.9 million increase personnel and labor costs as a result of increases in time allocated to research and development activities, and a $1.2 million increase in infrastructure and facilities costs primarily attributable to increased third-party cloud computing costs and SaaS costs. Research and development expenses as a percentage of revenues remained consistent at 11% during the nine months ended June 30, 2023 and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selling, general and administrative expenses of $14.8 million was primarily attributable to a $10.5 million increase in personnel and labor costs, a $3.2 million increase in marketing and business development costs and a $0.8 million increase in travel costs. The increase in personnel and labor costs was primarily a result of increased fringe benefit costs related to our supplemental retirement and savings plan, increased share-based compensation and increased headcount. The increases in marketing, business development and travel costs were primarily attributable to increased costs for a company-wide marketing event held during the third quarter of both fiscal 2023 and 2022, with higher costs incurred for the fiscal 2023 event due to the increased scope of the event. In addition, we increased advertising and promotional expenses as well as travel costs as COVID-19 related restrictions have been relaxed. Selling, general and administrative expenses as a percentage of revenues remained consistent at 27% during the quarters ended June 30, 2023 and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selling, general and administrative expenses of $13.5 million was primarily attributable to a $7.8 million increase in marketing and business development costs, a $3.4 million increase in travel costs, a $2.3 million increase in outside services expenses and a $3.8 million increase in personnel and labor costs, partially offset by a $4.5 million decrease in facilities and infrastructure costs. The increases in marketing, business development and travel costs were primarily attributable to increased costs for a company-wide marketing event held during the third quarter of both fiscal 2023 and 2022, with higher costs incurred for the fiscal 2023 event due to the increased scope of the event. In addition, as COVID-19 related restrictions have been relaxed, we held more corporate events, increased advertising and promotional expenses and increased travel costs. The increase in outside services expenses was primarily attributable to increased legal and third-party consulting expenses. The increase in personnel and labor costs was primarily a result of increased fringe benefit costs related to our supplemental retirement and savings plan. The decrease in infrastructure and facilities costs was primarily attributable to a decrease in software royalty fees and maintenance, and a favorable adjustment from the termination of an office lease related to our consolidation of office space. Selling, general and administrative expenses as a percentage of revenues decreased to 27% during the nine months ended June 30, 2023 from 28% during the nine months ended June 30,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periods ranging from five to ten years.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$0.3 million during the quarter ended June 30, 2023 compared to $0.5 million during the quarter ended June 30, 2022.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$0.8 million during the nine months ended June 30, 2023 compared to $1.6 million during the nine months ended June 30,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Gain on Product Line Asset Sale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gain on product line asset sale during the nine months ended June 30, 2023 was attributable to the sale of certain assets related to our Siron compliance business in the quarter ended December 31,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interest on the senior notes issued in December 2021, December 2019 and May 2018, as well as interest and credit agreement fees on the revolving line of credit and term loan.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interest expense of $5.8 million was primarily attributable to a higher average outstanding debt balance, as well as a higher average interest rate on our revolving line of credit and term loan during the quarter ended June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interest expense of $23.1 million was primarily attributable to a higher average outstanding debt balance, as well as a higher average interest rate on our revolving line of credit and term loan during the nine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change in other income (expense), net of $6.3 million, from $1.0 million in other expense, net to $5.3 million in other income, net, was primarily attributable to net unrealized gains on investments classified as trading securities in our supplemental retirement and savings plan in the current year period compared to losses in the prior year period, partially offset by an increase in foreign currency exchange losses.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year-to-date period-over-period change in other income (expense), net of $9.2 million, from $1.9 million in other expense, net to $7.3 million in other income, net, was primarily attributable to net unrealized gains on investments classified as trading securities in our supplemental retirement and savings plan in the current year period compared to losses in the prior year period, partially offset by an increase in foreign currency exchange losses. </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was 18.4% and 22.7% during the quarters ended June 30, 2023 and 2022, respectively, and 20.6% and 21.0% during the nine months ended June 30, 2023 and 2022,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quarter ended June 30, 2023 was favorably impacted by the release of the valuation allowance previously established for our California state research and development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operating income for the quarters and nine-month periods ended June 30, 2023 and 2022.</w:t>
      </w: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operating income of $36.4 million was primarily attributable to a $49.7 million increase in segment revenues, partially offset by an $8.2 million increase in corporate expenses, a $4.4 million increase in share-based compensation cost, and a $0.9 million increase in segment operating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quarter-over-prior year quarter increase in segment operating income of $40.6 million was the result of a $29.6 million increase in our Software segment operating income and a $19.2 million increase in our Scores segment operating income, partially offset by an $8.2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Scores segment operating income of $19.2 million was due to a $22.4 million increase in segment revenue, partially offset by a $3.2 million increase in segment operating expenses. Segment operating income as a percentage of segment revenue for Scores was 88%, consistent with the quarter ended June 30,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Software segment operating income of $29.6 million was due to a $27.3 million increase in segment revenue and a $2.3 million decrease in segment operating expenses. Segment operating income as a percentage of segment revenue for Software increased to 38% from 27%, primarily attributable to an increase in higher-margin license revenue recognized at a point in time, a decrease in sales of our lower-margin professional services, and a one-time reimbursement from a third-party data center provider for implementation costs previously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57"/>
        <w:gridCol w:w="1099"/>
        <w:gridCol w:w="1122"/>
        <w:gridCol w:w="211"/>
        <w:gridCol w:w="826"/>
        <w:gridCol w:w="109"/>
        <w:gridCol w:w="109"/>
        <w:gridCol w:w="109"/>
        <w:gridCol w:w="109"/>
        <w:gridCol w:w="211"/>
        <w:gridCol w:w="826"/>
        <w:gridCol w:w="109"/>
        <w:gridCol w:w="109"/>
        <w:gridCol w:w="109"/>
        <w:gridCol w:w="109"/>
        <w:gridCol w:w="384"/>
        <w:gridCol w:w="1318"/>
        <w:gridCol w:w="200"/>
        <w:gridCol w:w="109"/>
        <w:gridCol w:w="109"/>
        <w:gridCol w:w="109"/>
        <w:gridCol w:w="315"/>
        <w:gridCol w:w="315"/>
        <w:gridCol w:w="922"/>
      </w:tblGrid>
      <w:tr>
        <w:trPr/>
        <w:tc>
          <w:tcPr>
            <w:tcW w:w="1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of $68.9 million in operating income was primarily attributable to a $95.3 million increase in segment revenues and a $1.9 million gain on product line asset sale, partially offset by a $14.9 million increase in corporate expenses, a $10.9 million increase in segment operating expenses, and a $3.4 million increase in share-based compensation cost.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year-to-date period-over-period increase of $69.5 million in segment operating income was the result of a $42.8 million increase in our Software segment operating income and a $41.6 million increase in our Scores segment operating income, partially offset by a $14.9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$41.6 million increase in Scores segment operating income was attributable to a $45.7 million increase in segment revenue, partially offset by a $4.1 million increase in segment operating expenses. Segment operating income as a percentage of segment revenue for Scores was 88%, consistent with the nine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$42.8 million increase in Software segment operating income was attributable to a $49.6 million increase in segment revenue, partially offset by a $6.8 million increase in segment operating expenses. Segment operating income as a percentage of segment revenue for Software increased to 32% from 27%, primarily attributable to an increase in higher-margin license revenue recognized at a point in time and a decrease in sales of our lower-margin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CAPITAL RESOURCES AND LIQUIDITY</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$163.0 million in cash and cash equivalents, which included $131.7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our term loan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TextBody"/>
        <w:bidi w:val="0"/>
        <w:spacing w:lineRule="auto" w:line="288" w:before="300" w:after="283"/>
        <w:ind w:left="0" w:right="0" w:firstLine="225"/>
        <w:jc w:val="left"/>
        <w:rPr/>
      </w:pPr>
      <w:r>
        <w:rPr>
          <w:rFonts w:ascii="Times New Roman;sans-serif" w:hAnsi="Times New Roman;sans-serif"/>
          <w:b/>
          <w:i/>
          <w:color w:val="000000"/>
          <w:sz w:val="20"/>
        </w:rPr>
        <w:t>Summary of Cash Flows</w:t>
      </w:r>
      <w:r>
        <w:rPr>
          <w:color w:val="000000"/>
        </w:rPr>
        <w:t> </w:t>
      </w:r>
    </w:p>
    <w:tbl>
      <w:tblPr>
        <w:tblW w:w="8916" w:type="dxa"/>
        <w:jc w:val="left"/>
        <w:tblInd w:w="0" w:type="dxa"/>
        <w:tblLayout w:type="fixed"/>
        <w:tblCellMar>
          <w:top w:w="28" w:type="dxa"/>
          <w:left w:w="28" w:type="dxa"/>
          <w:bottom w:w="28" w:type="dxa"/>
          <w:right w:w="28" w:type="dxa"/>
        </w:tblCellMar>
      </w:tblPr>
      <w:tblGrid>
        <w:gridCol w:w="1445"/>
        <w:gridCol w:w="1268"/>
        <w:gridCol w:w="1277"/>
        <w:gridCol w:w="211"/>
        <w:gridCol w:w="826"/>
        <w:gridCol w:w="109"/>
        <w:gridCol w:w="109"/>
        <w:gridCol w:w="109"/>
        <w:gridCol w:w="109"/>
        <w:gridCol w:w="211"/>
        <w:gridCol w:w="826"/>
        <w:gridCol w:w="109"/>
        <w:gridCol w:w="109"/>
        <w:gridCol w:w="109"/>
        <w:gridCol w:w="109"/>
        <w:gridCol w:w="378"/>
        <w:gridCol w:w="1324"/>
        <w:gridCol w:w="278"/>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(59,758)</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119,020 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(40,292)</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method for funding operations and growth has been through cash flows generated from operating activities. Net cash provided by operating activities decreased to $304.9 million during the nine months ended June 30, 2023 from $364.6 million during the nine months ended June 30, 2022. The $59.8 million decrease was attributable to a $54.6 million decrease in non-cash items and a $50.3 million decrease due to the timing of receipts and payments in our ordinary course of business. The decrease was partially offset by a $45.1 million increase in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to $13.0 million for the nine months ended June 30, 2023 from $4.4 million for the nine months ended June 30, 2022. The $8.6 million increase was primarily attributable to an $8.4 million decrease in cash proceeds from the product line asset sales, net of cash transferred.</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to $271.2 million for the nine months ended June 30, 2023 from $390.3 million for the nine months ended June 30, 2022. The $119.0 million decrease was primarily attributable to a $762.9 million decrease in repurchases of common stock, partially offset by a $550.0 million decrease in proceeds from the issuance of senior notes, an $80.8 million decrease in proceeds, net of payments, on our revolving line of credit, and a $26.4 million increase in taxes paid related to net share settlement of equity awards.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our Board of Directors approved a new stock repurchase program replacing our previously authorized program. This program is open-ended and authorizes repurchases of shares of our common stock up to an aggregate cost of $500.0 million in the open market or in negotiated transactions.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We expended $98.6 million and $282.4 million during the quarters ended June 30, 2023 and 2022, respectively, and $289.9 million and $1.0 billion during the nine months ended June 30, 2023 and 2022, respectively, under our previously authorized stock repurchase programs and the October 2022 program. As of June 30, 2023, we had $236.9 million</w:t>
      </w:r>
      <w:r>
        <w:rPr>
          <w:color w:val="0000FF"/>
        </w:rPr>
        <w:t xml:space="preserve"> </w:t>
      </w:r>
      <w:r>
        <w:rPr>
          <w:rFonts w:ascii="Times New Roman;sans-serif" w:hAnsi="Times New Roman;sans-serif"/>
          <w:b w:val="false"/>
          <w:color w:val="000000"/>
          <w:sz w:val="20"/>
        </w:rPr>
        <w:t>remaining under the October 2022 program.</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Revolving Line of Credit and Term Loan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 November 2022, we amended our credit agreement to replace the LIBOR reference rate with the Secured Overnight Financing Rate (“SOFR”) reference rate.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$365.0 million in borrowings outstanding under the revolving line of credit at a weighted-average interest rate of 6.723%, and $277.5 million in outstanding balance of the term loan at an interest rate of 6.830%, of which $527.5 million was classified as a long-term liability and recorded in long-term debt within the accompanying condensed consolidated balance sheets. We were in compliance with all financial covenants under this credit agreement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June 30, 2023, the carrying value of the Senior Notes was $1.3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2022 (“Annual Report on Form 10-K”). There have been no significant changes from the critical accounting estimates disclosed in our Annual Report on Form 10-K.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Risk Disclosures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Interest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June 30, 2023 and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June 30, 2023 and September 30, 2022:</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50"/>
        <w:jc w:val="both"/>
        <w:rPr/>
      </w:pP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 xml:space="preserve">The carrying value of the Senior Notes was the face value reduced by the net debt issuance costs of $12.2 million and $14.3 million at June 30, 2023 and September 30, 2022, respectively.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June 30, 2023, we had $365.0 million in borrowings outstanding under the revolving line of credit at a weighted-average interest rate of 6.723% and $277.5 million in outstanding balance of the term loan at an interest rate of 6.830%.</w:t>
      </w:r>
    </w:p>
    <w:p>
      <w:pPr>
        <w:pStyle w:val="TextBody"/>
        <w:bidi w:val="0"/>
        <w:spacing w:before="0" w:after="0"/>
        <w:ind w:left="0" w:right="0" w:firstLine="225"/>
        <w:jc w:val="both"/>
        <w:rPr/>
      </w:pPr>
      <w:r>
        <w:rPr/>
      </w:r>
    </w:p>
    <w:p>
      <w:pPr>
        <w:pStyle w:val="TextBody"/>
        <w:bidi w:val="0"/>
        <w:spacing w:lineRule="auto" w:line="288" w:before="0" w:after="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June 30, 2023 and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June 30, 2023 and September 30, 2022, respectively;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June 30, 2023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bidi w:val="0"/>
        <w:spacing w:lineRule="auto" w:line="288" w:before="3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2022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120" w:after="283"/>
        <w:jc w:val="left"/>
        <w:rPr/>
      </w:pPr>
      <w:r>
        <w:rPr>
          <w:rFonts w:ascii="Times New Roman;sans-serif" w:hAnsi="Times New Roman;sans-serif"/>
          <w:b/>
          <w:color w:val="000000"/>
          <w:sz w:val="20"/>
        </w:rPr>
        <w:t>Issuer Purchases of Equity Securities</w:t>
      </w:r>
      <w:r>
        <w:rPr>
          <w:color w:val="000000"/>
        </w:rPr>
        <w:t> </w:t>
      </w:r>
    </w:p>
    <w:tbl>
      <w:tblPr>
        <w:tblW w:w="9321" w:type="dxa"/>
        <w:jc w:val="left"/>
        <w:tblInd w:w="0" w:type="dxa"/>
        <w:tblLayout w:type="fixed"/>
        <w:tblCellMar>
          <w:top w:w="28" w:type="dxa"/>
          <w:left w:w="28" w:type="dxa"/>
          <w:bottom w:w="28" w:type="dxa"/>
          <w:right w:w="28" w:type="dxa"/>
        </w:tblCellMar>
      </w:tblPr>
      <w:tblGrid>
        <w:gridCol w:w="1124"/>
        <w:gridCol w:w="990"/>
        <w:gridCol w:w="1006"/>
        <w:gridCol w:w="412"/>
        <w:gridCol w:w="414"/>
        <w:gridCol w:w="346"/>
        <w:gridCol w:w="109"/>
        <w:gridCol w:w="109"/>
        <w:gridCol w:w="109"/>
        <w:gridCol w:w="211"/>
        <w:gridCol w:w="721"/>
        <w:gridCol w:w="109"/>
        <w:gridCol w:w="109"/>
        <w:gridCol w:w="109"/>
        <w:gridCol w:w="109"/>
        <w:gridCol w:w="485"/>
        <w:gridCol w:w="485"/>
        <w:gridCol w:w="486"/>
        <w:gridCol w:w="109"/>
        <w:gridCol w:w="109"/>
        <w:gridCol w:w="109"/>
        <w:gridCol w:w="211"/>
        <w:gridCol w:w="118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0"/>
              <w:jc w:val="center"/>
              <w:rPr/>
            </w:pPr>
            <w:r>
              <w:rPr>
                <w:rFonts w:ascii="Times New Roman;sans-serif" w:hAnsi="Times New Roman;sans-serif"/>
                <w:b/>
                <w:color w:val="000000"/>
                <w:sz w:val="16"/>
              </w:rPr>
              <w:t>Purchased</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bidi w:val="0"/>
              <w:spacing w:lineRule="auto" w:line="240" w:before="0" w:after="0"/>
              <w:jc w:val="center"/>
              <w:rPr/>
            </w:pPr>
            <w:r>
              <w:rPr>
                <w:rFonts w:ascii="Times New Roman;sans-serif" w:hAnsi="Times New Roman;sans-serif"/>
                <w:b/>
                <w:color w:val="000000"/>
                <w:sz w:val="16"/>
              </w:rPr>
              <w:t>or Programs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bidi w:val="0"/>
              <w:spacing w:lineRule="auto" w:line="240" w:before="0" w:after="0"/>
              <w:jc w:val="center"/>
              <w:rPr/>
            </w:pPr>
            <w:r>
              <w:rPr>
                <w:rFonts w:ascii="Times New Roman;sans-serif" w:hAnsi="Times New Roman;sans-serif"/>
                <w:b/>
                <w:color w:val="000000"/>
                <w:sz w:val="16"/>
              </w:rPr>
              <w:t>Programs</w:t>
            </w:r>
            <w:r>
              <w:rPr>
                <w:color w:val="000000"/>
              </w:rPr>
              <w:t xml:space="preserve"> </w:t>
            </w:r>
            <w:r>
              <w:rPr>
                <w:rFonts w:ascii="Times New Roman;sans-serif" w:hAnsi="Times New Roman;sans-serif"/>
                <w:b/>
                <w:color w:val="000000"/>
                <w:sz w:val="10"/>
              </w:rPr>
              <w:t>(2)</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through April 30,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310,631,550 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through May 31, 2023</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43,623 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278,299,545 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through June 30,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132,393 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236,897,062 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2,393 shares delivered in satisfaction of the tax withholding obligations resulting from the vesting of restricted stock units held by employees during the quarter ended June 30, 2023.</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 October 2022, our Board of Directors approved a new stock repurchase program replacing our previously authorized January 2022 program. This program is open-ended and authorizes repurchases of shares of our common stock up to an aggregate cost of $500.0 million in the open market or in negotiated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Trading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2023, Eva Manolis, a member of our Board of Directors, entered into a pre-arranged trading plan that is intended to satisfy the affirmative defense of Rule 10b5-1(c) of the Securities Exchange Act of 1934, as amended (the “Exchange Act”). This plan provides for the exercise of vested stock options representing, and the associated sale of, up to 7,692 shares of our common stock in the aggregate, and terminates on the earlier of the close of market on May 24, 2024 or the date all shares are sold thereunder.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2023, James Wehmann, our Executive Vice President, Scores, entered into a pre-arranged trading plan that is intended to satisfy the affirmative defense of Rule 10b5-1(c) of the Exchange Act. This plan provides for the sale of up to 8,508 shares of our common stock in the aggregate, and terminates on the earlier of the close of market on May 31, 2024 or the date all shares are sold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06"/>
        <w:gridCol w:w="270"/>
        <w:gridCol w:w="272"/>
        <w:gridCol w:w="109"/>
        <w:gridCol w:w="109"/>
        <w:gridCol w:w="109"/>
        <w:gridCol w:w="2651"/>
        <w:gridCol w:w="2627"/>
        <w:gridCol w:w="3752"/>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By-laws of Fair Isaac Corporation. (Incorporated by reference to Exhibit 3.1 to the Company’s Form 10-Q for the quarter ended December 31, 2009).</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Letter Agreement, effective as of May 15, 2023, by and between Fair Isaac Corporation and Steven P. Weber (Incorporated by reference to Exhibit 10.1 to the Company’s Form 8-K filed on May 15, 2023).</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Market Share Unit Agreement, dated as of June 5, 2023, by and between Fair Isaac Corporation and William J. Lansing (Incorporated by reference to Exhibit 10.1 to the Company’s Form 8-K filed on June 7, 2023).</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Non-Statutory Stock Option Agreement, dated as of June 5, 2023, by and between Fair Isaac Corporation and William J. Lansing (Incorporated by reference to Exhibit 10.2 to the Company’s Form 8-K filed on June 7, 2023).</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icoex104q32023-2021ltipex.htm">
              <w:r>
                <w:rPr>
                  <w:rStyle w:val="InternetLink"/>
                  <w:rFonts w:ascii="Times New Roman;sans-serif" w:hAnsi="Times New Roman;sans-serif"/>
                  <w:b w:val="false"/>
                  <w:color w:val="0000FF"/>
                  <w:sz w:val="20"/>
                  <w:u w:val="single"/>
                </w:rPr>
                <w:t xml:space="preserve">Form of Executive Restricted Stock Unit Award Agreement (U.S.) under the 2021 Long-Term Incentive Plan (for Executive Vice Presidents and above). </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ico-ex105q32023x2021ltipe.htm">
              <w:r>
                <w:rPr>
                  <w:rStyle w:val="InternetLink"/>
                  <w:rFonts w:ascii="Times New Roman;sans-serif" w:hAnsi="Times New Roman;sans-serif"/>
                  <w:b w:val="false"/>
                  <w:color w:val="0000FF"/>
                  <w:sz w:val="20"/>
                  <w:u w:val="single"/>
                </w:rPr>
                <w:t xml:space="preserve">Form of Executive Non-Statutory Stock Option Agreement (U.S.) under the 2021 Long-Term Incentive Plan (for Executive Vice Presidents and above). </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ico-ex106q32023x2021ltipe.htm">
              <w:r>
                <w:rPr>
                  <w:rStyle w:val="InternetLink"/>
                  <w:rFonts w:ascii="Times New Roman;sans-serif" w:hAnsi="Times New Roman;sans-serif"/>
                  <w:b w:val="false"/>
                  <w:color w:val="0000FF"/>
                  <w:sz w:val="20"/>
                  <w:u w:val="single"/>
                </w:rPr>
                <w:t xml:space="preserve">Form of Executive Performance Share Unit Agreement under the 2021 Long-Term Incentive Plan (for Executive Vice Presidents and above). </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fico-ex107q32023x2021ltipe.htm">
              <w:r>
                <w:rPr>
                  <w:rStyle w:val="InternetLink"/>
                  <w:rFonts w:ascii="Times New Roman;sans-serif" w:hAnsi="Times New Roman;sans-serif"/>
                  <w:b w:val="false"/>
                  <w:color w:val="0000FF"/>
                  <w:sz w:val="20"/>
                  <w:u w:val="single"/>
                </w:rPr>
                <w:t xml:space="preserve">Form of Market Share Unit Agreement under the 2021 Long-Term Incentive Plan (for Executive Vice Presidents and above). </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32023.htm">
              <w:r>
                <w:rPr>
                  <w:rStyle w:val="InternetLink"/>
                  <w:rFonts w:ascii="Times New Roman;sans-serif" w:hAnsi="Times New Roman;sans-serif"/>
                  <w:b w:val="false"/>
                  <w:color w:val="0000FF"/>
                  <w:sz w:val="20"/>
                  <w:u w:val="single"/>
                </w:rPr>
                <w:t>Rule 13a-14(a)/15d-14(a) Certifications of CEO.</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32023.htm">
              <w:r>
                <w:rPr>
                  <w:rStyle w:val="InternetLink"/>
                  <w:rFonts w:ascii="Times New Roman;sans-serif" w:hAnsi="Times New Roman;sans-serif"/>
                  <w:b w:val="false"/>
                  <w:color w:val="0000FF"/>
                  <w:sz w:val="20"/>
                  <w:u w:val="single"/>
                </w:rPr>
                <w:t>Rule 13a-14(a)/15d-14(a) Certifications of CFO.</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32023.htm">
              <w:r>
                <w:rPr>
                  <w:rStyle w:val="InternetLink"/>
                  <w:rFonts w:ascii="Times New Roman;sans-serif" w:hAnsi="Times New Roman;sans-serif"/>
                  <w:b w:val="false"/>
                  <w:color w:val="0000FF"/>
                  <w:sz w:val="20"/>
                  <w:u w:val="single"/>
                </w:rPr>
                <w:t>Section 1350 Certification of CEO.</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32023.htm">
              <w:r>
                <w:rPr>
                  <w:rStyle w:val="InternetLink"/>
                  <w:rFonts w:ascii="Times New Roman;sans-serif" w:hAnsi="Times New Roman;sans-serif"/>
                  <w:b w:val="false"/>
                  <w:color w:val="0000FF"/>
                  <w:sz w:val="20"/>
                  <w:u w:val="single"/>
                </w:rPr>
                <w:t>Section 1350 Certification of CFO.</w:t>
              </w:r>
            </w:hyperlink>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d873c2b14e949cda27adbb2b3a309e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756" w:type="dxa"/>
        <w:jc w:val="left"/>
        <w:tblInd w:w="0" w:type="dxa"/>
        <w:tblLayout w:type="fixed"/>
        <w:tblCellMar>
          <w:top w:w="28" w:type="dxa"/>
          <w:left w:w="28" w:type="dxa"/>
          <w:bottom w:w="28" w:type="dxa"/>
          <w:right w:w="28" w:type="dxa"/>
        </w:tblCellMar>
      </w:tblPr>
      <w:tblGrid>
        <w:gridCol w:w="249"/>
        <w:gridCol w:w="220"/>
        <w:gridCol w:w="221"/>
        <w:gridCol w:w="449"/>
        <w:gridCol w:w="449"/>
        <w:gridCol w:w="451"/>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0" w:after="0"/>
        <w:jc w:val="right"/>
        <w:rPr>
          <w:rFonts w:ascii="Times New Roman;sans-serif" w:hAnsi="Times New Roman;sans-serif"/>
          <w:b/>
          <w:color w:val="000000"/>
          <w:sz w:val="23"/>
        </w:rPr>
      </w:pPr>
      <w:r>
        <w:rPr>
          <w:rFonts w:ascii="Times New Roman;sans-serif" w:hAnsi="Times New Roman;sans-serif"/>
          <w:b/>
          <w:color w:val="000000"/>
          <w:sz w:val="23"/>
        </w:rPr>
        <w:t>Exhibit 10.4</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Fair Isaac Corporation</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2021 Long-Term Incentive Plan</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Executive Restricted Stock Unit Award Agreement (U.S.)</w:t>
      </w:r>
    </w:p>
    <w:p>
      <w:pPr>
        <w:pStyle w:val="TextBody"/>
        <w:bidi w:val="0"/>
        <w:spacing w:before="0" w:after="0"/>
        <w:jc w:val="center"/>
        <w:rPr/>
      </w:pPr>
      <w:r>
        <w:rPr/>
      </w:r>
    </w:p>
    <w:p>
      <w:pPr>
        <w:pStyle w:val="TextBody"/>
        <w:bidi w:val="0"/>
        <w:spacing w:lineRule="auto" w:line="312" w:before="0" w:after="0"/>
        <w:jc w:val="center"/>
        <w:rPr/>
      </w:pPr>
      <w:r>
        <w:rPr>
          <w:rFonts w:ascii="Times New Roman;sans-serif" w:hAnsi="Times New Roman;sans-serif"/>
          <w:b/>
          <w:color w:val="000000"/>
          <w:sz w:val="23"/>
          <w:u w:val="single"/>
        </w:rPr>
        <w:t>Terms and Conditions</w:t>
      </w:r>
      <w:r>
        <w:rPr>
          <w:rFonts w:ascii="Times New Roman;sans-serif" w:hAnsi="Times New Roman;sans-serif"/>
          <w:b w:val="false"/>
          <w:color w:val="000000"/>
          <w:sz w:val="13"/>
        </w:rPr>
        <w:t>*</w:t>
      </w:r>
    </w:p>
    <w:p>
      <w:pPr>
        <w:pStyle w:val="TextBody"/>
        <w:bidi w:val="0"/>
        <w:spacing w:before="0" w:after="0"/>
        <w:jc w:val="center"/>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w:t>
      </w:r>
      <w:r>
        <w:rPr>
          <w:color w:val="000000"/>
        </w:rPr>
        <w:t>    </w:t>
      </w:r>
      <w:r>
        <w:rPr>
          <w:rFonts w:ascii="Times New Roman;sans-serif" w:hAnsi="Times New Roman;sans-serif"/>
          <w:b/>
          <w:color w:val="000000"/>
          <w:sz w:val="23"/>
          <w:u w:val="single"/>
        </w:rPr>
        <w:t>Grant of Restricted Stock Units</w:t>
      </w:r>
      <w:r>
        <w:rPr>
          <w:rFonts w:ascii="Times New Roman;sans-serif" w:hAnsi="Times New Roman;sans-serif"/>
          <w:b w:val="false"/>
          <w:color w:val="000000"/>
          <w:sz w:val="23"/>
        </w:rPr>
        <w:t xml:space="preserve">. The Company hereby grants to you, subject to the terms and conditions in this Executive Restricted Stock Unit Award Agreement (the “Agreement”) and subject to the terms and conditions of the Plan, an Award of the number of Stock Units (the “Units”) specified on the cover page of this Agreement. Each Unit represents the right to receive one Share and will be credited to an account in your name maintained by the Company or its agent. This account shall be unfunded and maintained for book-keeping purposes only, with the Units simply representing an unfunded and unsecured obligation of the Company.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2.    </w:t>
      </w:r>
      <w:r>
        <w:rPr>
          <w:rFonts w:ascii="Times New Roman;sans-serif" w:hAnsi="Times New Roman;sans-serif"/>
          <w:b/>
          <w:color w:val="000000"/>
          <w:sz w:val="23"/>
          <w:u w:val="single"/>
        </w:rPr>
        <w:t>Restrictions on Units</w:t>
      </w:r>
      <w:r>
        <w:rPr>
          <w:rFonts w:ascii="Times New Roman;sans-serif" w:hAnsi="Times New Roman;sans-serif"/>
          <w:b w:val="false"/>
          <w:color w:val="000000"/>
          <w:sz w:val="23"/>
        </w:rPr>
        <w:t>. Neither this Award nor the Units subject to this Award may be sold, assigned, transferred, exchanged or encumbered other than by a transfer upon your death in accordance with your will, by the applicable laws of descent and distribution or pursuant to a beneficiary designation submitted in accordance with Section 6(d) of the Plan (to the extent such designation is valid under applicable law). Any attempted transfer in violation of this Section 2 shall be of no effect and may result in the forfeiture of all Units. The Units and your right to receive Shares in settlement of the Units under this Agreement shall be subject to forfeiture as provided in Section 4 of this Agreement until satisfaction of the vesting conditions set forth in Section 3 of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3.    </w:t>
      </w:r>
      <w:r>
        <w:rPr>
          <w:rFonts w:ascii="Times New Roman;sans-serif" w:hAnsi="Times New Roman;sans-serif"/>
          <w:b/>
          <w:color w:val="000000"/>
          <w:sz w:val="23"/>
          <w:u w:val="single"/>
        </w:rPr>
        <w:t>Vesting of Units</w:t>
      </w:r>
      <w:r>
        <w:rPr>
          <w:rFonts w:ascii="Times New Roman;sans-serif" w:hAnsi="Times New Roman;sans-serif"/>
          <w:b w:val="false"/>
          <w:color w:val="000000"/>
          <w:sz w:val="23"/>
        </w:rPr>
        <w:t xml:space="preserve">. </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ans-serif" w:hAnsi="Times New Roman;sans-serif"/>
          <w:b w:val="false"/>
          <w:color w:val="000000"/>
          <w:sz w:val="23"/>
        </w:rPr>
        <w:t>(a)    </w:t>
      </w:r>
      <w:r>
        <w:rPr>
          <w:rFonts w:ascii="Times New Roman;sans-serif" w:hAnsi="Times New Roman;sans-serif"/>
          <w:b w:val="false"/>
          <w:color w:val="000000"/>
          <w:sz w:val="23"/>
          <w:u w:val="single"/>
        </w:rPr>
        <w:t>Scheduled Vesting</w:t>
      </w:r>
      <w:r>
        <w:rPr>
          <w:rFonts w:ascii="Times New Roman;sans-serif" w:hAnsi="Times New Roman;sans-serif"/>
          <w:b w:val="false"/>
          <w:color w:val="000000"/>
          <w:sz w:val="23"/>
        </w:rPr>
        <w:t>. If you remain a Service Provider to the Company or any of its Affiliates continuously from the Grant Date specified on the cover page of this Agreement, then the Units will vest in the numbers and on the dates specified in the vesting schedule on the cover page of this Agreement.</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3"/>
        </w:rPr>
        <w:t>(b)    </w:t>
      </w:r>
      <w:r>
        <w:rPr>
          <w:rFonts w:ascii="Times New Roman;sans-serif" w:hAnsi="Times New Roman;sans-serif"/>
          <w:b w:val="false"/>
          <w:color w:val="000000"/>
          <w:sz w:val="23"/>
          <w:u w:val="single"/>
        </w:rPr>
        <w:t>Continued Vesting</w:t>
      </w:r>
      <w:r>
        <w:rPr>
          <w:rFonts w:ascii="Times New Roman;sans-serif" w:hAnsi="Times New Roman;sans-serif"/>
          <w:b w:val="false"/>
          <w:color w:val="000000"/>
          <w:sz w:val="23"/>
        </w:rPr>
        <w:t>. Notwithstanding Section 3(a), vesting of the Units will continue in accordance with the vesting schedule specified on the cover page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schedule specified on the cover page,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3(b), you will forfeit all unvested Units.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05815"/>
                <wp:effectExtent l="0" t="0" r="0" b="0"/>
                <wp:wrapNone/>
                <wp:docPr id="38" name="Frame38"/>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8"/>
                              </w:rPr>
                              <w:t>To the extent any capitalized term used in this Agreement is not defined, it has the meaning assigned to it in the Plan as the Plan currently exists or as it is amended in the future.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8"/>
                        </w:rPr>
                        <w:t>To the extent any capitalized term used in this Agreement is not defined, it has the meaning assigned to it in the Plan as the Plan currently exists or as it is amended in the future.</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br/>
        <w:br/>
        <w:t xml:space="preserve">For purposes of this Award, “Retirement” means the termination of your employment when (i) you (A) are age 55 or older, (B) 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3(b) shall be paid to you not later than 74 days after the applicable vesting date of the Units as specified on the cover page of this Agreement. </w:t>
      </w:r>
    </w:p>
    <w:p>
      <w:pPr>
        <w:pStyle w:val="TextBody"/>
        <w:bidi w:val="0"/>
        <w:spacing w:before="0" w:after="0"/>
        <w:ind w:left="0" w:right="0" w:firstLine="28"/>
        <w:jc w:val="both"/>
        <w:rPr/>
      </w:pPr>
      <w:r>
        <w:rPr/>
      </w:r>
    </w:p>
    <w:p>
      <w:pPr>
        <w:pStyle w:val="TextBody"/>
        <w:bidi w:val="0"/>
        <w:spacing w:lineRule="auto" w:line="288" w:before="0" w:after="0"/>
        <w:jc w:val="both"/>
        <w:rPr/>
      </w:pPr>
      <w:r>
        <w:rPr>
          <w:rFonts w:ascii="Times New Roman;sans-serif" w:hAnsi="Times New Roman;sans-serif"/>
          <w:b w:val="false"/>
          <w:color w:val="000000"/>
          <w:sz w:val="23"/>
        </w:rPr>
        <w:t>(c)    </w:t>
      </w:r>
      <w:r>
        <w:rPr>
          <w:rFonts w:ascii="Times New Roman;sans-serif" w:hAnsi="Times New Roman;sans-serif"/>
          <w:b w:val="false"/>
          <w:color w:val="000000"/>
          <w:sz w:val="23"/>
          <w:u w:val="single"/>
        </w:rPr>
        <w:t>Accelerated Vesting</w:t>
      </w:r>
      <w:r>
        <w:rPr>
          <w:rFonts w:ascii="Times New Roman;sans-serif" w:hAnsi="Times New Roman;sans-serif"/>
          <w:b w:val="false"/>
          <w:color w:val="000000"/>
          <w:sz w:val="23"/>
        </w:rPr>
        <w:t>. Vesting of the Units will be accelerated if your Service to the Company or any Affiliate terminates because of your death or Disability, as provided in Section 6(e)(2) of the Plan. Vesting will also be accelerated under the circumstances described in Section 12(d) of the Plan and may be accelerated by action of the Committee in accordance with Sections 3(b)(2), 12(b)(3) and 12(c) of the Plan. Vesting may also be accelerated upon the occurrence of events and in accordance with the terms and conditions specified in any other written agreement you have with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4.    </w:t>
      </w:r>
      <w:r>
        <w:rPr>
          <w:rFonts w:ascii="Times New Roman;sans-serif" w:hAnsi="Times New Roman;sans-serif"/>
          <w:b/>
          <w:color w:val="000000"/>
          <w:sz w:val="23"/>
          <w:u w:val="single"/>
        </w:rPr>
        <w:t>Service Requirement</w:t>
      </w:r>
      <w:r>
        <w:rPr>
          <w:rFonts w:ascii="Times New Roman;sans-serif" w:hAnsi="Times New Roman;sans-serif"/>
          <w:b w:val="false"/>
          <w:color w:val="000000"/>
          <w:sz w:val="23"/>
        </w:rPr>
        <w:t>. Except as otherwise provided in accordance with Sections 3(b) or 3(c)</w:t>
      </w:r>
      <w:r>
        <w:rPr>
          <w:color w:val="0000FF"/>
          <w:u w:val="single"/>
        </w:rPr>
        <w:t xml:space="preserve"> </w:t>
      </w:r>
      <w:r>
        <w:rPr>
          <w:rFonts w:ascii="Times New Roman;sans-serif" w:hAnsi="Times New Roman;sans-serif"/>
          <w:b w:val="false"/>
          <w:color w:val="000000"/>
          <w:sz w:val="23"/>
        </w:rPr>
        <w:t xml:space="preserve">of this Agreement, if you cease to be a Service Provider to the Company or any of its Affiliates prior to the vesting date(s) specified on the cover page of this Agreement, you will forfeit all unvested Units.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5.    </w:t>
      </w:r>
      <w:r>
        <w:rPr>
          <w:rFonts w:ascii="Times New Roman;sans-serif" w:hAnsi="Times New Roman;sans-serif"/>
          <w:b/>
          <w:color w:val="000000"/>
          <w:sz w:val="23"/>
          <w:u w:val="single"/>
        </w:rPr>
        <w:t>Leave of Absence</w:t>
      </w:r>
      <w:r>
        <w:rPr>
          <w:rFonts w:ascii="Times New Roman;sans-serif" w:hAnsi="Times New Roman;sans-serif"/>
          <w:b w:val="false"/>
          <w:color w:val="000000"/>
          <w:sz w:val="23"/>
        </w:rPr>
        <w:t>.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6.    </w:t>
      </w:r>
      <w:r>
        <w:rPr>
          <w:rFonts w:ascii="Times New Roman;sans-serif" w:hAnsi="Times New Roman;sans-serif"/>
          <w:b/>
          <w:color w:val="000000"/>
          <w:sz w:val="23"/>
          <w:u w:val="single"/>
        </w:rPr>
        <w:t>Settlement of Units</w:t>
      </w:r>
      <w:r>
        <w:rPr>
          <w:rFonts w:ascii="Times New Roman;sans-serif" w:hAnsi="Times New Roman;sans-serif"/>
          <w:b w:val="false"/>
          <w:color w:val="000000"/>
          <w:sz w:val="23"/>
        </w:rPr>
        <w:t xml:space="preserve">. After any Units vest pursuant to Sections 3(a) or 3(c) of this Agreement, the Company shall, as soon as practicable (but in any event within the period specified in Treas. Reg. § 1.409A-1(b)(4) to qualify for a short-term deferral exception to Section 409A of the Code), cause to be issued and delivered to you, or to your validly designated beneficiary or estate in the event of your death, one Share in payment and settlement of each vested Unit (the date of such issuance being the “Settlement Date”). After any Units vest pursuant to Section 3(b)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you at E*TRADE or another broker designated by the Company, or by another method provided by the Company, and shall be subject to the tax withholding provisions of Section 7 of this Agreement and the compliance provisions of Section 15 of this Agreement.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2</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ans-serif" w:hAnsi="Times New Roman;sans-serif"/>
          <w:b w:val="false"/>
          <w:color w:val="000000"/>
          <w:sz w:val="23"/>
        </w:rPr>
        <w:t>7.    </w:t>
      </w:r>
      <w:r>
        <w:rPr>
          <w:rFonts w:ascii="Times New Roman;sans-serif" w:hAnsi="Times New Roman;sans-serif"/>
          <w:b/>
          <w:color w:val="000000"/>
          <w:sz w:val="23"/>
          <w:u w:val="single"/>
        </w:rPr>
        <w:t>Tax Consequences and Withholding</w:t>
      </w:r>
      <w:r>
        <w:rPr>
          <w:rFonts w:ascii="Times New Roman;sans-serif" w:hAnsi="Times New Roman;sans-serif"/>
          <w:b w:val="false"/>
          <w:color w:val="000000"/>
          <w:sz w:val="23"/>
        </w:rPr>
        <w:t>. You acknowledge that, regardless of any action taken by the Company, the ultimate liability for all income tax, social insurance or other tax-related items related to your participation in the Plan and legally applicable to you (the “Tax-Related Items”) is and remains your responsibility and may exceed the amount actually withheld by the Company. You further acknowledge that the Company (a) makes no representations or undertakings regarding the treatment of any Tax-Related Items in connection with any aspect of the Award or the Shares acquired pursuant to the Award, and (b) does not commit to and is under no obligation to structure the terms of the grant or any aspect of the Award to reduce or eliminate your liability for Tax-Related Items or achieve any particular tax result. Further, if you are subject to Tax-Related Items in more than one jurisdiction, you acknowledge that the Company</w:t>
      </w:r>
      <w:r>
        <w:rPr>
          <w:color w:val="000000"/>
        </w:rPr>
        <w:t xml:space="preserve"> </w:t>
      </w:r>
      <w:r>
        <w:rPr>
          <w:rFonts w:ascii="Times New Roman;sans-serif" w:hAnsi="Times New Roman;sans-serif"/>
          <w:b w:val="false"/>
          <w:color w:val="000000"/>
          <w:sz w:val="23"/>
        </w:rPr>
        <w:t>(or your employer, if different) may be required to withhold or account for Tax-Related Items in more than one jurisdiction.</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Prior to the tax withholding event, you agree to make arrangements to satisfy all Tax-Related Items. In this regard, you authorize the Company to satisfy any applicable withholding obligation for the Tax-Related Items through an automatic Share withholding procedure (the “Share Withholding Method”). Under the Share Withholding Method, the Company or its agent will withhold, upon the tax withholding event, a portion of the Shares with a Fair Market Value (measured as of such date) sufficient to cover the Tax-Related Items; provided, however, that the number of any Shares so withheld shall not exceed the number necessary to satisfy the Company’s withholding obligation using the applicable minimum statutory withholding rate or such other rate as may be permitted under the Plan up to the maximum rate applicable in your jurisdiction. You will be deemed to have been issued the full number of Shares subject to the vested Units, notwithstanding that a number of the Shares are held back solely for the purpose of paying the Tax-Related Items.</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In the event the Committee determines that the Share Withholding Method would be problematic under applicable tax or securities laws or would result in materially adverse accounting consequences, you authorize the Company to collect the Tax-Related Items through, one of the following alternative methods:</w:t>
      </w:r>
    </w:p>
    <w:p>
      <w:pPr>
        <w:pStyle w:val="TextBody"/>
        <w:bidi w:val="0"/>
        <w:spacing w:before="0" w:after="0"/>
        <w:ind w:left="0" w:right="0" w:hanging="72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(a)    the use of the proceeds from a next-day sale of the Shares issued to you, provided that (i) such sale is permissible under the Company’s trading policies governing its securities, (ii) you make an irrevocable commitment, on or before a Settlement Date, to effect such sale of the Shares, and (iii) the transaction is not otherwise deemed to constitute a prohibited loan under Section 402 of the Sarbanes-Oxley Act of 2002</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(b)    delivery of your authorization to E*TRADE (or another broker designated by the Company) to transfer to the Company from your account at such broker the amount of such Tax-Related Items;</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 xml:space="preserve">(c)    withholding from your wages or other cash compensation paid to you by the Company; and/or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(d)    any other method approved by the Company and permitted under applicable law.</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3</w:t>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In the event of any over-withholding, you will have no entitlement to the over-withheld amount in Shares and such amounts will be refunded to you in cash in accordance with applicable law.</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The Company may refuse to issue or deliver the Shares or the proceeds of the sale of Shares, if you fail to comply with your obligations in connection with the Tax-Related Items.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8.    </w:t>
      </w:r>
      <w:r>
        <w:rPr>
          <w:rFonts w:ascii="Times New Roman;sans-serif" w:hAnsi="Times New Roman;sans-serif"/>
          <w:b/>
          <w:color w:val="000000"/>
          <w:sz w:val="23"/>
          <w:u w:val="single"/>
        </w:rPr>
        <w:t>No Shareholder Rights Before Settlement</w:t>
      </w:r>
      <w:r>
        <w:rPr>
          <w:rFonts w:ascii="Times New Roman;sans-serif" w:hAnsi="Times New Roman;sans-serif"/>
          <w:b w:val="false"/>
          <w:color w:val="000000"/>
          <w:sz w:val="23"/>
        </w:rPr>
        <w:t xml:space="preserve">. The Units subject to this Award do not entitle you to any rights of a shareholder of the Company. You will not have any of the rights of a shareholder of the Company in connection with the grant of Units subject to this Award unless and until Shares are issued to you upon settlement of the Units as provided in Section 6 of this Agreement.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9.    </w:t>
      </w:r>
      <w:r>
        <w:rPr>
          <w:rFonts w:ascii="Times New Roman;sans-serif" w:hAnsi="Times New Roman;sans-serif"/>
          <w:b/>
          <w:color w:val="000000"/>
          <w:sz w:val="23"/>
          <w:u w:val="single"/>
        </w:rPr>
        <w:t>Discontinuance of Service</w:t>
      </w:r>
      <w:r>
        <w:rPr>
          <w:rFonts w:ascii="Times New Roman;sans-serif" w:hAnsi="Times New Roman;sans-serif"/>
          <w:b w:val="false"/>
          <w:color w:val="000000"/>
          <w:sz w:val="23"/>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10.    </w:t>
      </w:r>
      <w:r>
        <w:rPr>
          <w:rFonts w:ascii="Times New Roman;sans-serif" w:hAnsi="Times New Roman;sans-serif"/>
          <w:b/>
          <w:color w:val="000000"/>
          <w:sz w:val="23"/>
          <w:u w:val="single"/>
        </w:rPr>
        <w:t>Governing Plan Document</w:t>
      </w:r>
      <w:r>
        <w:rPr>
          <w:rFonts w:ascii="Times New Roman;sans-serif" w:hAnsi="Times New Roman;sans-serif"/>
          <w:b w:val="false"/>
          <w:color w:val="000000"/>
          <w:sz w:val="23"/>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11.    </w:t>
      </w:r>
      <w:r>
        <w:rPr>
          <w:rFonts w:ascii="Times New Roman;sans-serif" w:hAnsi="Times New Roman;sans-serif"/>
          <w:b/>
          <w:color w:val="000000"/>
          <w:sz w:val="23"/>
          <w:u w:val="single"/>
        </w:rPr>
        <w:t>No Advice Regarding Grant</w:t>
      </w:r>
      <w:r>
        <w:rPr>
          <w:rFonts w:ascii="Times New Roman;sans-serif" w:hAnsi="Times New Roman;sans-serif"/>
          <w:b w:val="false"/>
          <w:color w:val="000000"/>
          <w:sz w:val="23"/>
        </w:rPr>
        <w:t>. The Company is not providing any tax, legal or financial advice, nor is the Company making any 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12.    </w:t>
      </w:r>
      <w:r>
        <w:rPr>
          <w:rFonts w:ascii="Times New Roman;sans-serif" w:hAnsi="Times New Roman;sans-serif"/>
          <w:b/>
          <w:color w:val="000000"/>
          <w:sz w:val="23"/>
          <w:u w:val="single"/>
        </w:rPr>
        <w:t>Choice of Law and Venue</w:t>
      </w:r>
      <w:r>
        <w:rPr>
          <w:rFonts w:ascii="Times New Roman;sans-serif" w:hAnsi="Times New Roman;sans-serif"/>
          <w:b w:val="false"/>
          <w:color w:val="000000"/>
          <w:sz w:val="23"/>
        </w:rPr>
        <w:t>. This Award and Agreement will be interpreted and construed in accordance with and governed by the laws of the State of Minnesota, and all Participants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Participants who primarily reside and work in California.</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13.    </w:t>
      </w:r>
      <w:r>
        <w:rPr>
          <w:rFonts w:ascii="Times New Roman;sans-serif" w:hAnsi="Times New Roman;sans-serif"/>
          <w:b/>
          <w:color w:val="000000"/>
          <w:sz w:val="23"/>
          <w:u w:val="single"/>
        </w:rPr>
        <w:t>Binding Effect</w:t>
      </w:r>
      <w:r>
        <w:rPr>
          <w:rFonts w:ascii="Times New Roman;sans-serif" w:hAnsi="Times New Roman;sans-serif"/>
          <w:b w:val="false"/>
          <w:color w:val="000000"/>
          <w:sz w:val="23"/>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ans-serif" w:hAnsi="Times New Roman;sans-serif"/>
          <w:b w:val="false"/>
          <w:color w:val="000000"/>
          <w:sz w:val="23"/>
        </w:rPr>
        <w:t>14.    </w:t>
      </w:r>
      <w:r>
        <w:rPr>
          <w:rFonts w:ascii="Times New Roman;sans-serif" w:hAnsi="Times New Roman;sans-serif"/>
          <w:b/>
          <w:color w:val="000000"/>
          <w:sz w:val="23"/>
          <w:u w:val="single"/>
        </w:rPr>
        <w:t>Compliance with Law</w:t>
      </w:r>
      <w:r>
        <w:rPr>
          <w:rFonts w:ascii="Times New Roman;sans-serif" w:hAnsi="Times New Roman;sans-serif"/>
          <w:b w:val="false"/>
          <w:color w:val="000000"/>
          <w:sz w:val="23"/>
        </w:rPr>
        <w:t xml:space="preserve">. Notwithstanding any other provision of the Plan or this Agreement, unless there is an exemption from any registration, qualification or other legal requirement applicable to the Shares, the Company shall not be required to deliver any Shares issuable upon settlement of the Units prior to the completion of any registration or qualification of the shares under U.S. federal, state or foreign securities or exchange control law or under rulings or regulations of the U.S. Securities and Exchange Commission (“SEC”) or of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15.    </w:t>
      </w:r>
      <w:r>
        <w:rPr>
          <w:rFonts w:ascii="Times New Roman;sans-serif" w:hAnsi="Times New Roman;sans-serif"/>
          <w:b/>
          <w:color w:val="000000"/>
          <w:sz w:val="23"/>
          <w:u w:val="single"/>
        </w:rPr>
        <w:t>Insider Trading Policy</w:t>
      </w:r>
      <w:r>
        <w:rPr>
          <w:rFonts w:ascii="Times New Roman;sans-serif" w:hAnsi="Times New Roman;sans-serif"/>
          <w:b w:val="false"/>
          <w:color w:val="000000"/>
          <w:sz w:val="23"/>
        </w:rPr>
        <w:t>. You acknowledge that you are subject to the Company’s insider trading policy as set forth in the “Statement of Company Policy as to Trades in the Company’s Securities By Company Personnel and Confidential Information” and that you are responsible for ensuring compliance with the restrictions and requirements therein.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16.    </w:t>
      </w:r>
      <w:r>
        <w:rPr>
          <w:rFonts w:ascii="Times New Roman;sans-serif" w:hAnsi="Times New Roman;sans-serif"/>
          <w:b/>
          <w:color w:val="000000"/>
          <w:sz w:val="23"/>
          <w:u w:val="single"/>
        </w:rPr>
        <w:t>Imposition of Other Requirements</w:t>
      </w:r>
      <w:r>
        <w:rPr>
          <w:rFonts w:ascii="Times New Roman;sans-serif" w:hAnsi="Times New Roman;sans-serif"/>
          <w:b w:val="false"/>
          <w:color w:val="000000"/>
          <w:sz w:val="23"/>
        </w:rPr>
        <w:t>. 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17.    </w:t>
      </w:r>
      <w:r>
        <w:rPr>
          <w:rFonts w:ascii="Times New Roman;sans-serif" w:hAnsi="Times New Roman;sans-serif"/>
          <w:b/>
          <w:color w:val="000000"/>
          <w:sz w:val="23"/>
          <w:u w:val="single"/>
        </w:rPr>
        <w:t>Electronic Delivery and Participation</w:t>
      </w:r>
      <w:r>
        <w:rPr>
          <w:rFonts w:ascii="Times New Roman;sans-serif" w:hAnsi="Times New Roman;sans-serif"/>
          <w:b w:val="false"/>
          <w:color w:val="000000"/>
          <w:sz w:val="23"/>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18.    </w:t>
      </w:r>
      <w:r>
        <w:rPr>
          <w:rFonts w:ascii="Times New Roman;sans-serif" w:hAnsi="Times New Roman;sans-serif"/>
          <w:b/>
          <w:color w:val="000000"/>
          <w:sz w:val="23"/>
          <w:u w:val="single"/>
        </w:rPr>
        <w:t>Section 409A of the Code</w:t>
      </w:r>
      <w:r>
        <w:rPr>
          <w:rFonts w:ascii="Times New Roman;sans-serif" w:hAnsi="Times New Roman;sans-serif"/>
          <w:b w:val="false"/>
          <w:color w:val="000000"/>
          <w:sz w:val="23"/>
        </w:rPr>
        <w:t>. The Units as provided in this Agreement and any issuance of Shares or payment pursuant to this Agreement are intended to either be exempt from or comply with Section 409A of the Code so as not to subject you to payment of any additional tax, penalty or interest imposed under Section 409A of the Code. The provisions of this Award shall be construed and interpreted to avoid the imputation of any such additional tax, penalty or interest under Section 409A of the Code yet preserve (to the nearest extent reasonably possible) the intended benefit payable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19.    </w:t>
      </w:r>
      <w:r>
        <w:rPr>
          <w:rFonts w:ascii="Times New Roman;sans-serif" w:hAnsi="Times New Roman;sans-serif"/>
          <w:b/>
          <w:color w:val="000000"/>
          <w:sz w:val="23"/>
          <w:u w:val="single"/>
        </w:rPr>
        <w:t>Compensation Recovery Policy</w:t>
      </w:r>
      <w:r>
        <w:rPr>
          <w:rFonts w:ascii="Times New Roman;sans-serif" w:hAnsi="Times New Roman;sans-serif"/>
          <w:b w:val="false"/>
          <w:color w:val="000000"/>
          <w:sz w:val="23"/>
        </w:rPr>
        <w:t xml:space="preserve">. To the extent that any compensation paid or payable pursuant to this Agreement is considered “incentive-based compensation” within the meaning and subject to the requirements of Section 10D of the Exchange Act, such compensation shall be subject to potential forfeiture or recovery by the Company in accordance with any compensation recovery policy adopted by the Board or any committee thereof in response to the requirements of Section 10D of the Exchange Act and any implementing rules and regulations thereunder adopted by the SEC or any national securities exchange on which the Stock is then listed. This Agreement may be unilaterally amended by the Company to comply with any such compensation recovery policy.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5</w:t>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3"/>
        </w:rPr>
        <w:t>20.    </w:t>
      </w:r>
      <w:r>
        <w:rPr>
          <w:rFonts w:ascii="Times New Roman;sans-serif" w:hAnsi="Times New Roman;sans-serif"/>
          <w:b/>
          <w:color w:val="000000"/>
          <w:sz w:val="23"/>
          <w:u w:val="single"/>
        </w:rPr>
        <w:t>Waiver</w:t>
      </w:r>
      <w:r>
        <w:rPr>
          <w:rFonts w:ascii="Times New Roman;sans-serif" w:hAnsi="Times New Roman;sans-serif"/>
          <w:b w:val="false"/>
          <w:color w:val="000000"/>
          <w:sz w:val="23"/>
        </w:rPr>
        <w:t>. You acknowledge that a waiver by the Company of breach of any provision of this Agreement shall not operate or be construed as a waiver of any other provision of this Agreement, or of any subsequent breach by you or any other Participant.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21.    </w:t>
      </w:r>
      <w:r>
        <w:rPr>
          <w:rFonts w:ascii="Times New Roman;sans-serif" w:hAnsi="Times New Roman;sans-serif"/>
          <w:b/>
          <w:color w:val="000000"/>
          <w:sz w:val="23"/>
          <w:u w:val="single"/>
        </w:rPr>
        <w:t>Severability</w:t>
      </w:r>
      <w:r>
        <w:rPr>
          <w:rFonts w:ascii="Times New Roman;sans-serif" w:hAnsi="Times New Roman;sans-serif"/>
          <w:b w:val="false"/>
          <w:color w:val="000000"/>
          <w:sz w:val="23"/>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ans-serif" w:hAnsi="Times New Roman;sans-serif"/>
          <w:b/>
          <w:i/>
          <w:color w:val="000000"/>
          <w:sz w:val="23"/>
        </w:rPr>
      </w:pPr>
      <w:r>
        <w:rPr>
          <w:rFonts w:ascii="Times New Roman;sans-serif" w:hAnsi="Times New Roman;sans-serif"/>
          <w:b/>
          <w:i/>
          <w:color w:val="000000"/>
          <w:sz w:val="23"/>
        </w:rPr>
        <w:t>By accepting this Award in the manner prescribed by the Company, you agree to all the terms and conditions described in this Agreement and in the Plan document.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0" w:after="0"/>
        <w:jc w:val="right"/>
        <w:rPr>
          <w:rFonts w:ascii="Times New Roman;sans-serif" w:hAnsi="Times New Roman;sans-serif"/>
          <w:b/>
          <w:color w:val="000000"/>
          <w:sz w:val="23"/>
        </w:rPr>
      </w:pPr>
      <w:r>
        <w:rPr>
          <w:rFonts w:ascii="Times New Roman;sans-serif" w:hAnsi="Times New Roman;sans-serif"/>
          <w:b/>
          <w:color w:val="000000"/>
          <w:sz w:val="23"/>
        </w:rPr>
        <w:t>Exhibit 10.5</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12" w:before="0" w:after="0"/>
        <w:jc w:val="center"/>
        <w:rPr>
          <w:rFonts w:ascii="Times New Roman;sans-serif" w:hAnsi="Times New Roman;sans-serif"/>
          <w:b/>
          <w:color w:val="000000"/>
          <w:sz w:val="23"/>
        </w:rPr>
      </w:pPr>
      <w:r>
        <w:rPr>
          <w:rFonts w:ascii="Times New Roman;sans-serif" w:hAnsi="Times New Roman;sans-serif"/>
          <w:b/>
          <w:color w:val="000000"/>
          <w:sz w:val="23"/>
        </w:rPr>
        <w:t>Fair Isaac Corporation</w:t>
      </w:r>
    </w:p>
    <w:p>
      <w:pPr>
        <w:pStyle w:val="TextBody"/>
        <w:bidi w:val="0"/>
        <w:spacing w:lineRule="auto" w:line="312" w:before="0" w:after="0"/>
        <w:jc w:val="center"/>
        <w:rPr>
          <w:rFonts w:ascii="Times New Roman;sans-serif" w:hAnsi="Times New Roman;sans-serif"/>
          <w:b/>
          <w:color w:val="000000"/>
          <w:sz w:val="23"/>
        </w:rPr>
      </w:pPr>
      <w:r>
        <w:rPr>
          <w:rFonts w:ascii="Times New Roman;sans-serif" w:hAnsi="Times New Roman;sans-serif"/>
          <w:b/>
          <w:color w:val="000000"/>
          <w:sz w:val="23"/>
        </w:rPr>
        <w:t>2021 Long-Term Incentive Plan</w:t>
      </w:r>
    </w:p>
    <w:p>
      <w:pPr>
        <w:pStyle w:val="TextBody"/>
        <w:bidi w:val="0"/>
        <w:spacing w:lineRule="auto" w:line="312" w:before="0" w:after="0"/>
        <w:jc w:val="center"/>
        <w:rPr>
          <w:rFonts w:ascii="Times New Roman;sans-serif" w:hAnsi="Times New Roman;sans-serif"/>
          <w:b/>
          <w:color w:val="000000"/>
          <w:sz w:val="23"/>
        </w:rPr>
      </w:pPr>
      <w:r>
        <w:rPr>
          <w:rFonts w:ascii="Times New Roman;sans-serif" w:hAnsi="Times New Roman;sans-serif"/>
          <w:b/>
          <w:color w:val="000000"/>
          <w:sz w:val="23"/>
        </w:rPr>
        <w:t>Executive Non-Statutory Stock Option Agreement (U.S.)</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312" w:before="0" w:after="0"/>
        <w:jc w:val="center"/>
        <w:rPr/>
      </w:pPr>
      <w:r>
        <w:rPr>
          <w:rFonts w:ascii="Times New Roman;sans-serif" w:hAnsi="Times New Roman;sans-serif"/>
          <w:b/>
          <w:color w:val="000000"/>
          <w:sz w:val="23"/>
          <w:u w:val="single"/>
        </w:rPr>
        <w:t>Option Terms and Conditions</w:t>
      </w:r>
      <w:r>
        <w:rPr>
          <w:rFonts w:ascii="Times New Roman;sans-serif" w:hAnsi="Times New Roman;sans-serif"/>
          <w:b w:val="false"/>
          <w:color w:val="000000"/>
          <w:sz w:val="13"/>
        </w:rPr>
        <w:t>*</w:t>
      </w:r>
    </w:p>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1.    </w:t>
      </w:r>
      <w:r>
        <w:rPr>
          <w:rFonts w:ascii="Times New Roman;sans-serif" w:hAnsi="Times New Roman;sans-serif"/>
          <w:b/>
          <w:color w:val="000000"/>
          <w:sz w:val="23"/>
          <w:u w:val="single"/>
        </w:rPr>
        <w:t>Grant of Stock Options</w:t>
      </w:r>
      <w:r>
        <w:rPr>
          <w:rFonts w:ascii="Times New Roman;sans-serif" w:hAnsi="Times New Roman;sans-serif"/>
          <w:b/>
          <w:color w:val="000000"/>
          <w:sz w:val="23"/>
        </w:rPr>
        <w:t xml:space="preserve">. </w:t>
      </w:r>
      <w:r>
        <w:rPr>
          <w:rFonts w:ascii="Times New Roman;sans-serif" w:hAnsi="Times New Roman;sans-serif"/>
          <w:b w:val="false"/>
          <w:color w:val="000000"/>
          <w:sz w:val="23"/>
        </w:rPr>
        <w:t>The Company hereby grants to you, subject to the terms and conditions in this Executive Non-Statutory Stock Option Agreement (the “Agreement”) and subject to the terms and conditions of the Plan, an option to purchase the number of Shares specified on the cover page of this Agreement (the “Option”).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2.    </w:t>
      </w:r>
      <w:r>
        <w:rPr>
          <w:rFonts w:ascii="Times New Roman;sans-serif" w:hAnsi="Times New Roman;sans-serif"/>
          <w:b/>
          <w:color w:val="000000"/>
          <w:sz w:val="23"/>
          <w:u w:val="single"/>
        </w:rPr>
        <w:t>Non-Statutory Stock Option</w:t>
      </w:r>
      <w:r>
        <w:rPr>
          <w:rFonts w:ascii="Times New Roman;sans-serif" w:hAnsi="Times New Roman;sans-serif"/>
          <w:b w:val="false"/>
          <w:color w:val="000000"/>
          <w:sz w:val="23"/>
        </w:rPr>
        <w:t xml:space="preserve">. This Option is </w:t>
      </w:r>
      <w:r>
        <w:rPr>
          <w:rFonts w:ascii="Times New Roman;sans-serif" w:hAnsi="Times New Roman;sans-serif"/>
          <w:b w:val="false"/>
          <w:color w:val="000000"/>
          <w:sz w:val="23"/>
          <w:u w:val="single"/>
        </w:rPr>
        <w:t>not</w:t>
      </w:r>
      <w:r>
        <w:rPr>
          <w:color w:val="000000"/>
        </w:rPr>
        <w:t xml:space="preserve"> </w:t>
      </w:r>
      <w:r>
        <w:rPr>
          <w:rFonts w:ascii="Times New Roman;sans-serif" w:hAnsi="Times New Roman;sans-serif"/>
          <w:b w:val="false"/>
          <w:color w:val="000000"/>
          <w:sz w:val="23"/>
        </w:rPr>
        <w:t>intended to be an “incentive stock option” within the meaning of Section 422 of the Code and will be interpreted accordingly.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3.</w:t>
      </w:r>
      <w:r>
        <w:rPr>
          <w:color w:val="000000"/>
        </w:rPr>
        <w:t>    </w:t>
      </w:r>
      <w:r>
        <w:rPr>
          <w:rFonts w:ascii="Times New Roman;sans-serif" w:hAnsi="Times New Roman;sans-serif"/>
          <w:b/>
          <w:color w:val="000000"/>
          <w:sz w:val="23"/>
          <w:u w:val="single"/>
        </w:rPr>
        <w:t>Vesting and Exercise Schedule</w:t>
      </w:r>
      <w:r>
        <w:rPr>
          <w:rFonts w:ascii="Times New Roman;sans-serif" w:hAnsi="Times New Roman;sans-serif"/>
          <w:b w:val="false"/>
          <w:color w:val="000000"/>
          <w:sz w:val="23"/>
        </w:rPr>
        <w:t>. This Option will vest and become exercisable as to the portion of Shares and on the dates specified on the cover page to this Agreement, so long as you remain a Service Provider or you meet the conditions set forth in Section 6 of this Agreement. The vesting and exercise schedule is cumulative, meaning that to the extent the Option has not already been exercised and has not expired, terminated or been cancelled, you or the person otherwise entitled to exercise the Option as provided in this Agreement may at any time purchase all or any portion of the Shares that may then be purchased under that schedule.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Vesting and exercisability of this Option will be accelerated during the term of the Option if your Service to the Company or any Affiliate terminates because of your death or Disability, as provided in Section 6(e)(2) of the Plan. Vesting and exercisability will also be accelerated under the circumstances described in Section 12(d) of the Plan and may be accelerated (or, as applicable, waived) by action of the Committee in accordance with Sections 3(b)(2), 12(b)(2), 12(b)(3) and 12(c) of the Plan. Vesting and exercisability may also be accelerated upon the occurrence of events and in accordance with the terms and conditions specified in any other written agreement you have with the Company.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4.</w:t>
      </w:r>
      <w:r>
        <w:rPr>
          <w:color w:val="000000"/>
        </w:rPr>
        <w:t>    </w:t>
      </w:r>
      <w:r>
        <w:rPr>
          <w:rFonts w:ascii="Times New Roman;sans-serif" w:hAnsi="Times New Roman;sans-serif"/>
          <w:b/>
          <w:color w:val="000000"/>
          <w:sz w:val="23"/>
          <w:u w:val="single"/>
        </w:rPr>
        <w:t>Expiration</w:t>
      </w:r>
      <w:r>
        <w:rPr>
          <w:rFonts w:ascii="Times New Roman;sans-serif" w:hAnsi="Times New Roman;sans-serif"/>
          <w:b w:val="false"/>
          <w:color w:val="000000"/>
          <w:sz w:val="23"/>
        </w:rPr>
        <w:t>. This Option will expire and will no longer be exercisable at 5:00 p.m. Central Time on the earliest of:</w:t>
      </w:r>
    </w:p>
    <w:p>
      <w:pPr>
        <w:pStyle w:val="TextBody"/>
        <w:bidi w:val="0"/>
        <w:spacing w:before="0" w:after="0"/>
        <w:ind w:left="0" w:right="0" w:hanging="144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(a)    the expiration date specified on the cover page of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(b)    the expiration of any applicable period specified in Section 6(e) of the Plan during which this Option may be exercised after your termination of Service, except as set forth in Section 6 of this Agreement;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ind w:left="0" w:right="0" w:hanging="720"/>
        <w:jc w:val="left"/>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3"/>
        </w:rPr>
        <w:t>To the extent any capitalized term used in this Agreement is not defined, it has the meaning assigned to it in the Plan as the Plan currently exists or as it is amended in the future.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(c)    if the Committee has taken action to accelerate exercisability in accordance with Sections 3(b)(2), 12(b)(3) or 12(c) of the Plan, the expiration of any applicable exercise period specified by the Committee pursuant to such action;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(d)    the date (if any) fixed for cancellation of this Option pursuant to Section 12(b)(2) or 12(d) of the Plan; or</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3"/>
        </w:rPr>
      </w:pPr>
      <w:r>
        <w:rPr>
          <w:rFonts w:ascii="Times New Roman;sans-serif" w:hAnsi="Times New Roman;sans-serif"/>
          <w:b w:val="false"/>
          <w:color w:val="000000"/>
          <w:sz w:val="23"/>
        </w:rPr>
        <w:t>(e)    the expiration of any applicable period specified in any other written agreement you have with the Company providing for accelerated vesting and exercisability.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5.    </w:t>
      </w:r>
      <w:r>
        <w:rPr>
          <w:rFonts w:ascii="Times New Roman;sans-serif" w:hAnsi="Times New Roman;sans-serif"/>
          <w:b/>
          <w:color w:val="000000"/>
          <w:sz w:val="23"/>
          <w:u w:val="single"/>
        </w:rPr>
        <w:t>Service Requirement</w:t>
      </w:r>
      <w:r>
        <w:rPr>
          <w:rFonts w:ascii="Times New Roman;sans-serif" w:hAnsi="Times New Roman;sans-serif"/>
          <w:b w:val="false"/>
          <w:color w:val="000000"/>
          <w:sz w:val="23"/>
        </w:rPr>
        <w:t xml:space="preserve">. Except as otherwise provided in Section 6 of this Agreement or Section 6(e) of the Plan, and as may otherwise be provided by action of the Committee in accordance with Sections 12(b)(3) or 12(c) of the Plan, this Option may be exercised only while you continue to provide Service to the Company or an Affiliate as a Service Provider, and only if you have continuously provided such Service since the date this Option was granted.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6.    </w:t>
      </w:r>
      <w:r>
        <w:rPr>
          <w:rFonts w:ascii="Times New Roman;sans-serif" w:hAnsi="Times New Roman;sans-serif"/>
          <w:b/>
          <w:color w:val="000000"/>
          <w:sz w:val="23"/>
          <w:u w:val="single"/>
        </w:rPr>
        <w:t>Retirement</w:t>
      </w:r>
      <w:r>
        <w:rPr>
          <w:rFonts w:ascii="Times New Roman;sans-serif" w:hAnsi="Times New Roman;sans-serif"/>
          <w:b w:val="false"/>
          <w:color w:val="000000"/>
          <w:sz w:val="23"/>
        </w:rPr>
        <w:t xml:space="preserve">. Notwithstanding Section 5 of this Agreement, vesting of this Option will continue in accordance with the vesting schedule specified on the cover page to this Agreement if your employment with the Company or any Affiliate terminates because of your Retirement and the following conditions are satisfied: (a) you commenced discussions with the Company’s Chief Executive Officer or most senior human resources executive regarding your retirement from employment at least 12 full months prior to the date your employment terminates (the “Retirement Date”) and (b) during the period beginning on your Retirement Date and ending on the final day of the vesting schedule specified on the cover page, you: (i) continue to be available to provide Service as requested and (ii)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6, you will forfeit the unvested portion of this Option. Upon your retirement in accordance with the Retirement Conditions, this Option may be exercised only until the 12-month anniversary of the date that the final portion of this Option vests, as set forth in the vesting schedule on the cover page to this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For purposes of this Award, “Retirement” means the termination of your employment when (1) you (A) are age 55 or older, (B) have at least five years of continuous Service as an employee (which must be immediately preceding the Retirement Date)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(2) the sum of your age as of the date of your termination plus your years of Service as an employee equals at least 75.</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3"/>
        </w:rPr>
        <w:t>7.    </w:t>
      </w:r>
      <w:r>
        <w:rPr>
          <w:rFonts w:ascii="Times New Roman;sans-serif" w:hAnsi="Times New Roman;sans-serif"/>
          <w:b/>
          <w:color w:val="000000"/>
          <w:sz w:val="23"/>
          <w:u w:val="single"/>
        </w:rPr>
        <w:t>Leave of Absence</w:t>
      </w:r>
      <w:r>
        <w:rPr>
          <w:rFonts w:ascii="Times New Roman;sans-serif" w:hAnsi="Times New Roman;sans-serif"/>
          <w:b w:val="false"/>
          <w:color w:val="000000"/>
          <w:sz w:val="23"/>
        </w:rPr>
        <w:t xml:space="preserve">. Your Service will be deemed continuing while you are on a leave of absence approved by the Company in writing or guaranteed by applicable law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written agreement you have entered into with the Company (an “Approved Leave”). If you do not resume providing Service following your Approved Leave, your Service will be deemed to have terminated upon the expiration of the Approved Leave.</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8.</w:t>
      </w:r>
      <w:r>
        <w:rPr>
          <w:color w:val="000000"/>
        </w:rPr>
        <w:t>    </w:t>
      </w:r>
      <w:r>
        <w:rPr>
          <w:rFonts w:ascii="Times New Roman;sans-serif" w:hAnsi="Times New Roman;sans-serif"/>
          <w:b/>
          <w:color w:val="000000"/>
          <w:sz w:val="23"/>
          <w:u w:val="single"/>
        </w:rPr>
        <w:t>Exercise of Option</w:t>
      </w:r>
      <w:r>
        <w:rPr>
          <w:rFonts w:ascii="Times New Roman;sans-serif" w:hAnsi="Times New Roman;sans-serif"/>
          <w:b w:val="false"/>
          <w:color w:val="000000"/>
          <w:sz w:val="23"/>
        </w:rPr>
        <w:t>. Subject to Section 5 of this Agreement and to the Company’s policies governing trading in its securities, the vested and exercisable portion of this Option may be exercised through use of the account maintained for you at E*TRADE or another automated electronic platform approved by the Company or through delivery to the Company’s Stock Administration office of written notification of exercise that states the number of Shares to be purchased and is signed or otherwise authenticated by the person exercising this Option. If the person exercising this Option is not the Optionee, he or she also must submit appropriate proof of his or her right to exercise this Option.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9.</w:t>
      </w:r>
      <w:r>
        <w:rPr>
          <w:color w:val="000000"/>
        </w:rPr>
        <w:t>    </w:t>
      </w:r>
      <w:r>
        <w:rPr>
          <w:rFonts w:ascii="Times New Roman;sans-serif" w:hAnsi="Times New Roman;sans-serif"/>
          <w:b/>
          <w:color w:val="000000"/>
          <w:sz w:val="23"/>
          <w:u w:val="single"/>
        </w:rPr>
        <w:t>Payment of Exercise Price</w:t>
      </w:r>
      <w:r>
        <w:rPr>
          <w:rFonts w:ascii="Times New Roman;sans-serif" w:hAnsi="Times New Roman;sans-serif"/>
          <w:b w:val="false"/>
          <w:color w:val="000000"/>
          <w:sz w:val="23"/>
        </w:rPr>
        <w:t>. When you submit your notice of exercise pursuant to Section 8 of this Agreement, you must include payment of the exercise price of the Shares being purchased through one or a combination of the following methods:</w:t>
      </w:r>
    </w:p>
    <w:p>
      <w:pPr>
        <w:pStyle w:val="TextBody"/>
        <w:bidi w:val="0"/>
        <w:spacing w:before="0" w:after="0"/>
        <w:ind w:left="0" w:right="0" w:hanging="144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 xml:space="preserve">(a)    your personal check, a cashier’s check or money order;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 xml:space="preserve">(b)    to the extent permitted by law, a broker-assisted cashless exercise in which you irrevocably instruct a broker to deliver proceeds of a sale of all or a portion of the Shares for which the Option is being exercised to the Company in payment of the exercise price of such Shares, and, to the extent consistent with Section 10 of this Agreement, in payment of Tax-Related Items (as defined below);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 xml:space="preserve">(c)    by delivery to the Company or its designated agent of unencumbered Shares having an aggregate Fair Market Value on the date of exercise equal to the exercise price of the Shares for which the Option is being exercised; or </w:t>
      </w:r>
    </w:p>
    <w:p>
      <w:pPr>
        <w:pStyle w:val="TextBody"/>
        <w:bidi w:val="0"/>
        <w:spacing w:before="0" w:after="0"/>
        <w:ind w:left="0" w:right="0" w:hanging="1260"/>
        <w:jc w:val="both"/>
        <w:rPr/>
      </w:pPr>
      <w:r>
        <w:rPr/>
      </w:r>
    </w:p>
    <w:p>
      <w:pPr>
        <w:pStyle w:val="TextBody"/>
        <w:bidi w:val="0"/>
        <w:spacing w:lineRule="auto" w:line="288" w:before="0" w:after="0"/>
        <w:ind w:left="0" w:right="0" w:hanging="1260"/>
        <w:jc w:val="both"/>
        <w:rPr>
          <w:color w:val="000000"/>
        </w:rPr>
      </w:pPr>
      <w:r>
        <w:rPr>
          <w:color w:val="000000"/>
        </w:rPr>
        <w:t>    </w:t>
      </w:r>
      <w:r>
        <w:rPr>
          <w:rFonts w:ascii="Times New Roman;sans-serif" w:hAnsi="Times New Roman;sans-serif"/>
          <w:b w:val="false"/>
          <w:color w:val="000000"/>
          <w:sz w:val="23"/>
        </w:rPr>
        <w:t xml:space="preserve">(d)    by a reduction in the number of Shares to be delivered to you upon exercise, such number of Shares to be withheld having an aggregate Fair Market Value on the date of exercise equal to the exercise price of the Shares for which the Option is being exercised. </w:t>
      </w:r>
    </w:p>
    <w:p>
      <w:pPr>
        <w:pStyle w:val="TextBody"/>
        <w:bidi w:val="0"/>
        <w:spacing w:before="0" w:after="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However, if the Committee determines, in any given circumstance, that payment of the exercise price with Shares pursuant to subsection (c) above or by authorizing the Company to retain Shares pursuant to subsection (d) above is undesirable for any reason, you will not be permitted to pay any portion of the exercise price in that manner. Moreover, if the Committee determines that payment of the exercise price by one of the methods specified above is required or desirable for legal or administrative reasons, you will be required to pay the exercise price by such method.</w:t>
      </w:r>
    </w:p>
    <w:p>
      <w:pPr>
        <w:pStyle w:val="TextBody"/>
        <w:bidi w:val="0"/>
        <w:spacing w:before="0" w:after="0"/>
        <w:ind w:left="0" w:right="0" w:hanging="72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3"/>
        </w:rPr>
        <w:t>10.    </w:t>
      </w:r>
      <w:r>
        <w:rPr>
          <w:rFonts w:ascii="Times New Roman;sans-serif" w:hAnsi="Times New Roman;sans-serif"/>
          <w:b/>
          <w:color w:val="000000"/>
          <w:sz w:val="23"/>
          <w:u w:val="single"/>
        </w:rPr>
        <w:t>Tax Consequences and Withholding</w:t>
      </w:r>
      <w:r>
        <w:rPr>
          <w:rFonts w:ascii="Times New Roman;sans-serif" w:hAnsi="Times New Roman;sans-serif"/>
          <w:b w:val="false"/>
          <w:color w:val="000000"/>
          <w:sz w:val="23"/>
        </w:rPr>
        <w:t xml:space="preserve">. You acknowledge that, regardless of any action taken by the Company, the ultimate liability for all income tax, social insurance, payroll tax, payment on account, or other tax-related items related to your participation in the Plan and legally applicable to you (the “Tax-Related Items”) is and remains your responsibility and may exceed the amount, if any, actually withheld by the Company. You further acknowledge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that the Company (a) makes no representations or undertakings regarding the treatment of any Tax-Related Items in connection with any aspect of the Option, including but not limited, the grant, vesting or exercise of the Option or subsequent sale of Shares acquired at exercise, and (b) does not commit to and is under no obligation to structure the terms of the grant or any aspect of the Option to reduce or eliminate your liability for Tax-Related Items or achieve any particular tax result. Further, if you are subject to Tax-Related Items in more than one jurisdiction, you acknowledge that the Company (or your employer, if different) may be required to withhold or account for Tax-Related Items in more than one jurisdiction.</w:t>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Prior to any relevant taxable or tax withholding event, as applicable, you agree to make arrangements acceptable to the Company to satisfy all Tax-Related Items. In this regard, you authorize the Company (or its agent), at its discretion, to satisfy any withholding obligation for the Tax-Related Items by one of the following methods: </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(i) withholding from proceeds of the sale of Shares acquired at exercise of the Option either through a voluntary sale or through a mandatory sale arranged by the Company (on your behalf pursuant to this authorization without further consent);</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(ii) delivery of your authorization to E*TRADE (or another broker designated by the Company) to transfer to the Company from your account at such broker the amount of such Tax-Related Items; </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(iii) withholding from your wages or other cash compensation paid to you by the Company; and/or </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(iv) any other method approved by the Company and permitted under applicable law. </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Depending on the withholding method and to the extent permitted under the Plan and applicable law, the Company may withhold for Tax-Related Items by considering minimum statutory withholding rates or up to the maximum rate applicable in your jurisdiction. In the event of any over-withholding, you will have no entitlement to the over-withheld amount in Shares and such amounts will be refunded to you in cash in accordance with applicable law.</w:t>
      </w:r>
    </w:p>
    <w:p>
      <w:pPr>
        <w:pStyle w:val="TextBody"/>
        <w:bidi w:val="0"/>
        <w:spacing w:lineRule="auto" w:line="288" w:before="0" w:after="240"/>
        <w:jc w:val="both"/>
        <w:rPr>
          <w:rFonts w:ascii="Times New Roman;sans-serif" w:hAnsi="Times New Roman;sans-serif"/>
          <w:b w:val="false"/>
          <w:color w:val="000000"/>
          <w:sz w:val="23"/>
        </w:rPr>
      </w:pPr>
      <w:r>
        <w:rPr>
          <w:rFonts w:ascii="Times New Roman;sans-serif" w:hAnsi="Times New Roman;sans-serif"/>
          <w:b w:val="false"/>
          <w:color w:val="000000"/>
          <w:sz w:val="23"/>
        </w:rPr>
        <w:t>The Company may refuse to issue or deliver the Shares or the proceeds of the sale of Shares if you fail to comply with your obligations in connection with the Tax-Related Items.</w:t>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11.</w:t>
      </w:r>
      <w:r>
        <w:rPr>
          <w:color w:val="000000"/>
        </w:rPr>
        <w:t>    </w:t>
      </w:r>
      <w:r>
        <w:rPr>
          <w:rFonts w:ascii="Times New Roman;sans-serif" w:hAnsi="Times New Roman;sans-serif"/>
          <w:b/>
          <w:color w:val="000000"/>
          <w:sz w:val="23"/>
          <w:u w:val="single"/>
        </w:rPr>
        <w:t>Delivery of Shares</w:t>
      </w:r>
      <w:r>
        <w:rPr>
          <w:rFonts w:ascii="Times New Roman;sans-serif" w:hAnsi="Times New Roman;sans-serif"/>
          <w:b w:val="false"/>
          <w:color w:val="000000"/>
          <w:sz w:val="23"/>
        </w:rPr>
        <w:t xml:space="preserve">. As soon as practicable after the Company receives the notice of exercise and exercise price provided for above and determines that all conditions to exercise and delivery of Shares, including the Tax-Related Items withholding provisions of Section 10 and the compliance provisions of Section 19 of this Agreement, have been satisfied, it will arrange for the delivery of the Shares being purchased. Delivery of the Shares shall be effected by the electronic delivery of the Shares to a brokerage account maintained for you at E*TRADE (or another broker designated by the Company), or by another method provided by the Company. All Shares so issued will be fully paid and nonassessable. </w:t>
      </w:r>
    </w:p>
    <w:p>
      <w:pPr>
        <w:pStyle w:val="TextBody"/>
        <w:bidi w:val="0"/>
        <w:spacing w:before="0" w:after="0"/>
        <w:ind w:left="0" w:right="0" w:hanging="72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3"/>
        </w:rPr>
        <w:t>12.    </w:t>
      </w:r>
      <w:r>
        <w:rPr>
          <w:rFonts w:ascii="Times New Roman;sans-serif" w:hAnsi="Times New Roman;sans-serif"/>
          <w:b/>
          <w:color w:val="000000"/>
          <w:sz w:val="23"/>
          <w:u w:val="single"/>
        </w:rPr>
        <w:t>Transfer of Option</w:t>
      </w:r>
      <w:r>
        <w:rPr>
          <w:rFonts w:ascii="Times New Roman;sans-serif" w:hAnsi="Times New Roman;sans-serif"/>
          <w:b w:val="false"/>
          <w:color w:val="000000"/>
          <w:sz w:val="23"/>
        </w:rPr>
        <w:t xml:space="preserve">. During your lifetime, only you (or your guardian or legal representative in the event of legal incapacity) may exercise this Option except in the case of a transfer described below. You may not assign or transfer this Option other than (a) a transfer upon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your death in accordance with your will, by the laws of descent and distribution or pursuant to a beneficiary designation submitted in accordance with Section 6(d) of the Plan, (b) pursuant to a qualified domestic relations order, or (c) by gift to any “family member” (as defined in General Instruction A.1(a)(5) to Form S-8 under the Securities Act of 1933). Following any such transfer, this Option shall continue to be subject to the same terms and conditions that were applicable to this Option immediately prior to its transfer and may be exercised by such permitted transferee as and to the extent that this Option has become exercisable and has not terminated in accordance with the provisions of the Plan and this Agreement. </w:t>
      </w:r>
    </w:p>
    <w:p>
      <w:pPr>
        <w:pStyle w:val="TextBody"/>
        <w:bidi w:val="0"/>
        <w:spacing w:before="0" w:after="0"/>
        <w:ind w:left="0" w:right="0" w:hanging="54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13.    </w:t>
      </w:r>
      <w:r>
        <w:rPr>
          <w:rFonts w:ascii="Times New Roman;sans-serif" w:hAnsi="Times New Roman;sans-serif"/>
          <w:b/>
          <w:color w:val="000000"/>
          <w:sz w:val="23"/>
          <w:u w:val="single"/>
        </w:rPr>
        <w:t>No Shareholder Rights Before Delivery of Shares</w:t>
      </w:r>
      <w:r>
        <w:rPr>
          <w:rFonts w:ascii="Times New Roman;sans-serif" w:hAnsi="Times New Roman;sans-serif"/>
          <w:b w:val="false"/>
          <w:color w:val="000000"/>
          <w:sz w:val="23"/>
        </w:rPr>
        <w:t>. Neither you nor any permitted transferee of this Option will have any of the rights of a shareholder of the Company with respect to any Shares subject to this Option until such Shares have been delivered to you or your permitted transferee pursuant to Section 11 of this Agreement. No adjustments shall be made for dividends or other rights if the applicable record date occurs before such delivery has been effected, except as otherwise described in the Plan.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14.</w:t>
      </w:r>
      <w:r>
        <w:rPr>
          <w:color w:val="000000"/>
        </w:rPr>
        <w:t>    </w:t>
      </w:r>
      <w:r>
        <w:rPr>
          <w:rFonts w:ascii="Times New Roman;sans-serif" w:hAnsi="Times New Roman;sans-serif"/>
          <w:b/>
          <w:color w:val="000000"/>
          <w:sz w:val="23"/>
          <w:u w:val="single"/>
        </w:rPr>
        <w:t>Discontinuance of Service</w:t>
      </w:r>
      <w:r>
        <w:rPr>
          <w:rFonts w:ascii="Times New Roman;sans-serif" w:hAnsi="Times New Roman;sans-serif"/>
          <w:b w:val="false"/>
          <w:color w:val="000000"/>
          <w:sz w:val="23"/>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15.    </w:t>
      </w:r>
      <w:r>
        <w:rPr>
          <w:rFonts w:ascii="Times New Roman;sans-serif" w:hAnsi="Times New Roman;sans-serif"/>
          <w:b/>
          <w:color w:val="000000"/>
          <w:sz w:val="23"/>
          <w:u w:val="single"/>
        </w:rPr>
        <w:t>Governing Plan Document</w:t>
      </w:r>
      <w:r>
        <w:rPr>
          <w:rFonts w:ascii="Times New Roman;sans-serif" w:hAnsi="Times New Roman;sans-serif"/>
          <w:b w:val="false"/>
          <w:color w:val="000000"/>
          <w:sz w:val="23"/>
        </w:rPr>
        <w:t>. This Agreement and Option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16.    </w:t>
      </w:r>
      <w:r>
        <w:rPr>
          <w:rFonts w:ascii="Times New Roman;sans-serif" w:hAnsi="Times New Roman;sans-serif"/>
          <w:b/>
          <w:color w:val="000000"/>
          <w:sz w:val="23"/>
          <w:u w:val="single"/>
        </w:rPr>
        <w:t>No Advice Regarding Grant</w:t>
      </w:r>
      <w:r>
        <w:rPr>
          <w:rFonts w:ascii="Times New Roman;sans-serif" w:hAnsi="Times New Roman;sans-serif"/>
          <w:b/>
          <w:color w:val="000000"/>
          <w:sz w:val="23"/>
        </w:rPr>
        <w:t>.</w:t>
      </w:r>
      <w:r>
        <w:rPr>
          <w:color w:val="000000"/>
        </w:rPr>
        <w:t xml:space="preserve"> </w:t>
      </w:r>
      <w:r>
        <w:rPr>
          <w:rFonts w:ascii="Times New Roman;sans-serif" w:hAnsi="Times New Roman;sans-serif"/>
          <w:b w:val="false"/>
          <w:color w:val="000000"/>
          <w:sz w:val="23"/>
        </w:rPr>
        <w:t>The Company is not providing any tax, legal or financial advice, nor is the Company making any recommendations regarding your participation in the Plan, or your acquisition or sale of the underlying Shares. You understand and agree that you should consult with your own personal tax, legal and financial advisors regarding your participation in the Plan before taking any action related to the Plan.</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17.    </w:t>
      </w:r>
      <w:r>
        <w:rPr>
          <w:rFonts w:ascii="Times New Roman;sans-serif" w:hAnsi="Times New Roman;sans-serif"/>
          <w:b/>
          <w:color w:val="000000"/>
          <w:sz w:val="23"/>
          <w:u w:val="single"/>
        </w:rPr>
        <w:t>Choice of Law and Venue</w:t>
      </w:r>
      <w:r>
        <w:rPr>
          <w:rFonts w:ascii="Times New Roman;sans-serif" w:hAnsi="Times New Roman;sans-serif"/>
          <w:b w:val="false"/>
          <w:color w:val="000000"/>
          <w:sz w:val="23"/>
        </w:rPr>
        <w:t xml:space="preserve">. This Option and Agreement will be interpreted and construed in accordance with and governed by the laws of the laws of the State of Minnesota and you agree to the exclusive venue and jurisdiction of the State and Federal Courts located in Hennepin County, Minnesota and waive any objection based on lack of jurisdiction or inconvenient forum. Any action relating to or arising out of this Plan must be commenced within one year after the cause of action accrued. This provision will not apply to you if you primarily reside and work in California.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18.    </w:t>
      </w:r>
      <w:r>
        <w:rPr>
          <w:rFonts w:ascii="Times New Roman;sans-serif" w:hAnsi="Times New Roman;sans-serif"/>
          <w:b/>
          <w:color w:val="000000"/>
          <w:sz w:val="23"/>
          <w:u w:val="single"/>
        </w:rPr>
        <w:t>Binding Effect</w:t>
      </w:r>
      <w:r>
        <w:rPr>
          <w:rFonts w:ascii="Times New Roman;sans-serif" w:hAnsi="Times New Roman;sans-serif"/>
          <w:b w:val="false"/>
          <w:color w:val="000000"/>
          <w:sz w:val="23"/>
        </w:rPr>
        <w:t>. This Agreement will be binding in all respects on your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3"/>
        </w:rPr>
        <w:t>19.    </w:t>
      </w:r>
      <w:r>
        <w:rPr>
          <w:rFonts w:ascii="Times New Roman;sans-serif" w:hAnsi="Times New Roman;sans-serif"/>
          <w:b/>
          <w:color w:val="000000"/>
          <w:sz w:val="23"/>
          <w:u w:val="single"/>
        </w:rPr>
        <w:t>Compliance with Law</w:t>
      </w:r>
      <w:r>
        <w:rPr>
          <w:rFonts w:ascii="Times New Roman;sans-serif" w:hAnsi="Times New Roman;sans-serif"/>
          <w:b/>
          <w:color w:val="000000"/>
          <w:sz w:val="23"/>
        </w:rPr>
        <w:t>.</w:t>
      </w:r>
      <w:r>
        <w:rPr>
          <w:color w:val="000000"/>
        </w:rPr>
        <w:t xml:space="preserve"> </w:t>
      </w:r>
      <w:r>
        <w:rPr>
          <w:rFonts w:ascii="Times New Roman;sans-serif" w:hAnsi="Times New Roman;sans-serif"/>
          <w:b w:val="false"/>
          <w:color w:val="000000"/>
          <w:sz w:val="23"/>
        </w:rPr>
        <w:t xml:space="preserve">Notwithstanding any other provision of the Plan or this Agreement, unless there is an exemption from any registration, qualification or other legal requirement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applicable to the Shares, the Company shall not be required to deliver any Shares issuable upon exercise of the Option prior to the completion of any registration or qualification of the shares under any U.S. federal, state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Agreement without your consent to the extent necessary to comply with securities or other laws applicable to the issuance of the Shares.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20.    </w:t>
      </w:r>
      <w:r>
        <w:rPr>
          <w:rFonts w:ascii="Times New Roman;sans-serif" w:hAnsi="Times New Roman;sans-serif"/>
          <w:b/>
          <w:color w:val="000000"/>
          <w:sz w:val="23"/>
          <w:u w:val="single"/>
        </w:rPr>
        <w:t>Insider Trading Policy</w:t>
      </w:r>
      <w:r>
        <w:rPr>
          <w:rFonts w:ascii="Times New Roman;sans-serif" w:hAnsi="Times New Roman;sans-serif"/>
          <w:b w:val="false"/>
          <w:color w:val="000000"/>
          <w:sz w:val="23"/>
        </w:rPr>
        <w:t>. You acknowledge that you are subject to the Company’s insider trading policy as set forth in the “Statement of Company Policy as to Trades in the Company’s Securities By Company Personnel and Confidential Information,” and you are responsible for ensuring compliance with the restrictions and requirements therein. Further, you may be subject to U.S. insider trading restrictions and/or market abuse laws, which may affect your ability to accept, acquire, sell or otherwise dispose of Shares or rights to Shares (e.g., the Option) or rights linked to the value of Shares during such times as you are considered to have “inside information” regarding the Company (as defined by the laws in the U.S.). Any restrictions under these laws or regulations are separate from and in addition to any restrictions that may be imposed under the Company’s insider trading policy.</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21.    </w:t>
      </w:r>
      <w:r>
        <w:rPr>
          <w:rFonts w:ascii="Times New Roman;sans-serif" w:hAnsi="Times New Roman;sans-serif"/>
          <w:b/>
          <w:color w:val="000000"/>
          <w:sz w:val="23"/>
          <w:u w:val="single"/>
        </w:rPr>
        <w:t>Imposition of Other Requirements</w:t>
      </w:r>
      <w:r>
        <w:rPr>
          <w:rFonts w:ascii="Times New Roman;sans-serif" w:hAnsi="Times New Roman;sans-serif"/>
          <w:b w:val="false"/>
          <w:color w:val="000000"/>
          <w:sz w:val="23"/>
        </w:rPr>
        <w:t>. The Company reserves the right to impose other requirements on your participation in the Plan, on the Option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22.    </w:t>
      </w:r>
      <w:r>
        <w:rPr>
          <w:rFonts w:ascii="Times New Roman;sans-serif" w:hAnsi="Times New Roman;sans-serif"/>
          <w:b/>
          <w:color w:val="000000"/>
          <w:sz w:val="23"/>
          <w:u w:val="single"/>
        </w:rPr>
        <w:t>Electronic Delivery and Participation</w:t>
      </w:r>
      <w:r>
        <w:rPr>
          <w:rFonts w:ascii="Times New Roman;sans-serif" w:hAnsi="Times New Roman;sans-serif"/>
          <w:b w:val="false"/>
          <w:color w:val="000000"/>
          <w:sz w:val="23"/>
        </w:rPr>
        <w:t xml:space="preserve">.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23.    </w:t>
      </w:r>
      <w:r>
        <w:rPr>
          <w:rFonts w:ascii="Times New Roman;sans-serif" w:hAnsi="Times New Roman;sans-serif"/>
          <w:b/>
          <w:color w:val="000000"/>
          <w:sz w:val="23"/>
          <w:u w:val="single"/>
        </w:rPr>
        <w:t>Compensation Recovery Policy</w:t>
      </w:r>
      <w:r>
        <w:rPr>
          <w:rFonts w:ascii="Times New Roman;sans-serif" w:hAnsi="Times New Roman;sans-serif"/>
          <w:b w:val="false"/>
          <w:color w:val="000000"/>
          <w:sz w:val="23"/>
        </w:rPr>
        <w:t xml:space="preserve">. To the extent that any compensation paid or payable pursuant to this Agreement is considered “incentive-based compensation” within the meaning and subject to the requirements of Section 10D of the Exchange Act, such compensation shall be subject to potential forfeiture or recovery by the Company in accordance with any compensation recovery policy adopted by the Board or any committee thereof in response to the requirements of Section 10D of the Exchange Act and any implementing rules and regulations thereunder adopted by the SEC or any national securities exchange on which the Stock is then listed. This Agreement may be unilaterally amended by the Company to comply with any such compensation recovery policy.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24.    </w:t>
      </w:r>
      <w:r>
        <w:rPr>
          <w:rFonts w:ascii="Times New Roman;sans-serif" w:hAnsi="Times New Roman;sans-serif"/>
          <w:b/>
          <w:color w:val="000000"/>
          <w:sz w:val="23"/>
          <w:u w:val="single"/>
        </w:rPr>
        <w:t>Waiver</w:t>
      </w:r>
      <w:r>
        <w:rPr>
          <w:rFonts w:ascii="Times New Roman;sans-serif" w:hAnsi="Times New Roman;sans-serif"/>
          <w:b w:val="false"/>
          <w:color w:val="000000"/>
          <w:sz w:val="23"/>
        </w:rPr>
        <w:t>. You acknowledge that a waiver by the Company of breach of any provision of this Agreement shall not operate or be construed as a waiver of any other provision of this Agreement, or of any subsequent breach by you or any other Participant.</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3"/>
        </w:rPr>
        <w:t>25.    </w:t>
      </w:r>
      <w:r>
        <w:rPr>
          <w:rFonts w:ascii="Times New Roman;sans-serif" w:hAnsi="Times New Roman;sans-serif"/>
          <w:b/>
          <w:color w:val="000000"/>
          <w:sz w:val="23"/>
          <w:u w:val="single"/>
        </w:rPr>
        <w:t>Severability</w:t>
      </w:r>
      <w:r>
        <w:rPr>
          <w:rFonts w:ascii="Times New Roman;sans-serif" w:hAnsi="Times New Roman;sans-serif"/>
          <w:b w:val="false"/>
          <w:color w:val="000000"/>
          <w:sz w:val="23"/>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i/>
          <w:color w:val="000000"/>
          <w:sz w:val="23"/>
        </w:rPr>
      </w:pPr>
      <w:r>
        <w:rPr>
          <w:rFonts w:ascii="Times New Roman;sans-serif" w:hAnsi="Times New Roman;sans-serif"/>
          <w:b/>
          <w:i/>
          <w:color w:val="000000"/>
          <w:sz w:val="23"/>
        </w:rPr>
        <w:t>By accepting this Option in the manner prescribed by the Company, you agree to all the terms and conditions described in this Agreement and in the Plan document.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4962"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895"/>
        <w:gridCol w:w="895"/>
        <w:gridCol w:w="126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Title: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10.6</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3"/>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Executive Performance Share Unit Award Agreement</w:t>
      </w:r>
    </w:p>
    <w:p>
      <w:pPr>
        <w:pStyle w:val="TextBody"/>
        <w:bidi w:val="0"/>
        <w:spacing w:before="0" w:after="0"/>
        <w:jc w:val="center"/>
        <w:rPr/>
      </w:pPr>
      <w:r>
        <w:rPr/>
      </w:r>
    </w:p>
    <w:p>
      <w:pPr>
        <w:pStyle w:val="TextBody"/>
        <w:bidi w:val="0"/>
        <w:spacing w:lineRule="auto" w:line="312" w:before="0" w:after="0"/>
        <w:jc w:val="center"/>
        <w:rPr>
          <w:rFonts w:ascii="Times New Roman;sans-serif" w:hAnsi="Times New Roman;sans-serif"/>
          <w:b/>
          <w:color w:val="000000"/>
          <w:sz w:val="23"/>
        </w:rPr>
      </w:pPr>
      <w:r>
        <w:rPr>
          <w:rFonts w:ascii="Times New Roman;sans-serif" w:hAnsi="Times New Roman;sans-serif"/>
          <w:b/>
          <w:color w:val="000000"/>
          <w:sz w:val="23"/>
        </w:rPr>
        <w:t>Fair Isaac Corporation</w:t>
      </w:r>
    </w:p>
    <w:p>
      <w:pPr>
        <w:pStyle w:val="TextBody"/>
        <w:bidi w:val="0"/>
        <w:spacing w:lineRule="auto" w:line="312" w:before="0" w:after="0"/>
        <w:jc w:val="center"/>
        <w:rPr>
          <w:rFonts w:ascii="Times New Roman;sans-serif" w:hAnsi="Times New Roman;sans-serif"/>
          <w:b/>
          <w:color w:val="000000"/>
          <w:sz w:val="23"/>
        </w:rPr>
      </w:pPr>
      <w:r>
        <w:rPr>
          <w:rFonts w:ascii="Times New Roman;sans-serif" w:hAnsi="Times New Roman;sans-serif"/>
          <w:b/>
          <w:color w:val="000000"/>
          <w:sz w:val="23"/>
        </w:rPr>
        <w:t>2021 Long-Term Incentive Plan</w:t>
      </w:r>
    </w:p>
    <w:p>
      <w:pPr>
        <w:pStyle w:val="TextBody"/>
        <w:bidi w:val="0"/>
        <w:spacing w:before="0" w:after="0"/>
        <w:jc w:val="center"/>
        <w:rPr/>
      </w:pPr>
      <w:r>
        <w:rPr/>
      </w:r>
    </w:p>
    <w:p>
      <w:pPr>
        <w:pStyle w:val="TextBody"/>
        <w:bidi w:val="0"/>
        <w:spacing w:lineRule="auto" w:line="312" w:before="0" w:after="0"/>
        <w:jc w:val="center"/>
        <w:rPr>
          <w:rFonts w:ascii="Times New Roman;sans-serif" w:hAnsi="Times New Roman;sans-serif"/>
          <w:b/>
          <w:color w:val="000000"/>
          <w:sz w:val="23"/>
        </w:rPr>
      </w:pPr>
      <w:r>
        <w:rPr>
          <w:rFonts w:ascii="Times New Roman;sans-serif" w:hAnsi="Times New Roman;sans-serif"/>
          <w:b/>
          <w:color w:val="000000"/>
          <w:sz w:val="23"/>
        </w:rPr>
        <w:t>Performance Share Unit Agreement</w:t>
      </w:r>
    </w:p>
    <w:p>
      <w:pPr>
        <w:pStyle w:val="TextBody"/>
        <w:bidi w:val="0"/>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 xml:space="preserve">Grant Number: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3"/>
        </w:rPr>
      </w:pPr>
      <w:r>
        <w:rPr>
          <w:rFonts w:ascii="Times New Roman;sans-serif" w:hAnsi="Times New Roman;sans-serif"/>
          <w:b w:val="false"/>
          <w:color w:val="000000"/>
          <w:sz w:val="23"/>
        </w:rPr>
        <w:t>This Performance Share Unit Award Agreement (this “Agreement”), dated [_______ __], 20[__] (the “Grant Date”), is by and between [Name] (the “Participant”), and Fair Isaac Corporation, a Delaware corporation (the “Company”). Any term capitalized but not defined in this Agreement will have the meaning set forth in the Company’s 2021 Long-Term Incentive Plan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In the exercise of its discretion to grant Awards under the Plan, the Committee has determined that the Participant should receive an Award of performance share units under the Plan. This Award is subject to the following terms and conditions: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1.    </w:t>
      </w:r>
      <w:r>
        <w:rPr>
          <w:rFonts w:ascii="Times New Roman;sans-serif" w:hAnsi="Times New Roman;sans-serif"/>
          <w:b/>
          <w:color w:val="000000"/>
          <w:sz w:val="23"/>
          <w:u w:val="single"/>
        </w:rPr>
        <w:t>Grant of Performance Share Units</w:t>
      </w:r>
      <w:r>
        <w:rPr>
          <w:rFonts w:ascii="Times New Roman;sans-serif" w:hAnsi="Times New Roman;sans-serif"/>
          <w:b w:val="false"/>
          <w:color w:val="000000"/>
          <w:sz w:val="23"/>
        </w:rPr>
        <w:t>. The Company hereby grants to the Participant an Award consisting of performance share units (the “Units”) in an amount initially equal to the Target Number of Units specified on Appendix A to this Agreement. The number of Units that may actually be earned and become eligible to vest pursuant to this Award can be between 0% and 200% of the Target Number of Units, but may not exceed the Maximum Number of Units specified on Appendix A to this Agreement. Each Unit that is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pStyle w:val="TextBody"/>
        <w:bidi w:val="0"/>
        <w:spacing w:before="0" w:after="0"/>
        <w:ind w:left="0" w:right="0" w:hanging="96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2.    </w:t>
      </w:r>
      <w:r>
        <w:rPr>
          <w:rFonts w:ascii="Times New Roman;sans-serif" w:hAnsi="Times New Roman;sans-serif"/>
          <w:b/>
          <w:color w:val="000000"/>
          <w:sz w:val="23"/>
          <w:u w:val="single"/>
        </w:rPr>
        <w:t>Restrictions on Units</w:t>
      </w:r>
      <w:r>
        <w:rPr>
          <w:rFonts w:ascii="Times New Roman;sans-serif" w:hAnsi="Times New Roman;sans-serif"/>
          <w:b w:val="false"/>
          <w:color w:val="000000"/>
          <w:sz w:val="23"/>
        </w:rPr>
        <w:t>. Neither this Award nor the Units subject to this Award may be sold, assigned, transferred, exchanged or 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respectively, of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3.    </w:t>
      </w:r>
      <w:r>
        <w:rPr>
          <w:rFonts w:ascii="Times New Roman;sans-serif" w:hAnsi="Times New Roman;sans-serif"/>
          <w:b/>
          <w:color w:val="000000"/>
          <w:sz w:val="23"/>
          <w:u w:val="single"/>
        </w:rPr>
        <w:t>Earned Units</w:t>
      </w:r>
      <w:r>
        <w:rPr>
          <w:rFonts w:ascii="Times New Roman;sans-serif" w:hAnsi="Times New Roman;sans-serif"/>
          <w:b w:val="false"/>
          <w:color w:val="000000"/>
          <w:sz w:val="23"/>
        </w:rPr>
        <w:t xml:space="preserve">. Whether and to what degree the Units will be earned (the “Earned Units”) during the period starting on October 1, 20[__] and ending on September 30, 20[__] (the “Performance Period”) will be determined by whether and to what degree the Company has satisfied the applicable performance goal(s) for the Performance Period as set forth in </w:t>
      </w:r>
      <w:r>
        <w:rPr>
          <w:rFonts w:ascii="Times New Roman;sans-serif" w:hAnsi="Times New Roman;sans-serif"/>
          <w:b w:val="false"/>
          <w:color w:val="000000"/>
          <w:sz w:val="23"/>
          <w:u w:val="single"/>
        </w:rPr>
        <w:t>Appendix A</w:t>
      </w:r>
      <w:r>
        <w:rPr>
          <w:color w:val="000000"/>
        </w:rPr>
        <w:t xml:space="preserve"> </w:t>
      </w:r>
      <w:r>
        <w:rPr>
          <w:rFonts w:ascii="Times New Roman;sans-serif" w:hAnsi="Times New Roman;sans-serif"/>
          <w:b w:val="false"/>
          <w:color w:val="000000"/>
          <w:sz w:val="23"/>
        </w:rPr>
        <w:t xml:space="preserve">to this Agreement. Any Units that are not designated as Earned Units at the conclusion of the Performance Period in accordance with this Section 3 will be forfeited. </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3"/>
        </w:rPr>
        <w:t>4.    </w:t>
      </w:r>
      <w:r>
        <w:rPr>
          <w:rFonts w:ascii="Times New Roman;sans-serif" w:hAnsi="Times New Roman;sans-serif"/>
          <w:b/>
          <w:color w:val="000000"/>
          <w:sz w:val="23"/>
          <w:u w:val="single"/>
        </w:rPr>
        <w:t>Vesting of Earned Units</w:t>
      </w:r>
      <w:r>
        <w:rPr>
          <w:rFonts w:ascii="Times New Roman;sans-serif" w:hAnsi="Times New Roman;sans-serif"/>
          <w:b w:val="false"/>
          <w:color w:val="000000"/>
          <w:sz w:val="23"/>
        </w:rPr>
        <w:t xml:space="preserve">. Subject to Section 6 of this Agreement, if the Participant remains a Service Provider continuously from the Grant Date, then ⅓ of the Earned Units will vest on each of December [__], 20[__], December [__], 20[__], and December [__], 20[__]. The period from October 1, 20[__] through December [__], 20[__] is referred to as the “Vesting Period.”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5.    </w:t>
      </w:r>
      <w:r>
        <w:rPr>
          <w:rFonts w:ascii="Times New Roman;sans-serif" w:hAnsi="Times New Roman;sans-serif"/>
          <w:b/>
          <w:color w:val="000000"/>
          <w:sz w:val="23"/>
          <w:u w:val="single"/>
        </w:rPr>
        <w:t>Service Requirement</w:t>
      </w:r>
      <w:r>
        <w:rPr>
          <w:rFonts w:ascii="Times New Roman;sans-serif" w:hAnsi="Times New Roman;sans-serif"/>
          <w:b w:val="false"/>
          <w:color w:val="000000"/>
          <w:sz w:val="23"/>
        </w:rPr>
        <w:t>. Except as otherwise provided in accordance with Section 6 of this Agreement, if you cease to be a Service 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6.    </w:t>
      </w:r>
      <w:r>
        <w:rPr>
          <w:rFonts w:ascii="Times New Roman;sans-serif" w:hAnsi="Times New Roman;sans-serif"/>
          <w:b/>
          <w:color w:val="000000"/>
          <w:sz w:val="23"/>
          <w:u w:val="single"/>
        </w:rPr>
        <w:t>Effect of Termination of Service or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(a)    Except as may be provided under the remainder of this Section 6, upon termination of Service during the Performance Period for any reason other than retirement in accordance with the Retirement Conditions, death or Disability, all Units will be immediately forfeited without consideration.</w:t>
      </w:r>
    </w:p>
    <w:p>
      <w:pPr>
        <w:pStyle w:val="TextBody"/>
        <w:bidi w:val="0"/>
        <w:spacing w:before="0" w:after="0"/>
        <w:ind w:left="0" w:right="0" w:hanging="72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(b)    Upon (i) termination of Service during the Performance Period due to death or Disability, the Target Number of Units subject to this Award will be deemed Earned Units and will vest in full upon such termination, or (ii) a Change in Control during the Performance Period as a result of which the Company does not survive as an operating company or survives only as a subsidiary of another entity (a “Business Combination”), the Target Number of Units subject to this Award will be deemed Earned Units and will vest in full upon or immediately before, and conditioned upon, the consummation of the Business Combination. Any remaining Units that do not vest as provided in this Section 6(b) will be immediately forfeited without consideration. In connection with a Change in Control during the Performance Period that is not a Business Combination, the Committee may provide in its discretion that the Target Number of Units subject to this Award will be deemed Earned Units and will vest in full upon the occurrence of the Change in Control or upon the termination of the Participant’s Service as an employee within 12 months following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(c)    Except as may be provided by the Committee pursuant to Section 6(d) or (e), upon termination of Service during the Vesting Period for any reason other than retirement in accordance with the Retirement Conditions, death or Disability, all Earned Units that have not vested will be immediately forfeited without consideration.</w:t>
      </w:r>
    </w:p>
    <w:p>
      <w:pPr>
        <w:pStyle w:val="TextBody"/>
        <w:bidi w:val="0"/>
        <w:spacing w:lineRule="auto" w:line="288"/>
        <w:ind w:left="0" w:right="0" w:hanging="720"/>
        <w:jc w:val="both"/>
        <w:rPr>
          <w:color w:val="000000"/>
        </w:rPr>
      </w:pPr>
      <w:r>
        <w:rPr>
          <w:color w:val="000000"/>
        </w:rPr>
        <w:t>    </w:t>
      </w:r>
      <w:r>
        <w:rPr>
          <w:rFonts w:ascii="Times New Roman;sans-serif" w:hAnsi="Times New Roman;sans-serif"/>
          <w:b w:val="false"/>
          <w:color w:val="000000"/>
          <w:sz w:val="23"/>
        </w:rPr>
        <w:t xml:space="preserve">(d)    Upon (i) termination of Service during the Vesting Period due to death or Disability, all Earned Units will vest in full upon such termination, or (ii) a Business Combination during the Vesting Period, all Earned Units will vest in full upon or immediately before, and conditioned upon, the consummation of the Business Combination. In connection with a Change in Control during the Vesting Period that is not a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Combination, the Committee may provide in its discretion that all Earned Units will vest in full upon the occurrence of the Change in Control or upon the termination of the Participant’s Service as an employee within 12 months following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(e)    Notwithstanding anything to the contrary in this Agreement, the Units shall continue to be earned in accordance with Section 3 of this Agreement and vest over the Vesting Period in accordance with Section 4 of this Agreement if your Service to the Company or any Affiliate terminates because of your Retirement and the 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Period, you: (a) continue to be available to provide Service as requested and (b) do not become employed by or otherwise provide paid services to any other entity or organization; provided, however, that you may be permitted to serve as an independent director on a board of directors for an entity that are not competitive with the Company’s business so long as any such service as an independent director is reviewed and approved in advance by the Committee. For the avoidance of doubt, if you fail to comply with the conditions in this Section 6(e), you will forfeit all unvested Earned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For purposes of this Agreement, “Retirement” means the termination of your employment when (i) you (A) are age 55 or older, (B) 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6(e) shall be paid to you not later than 74 days after the applicable vesting date of the Units as specified in Section 4 of this Agreement. </w:t>
      </w:r>
    </w:p>
    <w:p>
      <w:pPr>
        <w:pStyle w:val="TextBody"/>
        <w:bidi w:val="0"/>
        <w:spacing w:before="0" w:after="0"/>
        <w:ind w:left="0" w:right="0" w:hanging="720"/>
        <w:jc w:val="left"/>
        <w:rPr/>
      </w:pPr>
      <w:r>
        <w:rPr/>
      </w:r>
    </w:p>
    <w:p>
      <w:pPr>
        <w:pStyle w:val="TextBody"/>
        <w:bidi w:val="0"/>
        <w:spacing w:lineRule="auto" w:line="288"/>
        <w:ind w:left="0" w:right="0" w:hanging="720"/>
        <w:jc w:val="both"/>
        <w:rPr/>
      </w:pPr>
      <w:r>
        <w:rPr>
          <w:rFonts w:ascii="Times New Roman;sans-serif" w:hAnsi="Times New Roman;sans-serif"/>
          <w:b w:val="false"/>
          <w:color w:val="000000"/>
          <w:sz w:val="23"/>
        </w:rPr>
        <w:t>7.    </w:t>
      </w:r>
      <w:r>
        <w:rPr>
          <w:rFonts w:ascii="Times New Roman;sans-serif" w:hAnsi="Times New Roman;sans-serif"/>
          <w:b/>
          <w:color w:val="000000"/>
          <w:sz w:val="23"/>
          <w:u w:val="single"/>
        </w:rPr>
        <w:t>Settlement of Units</w:t>
      </w:r>
      <w:r>
        <w:rPr>
          <w:rFonts w:ascii="Times New Roman;sans-serif" w:hAnsi="Times New Roman;sans-serif"/>
          <w:b w:val="false"/>
          <w:color w:val="000000"/>
          <w:sz w:val="23"/>
        </w:rPr>
        <w:t xml:space="preserve">. After any Units vest pursuant to Section 4 or Section 6 of this Agreement, the Company shall, as soon as practicable (but in any event within the period specified in Treas. Reg. § 1.409A-1(b)(4) to 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 pursuant to Section 6(e)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the Committee may provide that the settlement of any Earned Units that vest in accordance with Section 6(b)(ii) or 6(d)(ii)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8.    </w:t>
      </w:r>
      <w:r>
        <w:rPr>
          <w:rFonts w:ascii="Times New Roman;sans-serif" w:hAnsi="Times New Roman;sans-serif"/>
          <w:b/>
          <w:color w:val="000000"/>
          <w:sz w:val="23"/>
          <w:u w:val="single"/>
        </w:rPr>
        <w:t>Tax Consequences and Withholding</w:t>
      </w:r>
      <w:r>
        <w:rPr>
          <w:rFonts w:ascii="Times New Roman;sans-serif" w:hAnsi="Times New Roman;sans-serif"/>
          <w:b w:val="false"/>
          <w:color w:val="000000"/>
          <w:sz w:val="23"/>
        </w:rPr>
        <w:t xml:space="preserve">. As a condition precedent to the settlement of the Units, the Participant is required to make arrangements acceptable to the Company for payment of any federal, state or local withholding taxes that may be due as a result of the settlement of the Units (“Withholding Taxes”), in accordance with Section 14 of the Plan.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 xml:space="preserve">Until such time as the Company provides notice to the contrary, it will collect the Withholding Taxes through an automatic Share withholding procedure (the “Share Withholding Method”), unless other arrangements acceptable to the Company have been made. Under such procedure, the Company or its agent will withhold, upon the tax 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applicable minimum statutory withholding rate or such other rate as may be permitted under the Plan up to the maximum rate applicable in your jurisdiction.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pStyle w:val="TextBody"/>
        <w:bidi w:val="0"/>
        <w:spacing w:before="0" w:after="0"/>
        <w:ind w:left="0" w:right="0" w:hanging="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(a)    delivery of the Participant’s authorization to E*TRADE (or another broker designated by the Company or the Participant) to transfer to the Company from the Participant’s account at such broker the amount of such Withholding Taxes;</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(b)    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(c)    any other method approved by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9.    </w:t>
      </w:r>
      <w:r>
        <w:rPr>
          <w:rFonts w:ascii="Times New Roman;sans-serif" w:hAnsi="Times New Roman;sans-serif"/>
          <w:b/>
          <w:color w:val="000000"/>
          <w:sz w:val="23"/>
          <w:u w:val="single"/>
        </w:rPr>
        <w:t>No Shareholder Rights</w:t>
      </w:r>
      <w:r>
        <w:rPr>
          <w:rFonts w:ascii="Times New Roman;sans-serif" w:hAnsi="Times New Roman;sans-serif"/>
          <w:b w:val="false"/>
          <w:color w:val="000000"/>
          <w:sz w:val="23"/>
        </w:rPr>
        <w:t xml:space="preserve">. The Units subject to this Award do not entitle the Participant to any rights of a shareholder of the Company’s 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10.    </w:t>
      </w:r>
      <w:r>
        <w:rPr>
          <w:rFonts w:ascii="Times New Roman;sans-serif" w:hAnsi="Times New Roman;sans-serif"/>
          <w:b/>
          <w:color w:val="000000"/>
          <w:sz w:val="23"/>
          <w:u w:val="single"/>
        </w:rPr>
        <w:t>Governing Plan Document</w:t>
      </w:r>
      <w:r>
        <w:rPr>
          <w:rFonts w:ascii="Times New Roman;sans-serif" w:hAnsi="Times New Roman;sans-serif"/>
          <w:b w:val="false"/>
          <w:color w:val="000000"/>
          <w:sz w:val="23"/>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11.    </w:t>
      </w:r>
      <w:r>
        <w:rPr>
          <w:rFonts w:ascii="Times New Roman;sans-serif" w:hAnsi="Times New Roman;sans-serif"/>
          <w:b/>
          <w:color w:val="000000"/>
          <w:sz w:val="23"/>
          <w:u w:val="single"/>
        </w:rPr>
        <w:t>Choice of Law</w:t>
      </w:r>
      <w:r>
        <w:rPr>
          <w:rFonts w:ascii="Times New Roman;sans-serif" w:hAnsi="Times New Roman;sans-serif"/>
          <w:b w:val="false"/>
          <w:color w:val="000000"/>
          <w:sz w:val="23"/>
        </w:rPr>
        <w:t>. This Agreement will be interpreted and enforced under the laws of the state of Minnesota (without regard to its conflicts or choice of law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12.    </w:t>
      </w:r>
      <w:r>
        <w:rPr>
          <w:rFonts w:ascii="Times New Roman;sans-serif" w:hAnsi="Times New Roman;sans-serif"/>
          <w:b/>
          <w:color w:val="000000"/>
          <w:sz w:val="23"/>
          <w:u w:val="single"/>
        </w:rPr>
        <w:t>Binding Effect</w:t>
      </w:r>
      <w:r>
        <w:rPr>
          <w:rFonts w:ascii="Times New Roman;sans-serif" w:hAnsi="Times New Roman;sans-serif"/>
          <w:b w:val="false"/>
          <w:color w:val="000000"/>
          <w:sz w:val="23"/>
        </w:rPr>
        <w:t>. This Agreement will be binding in all respects on the Participant’s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13.    </w:t>
      </w:r>
      <w:r>
        <w:rPr>
          <w:rFonts w:ascii="Times New Roman;sans-serif" w:hAnsi="Times New Roman;sans-serif"/>
          <w:b/>
          <w:color w:val="000000"/>
          <w:sz w:val="23"/>
          <w:u w:val="single"/>
        </w:rPr>
        <w:t>Discontinuance of Service</w:t>
      </w:r>
      <w:r>
        <w:rPr>
          <w:rFonts w:ascii="Times New Roman;sans-serif" w:hAnsi="Times New Roman;sans-serif"/>
          <w:b w:val="false"/>
          <w:color w:val="000000"/>
          <w:sz w:val="23"/>
        </w:rPr>
        <w:t>. This Agreement does not give the Participant a right to continued Service with the Company or any Affiliate, and the Company or any such Affiliate may terminate the Participant’s Service at any time and otherwise deal with the Participant without regard to the effect it may have upon the Participant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14.    </w:t>
      </w:r>
      <w:r>
        <w:rPr>
          <w:rFonts w:ascii="Times New Roman;sans-serif" w:hAnsi="Times New Roman;sans-serif"/>
          <w:b/>
          <w:color w:val="000000"/>
          <w:sz w:val="23"/>
          <w:u w:val="single"/>
        </w:rPr>
        <w:t>Section 409A of the Code</w:t>
      </w:r>
      <w:r>
        <w:rPr>
          <w:rFonts w:ascii="Times New Roman;sans-serif" w:hAnsi="Times New Roman;sans-serif"/>
          <w:b w:val="false"/>
          <w:color w:val="000000"/>
          <w:sz w:val="23"/>
        </w:rPr>
        <w:t>. The Units as provided in this Agreement and any issuance of Shares or payment pursuant to this Agreement are intended to either be exempt from or comply with Section 409A of the Code so as not to subject you to payment of any additional tax, penalty or interest imposed under Section 409A of the Code. The provisions of this Agreement shall be construed and interpreted to avoid the imputation of any such additional tax, penalty or interest under Section 409A of the Code yet preserve (to the nearest extent reasonably possible) the intended benefit payable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15.    </w:t>
      </w:r>
      <w:r>
        <w:rPr>
          <w:rFonts w:ascii="Times New Roman;sans-serif" w:hAnsi="Times New Roman;sans-serif"/>
          <w:b/>
          <w:color w:val="000000"/>
          <w:sz w:val="23"/>
          <w:u w:val="single"/>
        </w:rPr>
        <w:t>Compensation Recovery Policy</w:t>
      </w:r>
      <w:r>
        <w:rPr>
          <w:rFonts w:ascii="Times New Roman;sans-serif" w:hAnsi="Times New Roman;sans-serif"/>
          <w:b w:val="false"/>
          <w:color w:val="000000"/>
          <w:sz w:val="23"/>
        </w:rPr>
        <w:t>. To the extent that any compensation paid or payable pursuant to this Agreement is considered “incentive-based compensation” within the meaning of (i) the Company’s Executive Officer Incentive Compensation Recovery Policy, (ii) any similar or superseding policy adopted by the Board or any committee thereof or (iii) Section 10D of the Exchange Act and any implementing rules and regulations thereunder adopted by the Securities and Exchange Commission or any national securities exchange on which the Company’s common stock is then listed, such compensation shall be subject to potential forfeiture or recovery by the Company in accordance with such policies, laws, rules or regulations.</w:t>
      </w:r>
    </w:p>
    <w:p>
      <w:pPr>
        <w:pStyle w:val="TextBody"/>
        <w:bidi w:val="0"/>
        <w:spacing w:lineRule="auto" w:line="288" w:before="0" w:after="0"/>
        <w:ind w:left="0" w:right="0" w:hanging="540"/>
        <w:jc w:val="both"/>
        <w:rPr>
          <w:color w:val="000000"/>
        </w:rPr>
      </w:pPr>
      <w:r>
        <w:rPr>
          <w:color w:val="000000"/>
        </w:rPr>
        <w:t>    </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3"/>
        </w:rPr>
      </w:pPr>
      <w:r>
        <w:rPr>
          <w:rFonts w:ascii="Times New Roman;sans-serif" w:hAnsi="Times New Roman;sans-serif"/>
          <w:b/>
          <w:i/>
          <w:color w:val="000000"/>
          <w:sz w:val="23"/>
        </w:rPr>
        <w:t>By executing this Agreement, the Participant accepts this Award and agrees to all the terms and conditions described in this Agreement and in the Plan document.</w:t>
      </w:r>
    </w:p>
    <w:p>
      <w:pPr>
        <w:pStyle w:val="TextBody"/>
        <w:bidi w:val="0"/>
        <w:spacing w:before="0" w:after="0"/>
        <w:jc w:val="left"/>
        <w:rPr/>
      </w:pPr>
      <w:r>
        <w:rPr/>
      </w:r>
    </w:p>
    <w:p>
      <w:pPr>
        <w:pStyle w:val="TextBody"/>
        <w:bidi w:val="0"/>
        <w:spacing w:before="0" w:after="0"/>
        <w:jc w:val="center"/>
        <w:rPr/>
      </w:pPr>
      <w:r>
        <w:rPr/>
      </w:r>
    </w:p>
    <w:tbl>
      <w:tblPr>
        <w:tblW w:w="4962"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895"/>
        <w:gridCol w:w="895"/>
        <w:gridCol w:w="126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Title: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2" w:before="0" w:after="0"/>
        <w:jc w:val="right"/>
        <w:rPr>
          <w:rFonts w:ascii="Times New Roman;sans-serif" w:hAnsi="Times New Roman;sans-serif"/>
          <w:b/>
          <w:color w:val="000000"/>
          <w:sz w:val="23"/>
        </w:rPr>
      </w:pPr>
      <w:r>
        <w:rPr>
          <w:rFonts w:ascii="Times New Roman;sans-serif" w:hAnsi="Times New Roman;sans-serif"/>
          <w:b/>
          <w:color w:val="000000"/>
          <w:sz w:val="23"/>
        </w:rPr>
        <w:t>Exhibit 10.7</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2.6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Fair Isaac Corporation</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2021 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Market Share Unit Agreement</w:t>
      </w:r>
    </w:p>
    <w:p>
      <w:pPr>
        <w:pStyle w:val="TextBody"/>
        <w:bidi w:val="0"/>
        <w:spacing w:lineRule="auto" w:line="288" w:before="0" w:after="0"/>
        <w:jc w:val="center"/>
        <w:rPr>
          <w:rFonts w:ascii="Times New Roman;sans-serif" w:hAnsi="Times New Roman;sans-serif"/>
          <w:b/>
          <w:color w:val="000000"/>
          <w:sz w:val="23"/>
        </w:rPr>
      </w:pPr>
      <w:r>
        <w:rPr>
          <w:rFonts w:ascii="Times New Roman;sans-serif" w:hAnsi="Times New Roman;sans-serif"/>
          <w:b/>
          <w:color w:val="000000"/>
          <w:sz w:val="23"/>
        </w:rPr>
        <w:t xml:space="preserve">Grant Number: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3"/>
        </w:rPr>
      </w:pPr>
      <w:r>
        <w:rPr>
          <w:rFonts w:ascii="Times New Roman;sans-serif" w:hAnsi="Times New Roman;sans-serif"/>
          <w:b w:val="false"/>
          <w:color w:val="000000"/>
          <w:sz w:val="23"/>
        </w:rPr>
        <w:t>This Market Share Unit Award Agreement (this “Agreement”), dated December [__], 20[__] (the “Grant Date”), is by and between [Name] (the “Participant”), and Fair Isaac Corporation, a Delaware corporation (the “Company”). Any term capitalized but not defined in this Agreement will have the meaning set forth in the Company’s 2021 Long-Term Incentive Plan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In the exercise of its discretion to grant Awards under the Plan, the Committee has determined that the Participant should receive an Award of market share units under the Plan (the “Units”). This Award is subject to the following terms and conditions: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1.    </w:t>
      </w:r>
      <w:r>
        <w:rPr>
          <w:rFonts w:ascii="Times New Roman;sans-serif" w:hAnsi="Times New Roman;sans-serif"/>
          <w:b/>
          <w:color w:val="000000"/>
          <w:sz w:val="23"/>
          <w:u w:val="single"/>
        </w:rPr>
        <w:t>Grant of Market Share Units</w:t>
      </w:r>
      <w:r>
        <w:rPr>
          <w:rFonts w:ascii="Times New Roman;sans-serif" w:hAnsi="Times New Roman;sans-serif"/>
          <w:b w:val="false"/>
          <w:color w:val="000000"/>
          <w:sz w:val="23"/>
        </w:rPr>
        <w:t>. The Company hereby grants to the Participant an Award consisting of [_____] Units (the “Target Units”), subject to possible decrease to as few as 0 Units and to possible increase to as many as [_____] Units as provided by this Agreement. Each Unit that has been earned pursuant to Section 3 of this Agreement and vests pursuant to Section 4 of this Agreement represents the right to receive one share of the Company’s common stock as provided in Section 7 of this Agreement. The Award will be subject to the terms and conditions of the Plan and this Agreement.</w:t>
      </w:r>
    </w:p>
    <w:p>
      <w:pPr>
        <w:pStyle w:val="TextBody"/>
        <w:bidi w:val="0"/>
        <w:spacing w:before="0" w:after="0"/>
        <w:ind w:left="0" w:right="0" w:hanging="96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2.    </w:t>
      </w:r>
      <w:r>
        <w:rPr>
          <w:rFonts w:ascii="Times New Roman;sans-serif" w:hAnsi="Times New Roman;sans-serif"/>
          <w:b/>
          <w:color w:val="000000"/>
          <w:sz w:val="23"/>
          <w:u w:val="single"/>
        </w:rPr>
        <w:t>Restrictions on Units</w:t>
      </w:r>
      <w:r>
        <w:rPr>
          <w:rFonts w:ascii="Times New Roman;sans-serif" w:hAnsi="Times New Roman;sans-serif"/>
          <w:b w:val="false"/>
          <w:color w:val="000000"/>
          <w:sz w:val="23"/>
        </w:rPr>
        <w:t>. Neither this Award nor the Units subject to this Award may be sold, assigned, transferred, exchanged or encumbered other than a transfer upon death in accordance with the Participant’s will, by the laws of descent and distribution or pursuant to a beneficiary designation submitted by the Participant in accordance with Section 6(d) of the Plan. Any attempted transfer in violation of this Section 2 shall be of no effect and may result in the forfeiture of all Units. The Units and the Participant’s right to receive Shares in settlement of the Units under this Agreement shall be subject to forfeiture as provided in this Agreement until satisfaction of the conditions for earning and vesting the Units as set forth in Section 3 and Section 4 of this Agreement, respectively.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3.    </w:t>
      </w:r>
      <w:r>
        <w:rPr>
          <w:rFonts w:ascii="Times New Roman;sans-serif" w:hAnsi="Times New Roman;sans-serif"/>
          <w:b/>
          <w:color w:val="000000"/>
          <w:sz w:val="23"/>
          <w:u w:val="single"/>
        </w:rPr>
        <w:t>Earned Units</w:t>
      </w:r>
      <w:r>
        <w:rPr>
          <w:rFonts w:ascii="Times New Roman;sans-serif" w:hAnsi="Times New Roman;sans-serif"/>
          <w:b w:val="false"/>
          <w:color w:val="000000"/>
          <w:sz w:val="23"/>
        </w:rPr>
        <w:t>. Whether and to what degree the Units are earned will be determined by the relationship between the Company’s total shareholder return performance relative to that of a benchmark index during three performance periods: Performance Period 1 will start on [December 1], 20[__] and end on [November 30], 20[__], Performance Period 2 will start on [December 1], 20[__] and end on [November 30], 20[__], and Performance Period 3 will start on [December 1], 20[__] and end on [November 30], 20[__] (each, a “Performance Period”). The Performance Periods may be adjusted under the circumstances and to the extent specified in Section 6(b) of this Agreement.</w:t>
      </w:r>
      <w:r>
        <w:rPr>
          <w:color w:val="000000"/>
        </w:rPr>
        <w:t xml:space="preserve"> </w:t>
      </w:r>
    </w:p>
    <w:p>
      <w:pPr>
        <w:pStyle w:val="TextBody"/>
        <w:bidi w:val="0"/>
        <w:spacing w:before="0" w:after="0"/>
        <w:ind w:left="0" w:right="0" w:hanging="72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3"/>
        </w:rPr>
        <w:t xml:space="preserve">(a)    The number of Units subject to this Award that will be deemed earned at the conclusion of Performance Period 1 (the “Period 1 Earned Units”) will equal ⅓ of the number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3"/>
        </w:rPr>
        <w:t xml:space="preserve">of Target Units multiplied by the Relative Return Factor (calculated in accordance with </w:t>
      </w:r>
      <w:r>
        <w:rPr>
          <w:rFonts w:ascii="Times New Roman;sans-serif" w:hAnsi="Times New Roman;sans-serif"/>
          <w:b w:val="false"/>
          <w:color w:val="000000"/>
          <w:sz w:val="23"/>
          <w:u w:val="single"/>
        </w:rPr>
        <w:t>Appendix A</w:t>
      </w:r>
      <w:r>
        <w:rPr>
          <w:color w:val="000000"/>
        </w:rPr>
        <w:t xml:space="preserve"> </w:t>
      </w:r>
      <w:r>
        <w:rPr>
          <w:rFonts w:ascii="Times New Roman;sans-serif" w:hAnsi="Times New Roman;sans-serif"/>
          <w:b w:val="false"/>
          <w:color w:val="000000"/>
          <w:sz w:val="23"/>
        </w:rPr>
        <w:t>to this Agreement) applicable to Performance Period 1, rounded down to the nearest whole Unit in case of a fraction.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(b)    The number of Units subject to this Award that will be deemed earned at the conclusion of Performance Period 2 (the “Period 2 Earned Units”) will equal ⅓ of the number of Target Units multiplied by the Relative Return Factor applicable to Performance Period 2, rounded down to the nearest whole Unit in case of a fraction.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(c)    The number of Units subject to this Award that will be deemed earned at the conclusion of Performance Period 3 (the “Period 3 Earned Units”) will equal the number of Target Units multiplied by the Relative Return Factor applicable to Performance Period 3, rounded down to the nearest whole Unit in case of a fraction, minus the sum of the Period 1 Earned Units and the Period 2 Earned Units; provided that if a negative number results from the calculation of Period 3 Earned Units, the number of Period 3 Earned Units will be deemed to be 0.</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(d)    Any Units that are not deemed to be Period 1 Earned Units, Period 2 Earned Units, or Period 3 Earned Units in accordance with this Section 3 will be forfeited without consideration.</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4.    </w:t>
      </w:r>
      <w:r>
        <w:rPr>
          <w:rFonts w:ascii="Times New Roman;sans-serif" w:hAnsi="Times New Roman;sans-serif"/>
          <w:b/>
          <w:color w:val="000000"/>
          <w:sz w:val="23"/>
          <w:u w:val="single"/>
        </w:rPr>
        <w:t>Vesting of Earned Units</w:t>
      </w:r>
      <w:r>
        <w:rPr>
          <w:rFonts w:ascii="Times New Roman;sans-serif" w:hAnsi="Times New Roman;sans-serif"/>
          <w:b w:val="false"/>
          <w:color w:val="000000"/>
          <w:sz w:val="23"/>
        </w:rPr>
        <w:t xml:space="preserve">. Subject to Section 6 of this Agreement, if the Participant remains a Service Provider continuously from the Grant Date, then all Period 1 Earned Units will vest as of December [__], 20[__], all Period 2 Earned Units will vest as of December [__], 20[__], and all Period 3 Earned Units will vest as of December [__], 20[__].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5.    </w:t>
      </w:r>
      <w:r>
        <w:rPr>
          <w:rFonts w:ascii="Times New Roman;sans-serif" w:hAnsi="Times New Roman;sans-serif"/>
          <w:b/>
          <w:color w:val="000000"/>
          <w:sz w:val="23"/>
          <w:u w:val="single"/>
        </w:rPr>
        <w:t>Service Requirement</w:t>
      </w:r>
      <w:r>
        <w:rPr>
          <w:rFonts w:ascii="Times New Roman;sans-serif" w:hAnsi="Times New Roman;sans-serif"/>
          <w:b w:val="false"/>
          <w:color w:val="000000"/>
          <w:sz w:val="23"/>
        </w:rPr>
        <w:t>. Except as otherwise provided in accordance with Section 6 of this Agreement, if you cease to be a Service Provider prior to the vesting dates specified in Section 4 of this Agreement, you will forfeit all unvested Units. Your Service will be deemed continuing while you are on a leave of absence approved by the Company in writing or guaranteed by applicable law or other written agreement you have entered into with the Company (an “Approved Leave”). If you do not resume providing Service to the Company or any Affiliate following your Approved Leave, your Service will be deemed to have terminated upon the expiration of the Approved Leave.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6.    </w:t>
      </w:r>
      <w:r>
        <w:rPr>
          <w:rFonts w:ascii="Times New Roman;sans-serif" w:hAnsi="Times New Roman;sans-serif"/>
          <w:b/>
          <w:color w:val="000000"/>
          <w:sz w:val="23"/>
          <w:u w:val="single"/>
        </w:rPr>
        <w:t>Effect of Termination of Service or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(a)    Except as provided under the remainder of this Section 6, upon termination of Service prior to the final vesting date, any unvested Units will be immediately forfeited without consideration.</w:t>
      </w:r>
    </w:p>
    <w:p>
      <w:pPr>
        <w:pStyle w:val="TextBody"/>
        <w:bidi w:val="0"/>
        <w:spacing w:before="0" w:after="0"/>
        <w:ind w:left="0" w:right="0" w:hanging="72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(b)    Upon a Change in Control as a result of which the Company does not survive as an operating company or survives only as a subsidiary of another entity (a “Business Combination”) that is consummated before the end of Performance Period 3, the following provisions apply: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(i)    Each Performance Period during which the Business Combination occurs will be truncated so that it ends on the date the Business Combination is consummated (each, an “Adjusted Performance Period”).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3"/>
        </w:rPr>
        <w:t xml:space="preserve">(ii)    The number of Units deemed earned at the conclusion of each Adjusted Performance Period (the “Adjusted Period Earned Units”) will be calculated as specified in Section 3(a), (b), or (c) of this Agreement, as applicable, using the modified calculation of the Relative Return Factor set forth in </w:t>
      </w:r>
      <w:r>
        <w:rPr>
          <w:rFonts w:ascii="Times New Roman;sans-serif" w:hAnsi="Times New Roman;sans-serif"/>
          <w:b w:val="false"/>
          <w:color w:val="000000"/>
          <w:sz w:val="23"/>
          <w:u w:val="single"/>
        </w:rPr>
        <w:t>Appendix A</w:t>
      </w:r>
      <w:r>
        <w:rPr>
          <w:rFonts w:ascii="Times New Roman;sans-serif" w:hAnsi="Times New Roman;sans-serif"/>
          <w:b w:val="false"/>
          <w:color w:val="000000"/>
          <w:sz w:val="23"/>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 xml:space="preserve">(iii)    A portion of the Adjusted Period Earned Units for each Adjusted Performance Period will vest in full upon or immediately before, and conditioned upon, the consummation of the Business Combination, with such portion determined by multiplying the number of Adjusted Period Earned Units for that Adjusted Performance Period by a fraction, the numerator of which equals the number of days contained in the Adjusted Performance Period and the denominator of which equals the number of days contained in the Performance Period without adjustment (the “Accelerated Units”).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(iv)    The number of Adjusted Period Earned Units in excess of the number of Accelerated Units for each Adjusted Performance Period (the “Time-Based Units”) will vest ratably on the [__] day of each month during the period beginning with the consummation of the Business Combination and ending on December [__], 20[__], provided the Participant’s Service as an employee with the acquiring or surviving entity in the Business Combination (or with any of its affiliated entities) continues without interruption. If the Participant experiences an involuntary termination of Service for reasons other than Cause during such vesting period, the Time-Based Units will vest in full.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(c)    In connection with a Change in Control that is not a Business Combination and that is consummated before the end of Performance Period 3, the Committee may provide in its discretion that some or all of the unearned and unvested Units subject to this Award will be deemed earned and will vest in full upon the occurrence of the Change in Control or upon the termination of the Participant’s Service as an employee within 12 months following the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(d)    In connection with a Change in Control that is consummated after the end of Performance Period 3 but before December [__], 20[__], the Period 3 Earned Units will vest in full upon the consummation of such a Change in Control.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(e)    In connection with a termination of Service due to death or Disability before the end of Performance Period 3, a number of Units equal to the Target Units minus the sum of any vested Period 1 Earned Units and vested Period 2 Earned Units will vest in full upon such termination. In connection with a termination of Service due to death or Disability after the end of Performance Period 3 but before December [__], 20[__], the Period 3 Earned Units will vest in full upon such termination.</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3"/>
        </w:rPr>
        <w:t xml:space="preserve">(f)    Notwithstanding anything to the contrary in this Agreement, the Units will continue to be earned and vest in accordance with Sections 3 and 4 of this Agreement if your Service to the Company or any Affiliate terminates because of your Retirement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following conditions are satisfied: (i) you commenced discussions with the Company’s Chief Executive Officer or most senior human resources executive regarding your retirement from Service at least 12 full months prior to the date your Service terminates (the “Retirement Date”) and (ii) during the period beginning on your Retirement Date and ending on the final day of the vesting periods set forth in Section 4 of this Agreement, you: (a) continue to be available to provide Service as requested and (b) do not become employed by or otherwise provide paid services to any other entity or organization; provided, however, that you may be permitted to serve as an independent director on the board of directors for one or more entities that are not competitive with the Company’s business so long as any such service as an independent director is reviewed and approved in advance by the Committee. For the avoidance of doubt, if you fail to comply with the conditions in this Section 6(f), you will forfeit all unvested Earned Units.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3"/>
        </w:rPr>
        <w:t>For purposes of this Agreement, “Retirement” means the termination of your employment when (i) you (A) are age 55 or older, (B) have at least five years of continuous Service as an employee (which must be immediately preceding the date of termination) and (C) have served at least five cumulative years as an Executive Vice President (or higher level) of the Company (while both (B) and (C) must be satisfied, periods of time served as an Executive Vice President (or higher level) under (C) may also be counted toward the five years of continuous Service requirement under (B), and (ii) the sum of your age as of the date of your termination plus your years of Service as an employee equals at least 75. Any Units that vest pursuant to this Section 6(f) shall be paid to you not later than 74 days after the applicable vesting date of the Units as specified in Section 4 of this Agreement.</w:t>
      </w:r>
      <w:r>
        <w:rPr>
          <w:color w:val="000000"/>
        </w:rPr>
        <w:t xml:space="preserve"> </w:t>
      </w:r>
    </w:p>
    <w:p>
      <w:pPr>
        <w:pStyle w:val="TextBody"/>
        <w:bidi w:val="0"/>
        <w:spacing w:before="0" w:after="0"/>
        <w:jc w:val="both"/>
        <w:rPr/>
      </w:pPr>
      <w:r>
        <w:rPr/>
      </w:r>
    </w:p>
    <w:p>
      <w:pPr>
        <w:pStyle w:val="TextBody"/>
        <w:bidi w:val="0"/>
        <w:spacing w:lineRule="auto" w:line="288"/>
        <w:ind w:left="0" w:right="0" w:hanging="720"/>
        <w:jc w:val="both"/>
        <w:rPr/>
      </w:pPr>
      <w:r>
        <w:rPr>
          <w:rFonts w:ascii="Times New Roman;sans-serif" w:hAnsi="Times New Roman;sans-serif"/>
          <w:b w:val="false"/>
          <w:color w:val="000000"/>
          <w:sz w:val="23"/>
        </w:rPr>
        <w:t>7.    </w:t>
      </w:r>
      <w:r>
        <w:rPr>
          <w:rFonts w:ascii="Times New Roman;sans-serif" w:hAnsi="Times New Roman;sans-serif"/>
          <w:b/>
          <w:color w:val="000000"/>
          <w:sz w:val="23"/>
          <w:u w:val="single"/>
        </w:rPr>
        <w:t>Settlement of Units</w:t>
      </w:r>
      <w:r>
        <w:rPr>
          <w:rFonts w:ascii="Times New Roman;sans-serif" w:hAnsi="Times New Roman;sans-serif"/>
          <w:b w:val="false"/>
          <w:color w:val="000000"/>
          <w:sz w:val="23"/>
        </w:rPr>
        <w:t xml:space="preserve">. After any Units vest pursuant to Section 4 or Section 6 of this Agreement, the Company shall, as soon as practicable (but in any event within the period specified in Treas. Reg. § 1.409A-1(b)(4) to qualify for a short-term deferral exception to Section 409A of the Code), cause to be issued and delivered to the Participant, or to the Participant’s designated beneficiary or estate in the event of the Participant’s death, one Share in payment and settlement of each vested Unit (the date of each such issuance being a “Settlement Date”). After any Units vested pursuant to Section 6(f) of this Agreement, the Company shall, as soon as practicable (but in any event within the period specified in Treas. Reg. § 1,409A-3(d)), cause to be issued and delivered to you, one Share in payment and settlement of each vested Unit. Delivery of the Shares shall be effected by the electronic delivery of the Shares to a brokerage account maintained for the Participant at E*TRADE (or another broker designated by the Company or the Participant), or by another method provided by the Company, and shall be subject to the tax withholding provisions of Section 8 of this Agreement and compliance with all applicable legal requirements, including compliance with the requirements of applicable federal and state securities laws, and shall be in complete satisfaction and settlement of such vested Units. Notwithstanding the foregoing, (i) the settlement of each Time-Based Unit that vests in accordance with Section 6(b)(iv) of this Agreement will be made in the amount and in the form of the consideration (whether stock, cash, other securities or property, or a combination thereof) to which a holder of a Share was entitled upon the consummation of the Business Combination (without interest thereon) (and if holders were offered a choice of consideration, the type of consideration chosen by the holders of a majority of the outstanding Shares), and (ii) the Committee may provide for the settlement of Adjusted Period Earned Units that vest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Section 6(b)(iii) of this Agreement or for the settlement of Period 3 Earned Units that vest under the circumstances specified in Section 6(d) of this Agreement on the same basis as described in the preceding clause (i).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8.    </w:t>
      </w:r>
      <w:r>
        <w:rPr>
          <w:rFonts w:ascii="Times New Roman;sans-serif" w:hAnsi="Times New Roman;sans-serif"/>
          <w:b/>
          <w:color w:val="000000"/>
          <w:sz w:val="23"/>
          <w:u w:val="single"/>
        </w:rPr>
        <w:t>Tax Consequences and Withholding</w:t>
      </w:r>
      <w:r>
        <w:rPr>
          <w:rFonts w:ascii="Times New Roman;sans-serif" w:hAnsi="Times New Roman;sans-serif"/>
          <w:b w:val="false"/>
          <w:color w:val="000000"/>
          <w:sz w:val="23"/>
        </w:rPr>
        <w:t xml:space="preserve">. As a condition precedent to the delivery of Shares in settlement of the Units, the Participant is required to make arrangements acceptable to the Company for payment of any federal, state or local withholding taxes that may be due as a result of the settlement of the Units (“Withholding Taxes”), in accordance with Section 14 of the Plan.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Until such time as the Company provides notice to the contrary, it will collect the Withholding Taxes through an automatic Share withholding procedure (the “Share Withholding Method”), unless other arrangements acceptable to the Company have been made. Under such procedure, the Company or its agent will withhold, upon the tax withholding event, a portion of the Shares with a Fair Market Value (measured as of such date) sufficient to cover the amount of such taxes; provided, however, that the number of any Shares so withheld shall not exceed the number necessary to satisfy the Company’s required tax withholding obligations using the applicable minimum statutory withholding rate or such other rate as may be permitted under the Plan up to the maximum rate applicable in your jurisdiction.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3"/>
        </w:rPr>
        <w:t>In the event that the Committee determines that the Share Withholding Method would be problematic under applicable tax or securities laws or would result in materially adverse accounting consequences, you authorize the Company to collect Withholding Taxes through one of the following methods:</w:t>
      </w:r>
    </w:p>
    <w:p>
      <w:pPr>
        <w:pStyle w:val="TextBody"/>
        <w:bidi w:val="0"/>
        <w:spacing w:before="0" w:after="0"/>
        <w:ind w:left="0" w:right="0" w:hanging="72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(a)    delivery of the Participant’s authorization to E*TRADE (or another broker designated by the Company or the Participant) to transfer to the Company from the Participant’s account at such broker the amount of such Withholding Taxes;</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(b)    the use of the proceeds from a next-day sale of the Shares issued to the Participant, provided that (i) such sale is permissible under the Company’s trading policies governing its securities, (ii) the Participant makes an irrevocable commitment, on or before a Settlement Date, to effect such sale of the Shares, and (iii) the transaction is not otherwise deemed to constitute a prohibited loan under Section 402 of the Sarbanes-Oxley Act of 2002; or</w:t>
      </w:r>
    </w:p>
    <w:p>
      <w:pPr>
        <w:pStyle w:val="TextBody"/>
        <w:bidi w:val="0"/>
        <w:spacing w:before="0" w:after="0"/>
        <w:ind w:left="0" w:right="0" w:hanging="126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3"/>
        </w:rPr>
        <w:t>(c)    any other method approved by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9.    </w:t>
      </w:r>
      <w:r>
        <w:rPr>
          <w:rFonts w:ascii="Times New Roman;sans-serif" w:hAnsi="Times New Roman;sans-serif"/>
          <w:b/>
          <w:color w:val="000000"/>
          <w:sz w:val="23"/>
          <w:u w:val="single"/>
        </w:rPr>
        <w:t>No Shareholder Rights</w:t>
      </w:r>
      <w:r>
        <w:rPr>
          <w:rFonts w:ascii="Times New Roman;sans-serif" w:hAnsi="Times New Roman;sans-serif"/>
          <w:b w:val="false"/>
          <w:color w:val="000000"/>
          <w:sz w:val="23"/>
        </w:rPr>
        <w:t xml:space="preserve">. The Units subject to this Award do not entitle the Participant to any rights of a shareholder of the Company’s common stock. The Participant will not have any of the rights of a shareholder of the Company in connection with the grant of Units subject to this Agreement unless and until Shares are issued to the Participant upon settlement of the Units as provided in Section 7 of this Agreement. </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ans-serif" w:hAnsi="Times New Roman;sans-serif"/>
          <w:b w:val="false"/>
          <w:color w:val="000000"/>
          <w:sz w:val="23"/>
        </w:rPr>
        <w:t>10.    </w:t>
      </w:r>
      <w:r>
        <w:rPr>
          <w:rFonts w:ascii="Times New Roman;sans-serif" w:hAnsi="Times New Roman;sans-serif"/>
          <w:b/>
          <w:color w:val="000000"/>
          <w:sz w:val="23"/>
          <w:u w:val="single"/>
        </w:rPr>
        <w:t>Governing Plan Document</w:t>
      </w:r>
      <w:r>
        <w:rPr>
          <w:rFonts w:ascii="Times New Roman;sans-serif" w:hAnsi="Times New Roman;sans-serif"/>
          <w:b w:val="false"/>
          <w:color w:val="000000"/>
          <w:sz w:val="23"/>
        </w:rPr>
        <w:t xml:space="preserve">. This Agreement and the Award are subject to all the provisions of the Plan, and to all interpretations, rules and regulations which may, from time to time, be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adopted and promulgated by the Committee pursuant to the Plan. If there is any conflict between the provisions of this Agreement and the Plan, the provisions of the Plan will govern.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11.    </w:t>
      </w:r>
      <w:r>
        <w:rPr>
          <w:rFonts w:ascii="Times New Roman;sans-serif" w:hAnsi="Times New Roman;sans-serif"/>
          <w:b/>
          <w:color w:val="000000"/>
          <w:sz w:val="23"/>
          <w:u w:val="single"/>
        </w:rPr>
        <w:t>Choice of Law</w:t>
      </w:r>
      <w:r>
        <w:rPr>
          <w:rFonts w:ascii="Times New Roman;sans-serif" w:hAnsi="Times New Roman;sans-serif"/>
          <w:b w:val="false"/>
          <w:color w:val="000000"/>
          <w:sz w:val="23"/>
        </w:rPr>
        <w:t>. This Agreement will be interpreted and enforced under the laws of the state of Minnesota (without regard to its conflicts or choice of law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12.    </w:t>
      </w:r>
      <w:r>
        <w:rPr>
          <w:rFonts w:ascii="Times New Roman;sans-serif" w:hAnsi="Times New Roman;sans-serif"/>
          <w:b/>
          <w:color w:val="000000"/>
          <w:sz w:val="23"/>
          <w:u w:val="single"/>
        </w:rPr>
        <w:t>Binding Effect</w:t>
      </w:r>
      <w:r>
        <w:rPr>
          <w:rFonts w:ascii="Times New Roman;sans-serif" w:hAnsi="Times New Roman;sans-serif"/>
          <w:b w:val="false"/>
          <w:color w:val="000000"/>
          <w:sz w:val="23"/>
        </w:rPr>
        <w:t>. This Agreement will be binding in all respects on the Participant’s heirs, representatives, successors and assigns, and on the successors and assigns of the Company.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13.    </w:t>
      </w:r>
      <w:r>
        <w:rPr>
          <w:rFonts w:ascii="Times New Roman;sans-serif" w:hAnsi="Times New Roman;sans-serif"/>
          <w:b/>
          <w:color w:val="000000"/>
          <w:sz w:val="23"/>
          <w:u w:val="single"/>
        </w:rPr>
        <w:t>Discontinuance of Service</w:t>
      </w:r>
      <w:r>
        <w:rPr>
          <w:rFonts w:ascii="Times New Roman;sans-serif" w:hAnsi="Times New Roman;sans-serif"/>
          <w:b w:val="false"/>
          <w:color w:val="000000"/>
          <w:sz w:val="23"/>
        </w:rPr>
        <w:t>. This Agreement does not give the Participant a right to continued Service with the Company or any Affiliate, and the Company or any such Affiliate may terminate the Participant’s Service at any time and otherwise deal with the Participant without regard to the effect it may have upon the Participant under this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14.    </w:t>
      </w:r>
      <w:r>
        <w:rPr>
          <w:rFonts w:ascii="Times New Roman;sans-serif" w:hAnsi="Times New Roman;sans-serif"/>
          <w:b/>
          <w:color w:val="000000"/>
          <w:sz w:val="23"/>
          <w:u w:val="single"/>
        </w:rPr>
        <w:t>Section 409A of the Code</w:t>
      </w:r>
      <w:r>
        <w:rPr>
          <w:rFonts w:ascii="Times New Roman;sans-serif" w:hAnsi="Times New Roman;sans-serif"/>
          <w:b w:val="false"/>
          <w:color w:val="000000"/>
          <w:sz w:val="23"/>
        </w:rPr>
        <w:t>. The Units as provided in this Agreement and any issuance of Shares or payment pursuant to this Agreement are intended to either be exempt from or comply with Section 409A of the Code so as not to subject you to payment of any additional tax, penalty or interest imposed under Section 409A of the Code. The provisions of this Agreement shall be construed and interpreted to avoid the imputation of any such additional tax, penalty or interest under Section 409A of the Code yet preserve (to the nearest extent reasonably possible) the intended benefit payable to you.</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3"/>
        </w:rPr>
        <w:t>15.    </w:t>
      </w:r>
      <w:r>
        <w:rPr>
          <w:rFonts w:ascii="Times New Roman;sans-serif" w:hAnsi="Times New Roman;sans-serif"/>
          <w:b/>
          <w:color w:val="000000"/>
          <w:sz w:val="23"/>
          <w:u w:val="single"/>
        </w:rPr>
        <w:t>Compensation Recovery Policy</w:t>
      </w:r>
      <w:r>
        <w:rPr>
          <w:rFonts w:ascii="Times New Roman;sans-serif" w:hAnsi="Times New Roman;sans-serif"/>
          <w:b w:val="false"/>
          <w:color w:val="000000"/>
          <w:sz w:val="23"/>
        </w:rPr>
        <w:t>. To the extent that any compensation paid or payable pursuant to this Agreement is considered “incentive-based compensation” within the meaning of (i) the Company’s Executive Officer Incentive Compensation Recovery Policy, (ii) any similar or superseding policy adopted by the Board or any committee thereof or (iii) Section 10D of the Exchange Act and any implementing rules and regulations thereunder adopted by the Securities and Exchange Commission or any national securities exchange on which the Company’s common stock is then listed, such compensation shall be subject to potential forfeiture or recovery by the Company in accordance with such policies, laws, rules or regulations.</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ans-serif" w:hAnsi="Times New Roman;sans-serif"/>
          <w:b/>
          <w:i/>
          <w:color w:val="000000"/>
          <w:sz w:val="23"/>
        </w:rPr>
      </w:pPr>
      <w:r>
        <w:rPr>
          <w:rFonts w:ascii="Times New Roman;sans-serif" w:hAnsi="Times New Roman;sans-serif"/>
          <w:b/>
          <w:i/>
          <w:color w:val="000000"/>
          <w:sz w:val="23"/>
        </w:rPr>
        <w:t>By executing this Agreement, the Participant accepts this Award and agrees to all the terms and conditions described in this Agreement and in the Plan document.</w:t>
      </w:r>
    </w:p>
    <w:p>
      <w:pPr>
        <w:pStyle w:val="TextBody"/>
        <w:bidi w:val="0"/>
        <w:spacing w:before="0" w:after="0"/>
        <w:jc w:val="left"/>
        <w:rPr/>
      </w:pPr>
      <w:r>
        <w:rPr/>
      </w:r>
    </w:p>
    <w:p>
      <w:pPr>
        <w:pStyle w:val="TextBody"/>
        <w:bidi w:val="0"/>
        <w:spacing w:before="0" w:after="0"/>
        <w:jc w:val="center"/>
        <w:rPr/>
      </w:pPr>
      <w:r>
        <w:rPr/>
      </w:r>
    </w:p>
    <w:tbl>
      <w:tblPr>
        <w:tblW w:w="4962"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895"/>
        <w:gridCol w:w="895"/>
        <w:gridCol w:w="126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FAIR ISAAC CORPORATION</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By:</w:t>
            </w:r>
          </w:p>
        </w:tc>
      </w:tr>
      <w:tr>
        <w:trPr/>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Title: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 2023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 2023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18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40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14547/000095012310009970/c56194exv3w2.htm" TargetMode="External"/><Relationship Id="rId3" Type="http://schemas.openxmlformats.org/officeDocument/2006/relationships/hyperlink" Target="http://www.sec.gov/Archives/edgar/data/814547/000095012310009970/c56194exv3w1.htm" TargetMode="External"/><Relationship Id="rId4" Type="http://schemas.openxmlformats.org/officeDocument/2006/relationships/hyperlink" Target="http://www.sec.gov/Archives/edgar/data/814547/000119312523144515/d252388dex101.htm" TargetMode="External"/><Relationship Id="rId5" Type="http://schemas.openxmlformats.org/officeDocument/2006/relationships/hyperlink" Target="http://www.sec.gov/Archives/edgar/data/814547/000119312523162583/d499544dex101.htm" TargetMode="External"/><Relationship Id="rId6" Type="http://schemas.openxmlformats.org/officeDocument/2006/relationships/hyperlink" Target="http://www.sec.gov/Archives/edgar/data/814547/000119312523162583/d499544d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29552</Words>
  <Characters>157529</Characters>
  <CharactersWithSpaces>185833</CharactersWithSpaces>
  <Paragraphs>3630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