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158750</wp:posOffset>
            </wp:positionV>
            <wp:extent cx="1388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89"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-127635</wp:posOffset>
            </wp:positionV>
            <wp:extent cx="138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42" w:lineRule="exact"/>
        <w:rPr>
          <w:sz w:val="24"/>
          <w:szCs w:val="24"/>
          <w:color w:val="auto"/>
        </w:rPr>
      </w:pPr>
    </w:p>
    <w:p>
      <w:pPr>
        <w:ind w:left="380" w:right="60" w:hanging="345"/>
        <w:spacing w:after="0" w:line="248"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61" w:lineRule="exact"/>
        <w:rPr>
          <w:sz w:val="24"/>
          <w:szCs w:val="24"/>
          <w:color w:val="auto"/>
        </w:rPr>
      </w:pPr>
    </w:p>
    <w:p>
      <w:pPr>
        <w:ind w:left="380" w:right="60" w:hanging="345"/>
        <w:spacing w:after="0" w:line="256" w:lineRule="auto"/>
        <w:tabs>
          <w:tab w:leader="none" w:pos="3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r>
      <w:tr>
        <w:trPr>
          <w:trHeight w:val="395"/>
        </w:trPr>
        <w:tc>
          <w:tcPr>
            <w:tcW w:w="4400" w:type="dxa"/>
            <w:vAlign w:val="bottom"/>
            <w:gridSpan w:val="4"/>
          </w:tcPr>
          <w:p>
            <w:pPr>
              <w:ind w:left="8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21"/>
                <w:szCs w:val="21"/>
                <w:b w:val="1"/>
                <w:bCs w:val="1"/>
                <w:color w:val="auto"/>
              </w:rPr>
              <w:t>1-11689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224790</wp:posOffset>
            </wp:positionV>
            <wp:extent cx="1388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Fair Isaac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330200</wp:posOffset>
            </wp:positionV>
            <wp:extent cx="1388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2080" w:type="dxa"/>
        <w:tblCellMar>
          <w:top w:w="0" w:type="dxa"/>
          <w:left w:w="0" w:type="dxa"/>
          <w:bottom w:w="0" w:type="dxa"/>
          <w:right w:w="0" w:type="dxa"/>
        </w:tblCellMar>
      </w:tblPr>
      <w:tr>
        <w:trPr>
          <w:trHeight w:val="234"/>
        </w:trPr>
        <w:tc>
          <w:tcPr>
            <w:tcW w:w="6160" w:type="dxa"/>
            <w:vAlign w:val="bottom"/>
          </w:tcPr>
          <w:p>
            <w:pPr>
              <w:jc w:val="center"/>
              <w:ind w:right="3698"/>
              <w:spacing w:after="0"/>
              <w:rPr>
                <w:sz w:val="20"/>
                <w:szCs w:val="20"/>
                <w:color w:val="auto"/>
              </w:rPr>
            </w:pPr>
            <w:r>
              <w:rPr>
                <w:rFonts w:ascii="Arial" w:cs="Arial" w:eastAsia="Arial" w:hAnsi="Arial"/>
                <w:sz w:val="18"/>
                <w:szCs w:val="18"/>
                <w:b w:val="1"/>
                <w:bCs w:val="1"/>
                <w:color w:val="auto"/>
                <w:w w:val="93"/>
              </w:rPr>
              <w:t>Delaware</w:t>
            </w:r>
          </w:p>
        </w:tc>
        <w:tc>
          <w:tcPr>
            <w:tcW w:w="1200" w:type="dxa"/>
            <w:vAlign w:val="bottom"/>
          </w:tcPr>
          <w:p>
            <w:pPr>
              <w:jc w:val="center"/>
              <w:ind w:left="1"/>
              <w:spacing w:after="0"/>
              <w:rPr>
                <w:sz w:val="20"/>
                <w:szCs w:val="20"/>
                <w:color w:val="auto"/>
              </w:rPr>
            </w:pPr>
            <w:r>
              <w:rPr>
                <w:rFonts w:ascii="Arial" w:cs="Arial" w:eastAsia="Arial" w:hAnsi="Arial"/>
                <w:sz w:val="18"/>
                <w:szCs w:val="18"/>
                <w:b w:val="1"/>
                <w:bCs w:val="1"/>
                <w:color w:val="auto"/>
                <w:w w:val="91"/>
              </w:rPr>
              <w:t>94-1499887</w:t>
            </w:r>
          </w:p>
        </w:tc>
      </w:tr>
      <w:tr>
        <w:trPr>
          <w:trHeight w:val="218"/>
        </w:trPr>
        <w:tc>
          <w:tcPr>
            <w:tcW w:w="6160" w:type="dxa"/>
            <w:vAlign w:val="bottom"/>
          </w:tcPr>
          <w:p>
            <w:pPr>
              <w:jc w:val="center"/>
              <w:ind w:right="3718"/>
              <w:spacing w:after="0"/>
              <w:rPr>
                <w:sz w:val="20"/>
                <w:szCs w:val="20"/>
                <w:color w:val="auto"/>
              </w:rPr>
            </w:pPr>
            <w:r>
              <w:rPr>
                <w:rFonts w:ascii="Arial" w:cs="Arial" w:eastAsia="Arial" w:hAnsi="Arial"/>
                <w:sz w:val="14"/>
                <w:szCs w:val="14"/>
                <w:b w:val="1"/>
                <w:bCs w:val="1"/>
                <w:color w:val="auto"/>
                <w:w w:val="93"/>
              </w:rPr>
              <w:t>(State or other jurisdiction of</w:t>
            </w:r>
          </w:p>
        </w:tc>
        <w:tc>
          <w:tcPr>
            <w:tcW w:w="1200" w:type="dxa"/>
            <w:vAlign w:val="bottom"/>
          </w:tcPr>
          <w:p>
            <w:pPr>
              <w:jc w:val="center"/>
              <w:ind w:left="1"/>
              <w:spacing w:after="0"/>
              <w:rPr>
                <w:sz w:val="20"/>
                <w:szCs w:val="20"/>
                <w:color w:val="auto"/>
              </w:rPr>
            </w:pPr>
            <w:r>
              <w:rPr>
                <w:rFonts w:ascii="Arial" w:cs="Arial" w:eastAsia="Arial" w:hAnsi="Arial"/>
                <w:sz w:val="14"/>
                <w:szCs w:val="14"/>
                <w:b w:val="1"/>
                <w:bCs w:val="1"/>
                <w:color w:val="auto"/>
                <w:w w:val="96"/>
              </w:rPr>
              <w:t>(I.R.S. Employer</w:t>
            </w:r>
          </w:p>
        </w:tc>
      </w:tr>
      <w:tr>
        <w:trPr>
          <w:trHeight w:val="203"/>
        </w:trPr>
        <w:tc>
          <w:tcPr>
            <w:tcW w:w="6160" w:type="dxa"/>
            <w:vAlign w:val="bottom"/>
          </w:tcPr>
          <w:p>
            <w:pPr>
              <w:jc w:val="center"/>
              <w:ind w:right="3718"/>
              <w:spacing w:after="0"/>
              <w:rPr>
                <w:sz w:val="20"/>
                <w:szCs w:val="20"/>
                <w:color w:val="auto"/>
              </w:rPr>
            </w:pPr>
            <w:r>
              <w:rPr>
                <w:rFonts w:ascii="Arial" w:cs="Arial" w:eastAsia="Arial" w:hAnsi="Arial"/>
                <w:sz w:val="14"/>
                <w:szCs w:val="14"/>
                <w:b w:val="1"/>
                <w:bCs w:val="1"/>
                <w:color w:val="auto"/>
                <w:w w:val="94"/>
              </w:rPr>
              <w:t>incorporation or organization)</w:t>
            </w:r>
          </w:p>
        </w:tc>
        <w:tc>
          <w:tcPr>
            <w:tcW w:w="1200" w:type="dxa"/>
            <w:vAlign w:val="bottom"/>
          </w:tcPr>
          <w:p>
            <w:pPr>
              <w:jc w:val="center"/>
              <w:ind w:left="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6160" w:type="dxa"/>
            <w:vAlign w:val="bottom"/>
          </w:tcPr>
          <w:p>
            <w:pPr>
              <w:jc w:val="center"/>
              <w:ind w:right="3698"/>
              <w:spacing w:after="0"/>
              <w:rPr>
                <w:sz w:val="20"/>
                <w:szCs w:val="20"/>
                <w:color w:val="auto"/>
              </w:rPr>
            </w:pPr>
            <w:r>
              <w:rPr>
                <w:rFonts w:ascii="Arial" w:cs="Arial" w:eastAsia="Arial" w:hAnsi="Arial"/>
                <w:sz w:val="18"/>
                <w:szCs w:val="18"/>
                <w:b w:val="1"/>
                <w:bCs w:val="1"/>
                <w:color w:val="auto"/>
                <w:w w:val="92"/>
              </w:rPr>
              <w:t>181 Metro Drive, Suite 700</w:t>
            </w:r>
          </w:p>
        </w:tc>
        <w:tc>
          <w:tcPr>
            <w:tcW w:w="1200" w:type="dxa"/>
            <w:vAlign w:val="bottom"/>
          </w:tcPr>
          <w:p>
            <w:pPr>
              <w:jc w:val="center"/>
              <w:ind w:left="21"/>
              <w:spacing w:after="0"/>
              <w:rPr>
                <w:sz w:val="20"/>
                <w:szCs w:val="20"/>
                <w:color w:val="auto"/>
              </w:rPr>
            </w:pPr>
            <w:r>
              <w:rPr>
                <w:rFonts w:ascii="Arial" w:cs="Arial" w:eastAsia="Arial" w:hAnsi="Arial"/>
                <w:sz w:val="18"/>
                <w:szCs w:val="18"/>
                <w:b w:val="1"/>
                <w:bCs w:val="1"/>
                <w:color w:val="auto"/>
                <w:w w:val="89"/>
              </w:rPr>
              <w:t>95110-1346</w:t>
            </w:r>
          </w:p>
        </w:tc>
      </w:tr>
      <w:tr>
        <w:trPr>
          <w:trHeight w:val="270"/>
        </w:trPr>
        <w:tc>
          <w:tcPr>
            <w:tcW w:w="6160" w:type="dxa"/>
            <w:vAlign w:val="bottom"/>
          </w:tcPr>
          <w:p>
            <w:pPr>
              <w:ind w:left="340"/>
              <w:spacing w:after="0"/>
              <w:rPr>
                <w:sz w:val="20"/>
                <w:szCs w:val="20"/>
                <w:color w:val="auto"/>
              </w:rPr>
            </w:pPr>
            <w:r>
              <w:rPr>
                <w:rFonts w:ascii="Arial" w:cs="Arial" w:eastAsia="Arial" w:hAnsi="Arial"/>
                <w:sz w:val="18"/>
                <w:szCs w:val="18"/>
                <w:b w:val="1"/>
                <w:bCs w:val="1"/>
                <w:color w:val="auto"/>
              </w:rPr>
              <w:t>San Jose, California</w:t>
            </w:r>
          </w:p>
        </w:tc>
        <w:tc>
          <w:tcPr>
            <w:tcW w:w="1200" w:type="dxa"/>
            <w:vAlign w:val="bottom"/>
          </w:tcPr>
          <w:p>
            <w:pPr>
              <w:spacing w:after="0"/>
              <w:rPr>
                <w:sz w:val="23"/>
                <w:szCs w:val="23"/>
                <w:color w:val="auto"/>
              </w:rPr>
            </w:pPr>
          </w:p>
        </w:tc>
      </w:tr>
      <w:tr>
        <w:trPr>
          <w:trHeight w:val="218"/>
        </w:trPr>
        <w:tc>
          <w:tcPr>
            <w:tcW w:w="6160" w:type="dxa"/>
            <w:vAlign w:val="bottom"/>
          </w:tcPr>
          <w:p>
            <w:pPr>
              <w:jc w:val="center"/>
              <w:ind w:right="36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0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6160" w:type="dxa"/>
            <w:vAlign w:val="bottom"/>
          </w:tcPr>
          <w:p>
            <w:pPr>
              <w:ind w:left="1020"/>
              <w:spacing w:after="0"/>
              <w:rPr>
                <w:sz w:val="20"/>
                <w:szCs w:val="20"/>
                <w:color w:val="auto"/>
              </w:rPr>
            </w:pPr>
            <w:r>
              <w:rPr>
                <w:rFonts w:ascii="Arial" w:cs="Arial" w:eastAsia="Arial" w:hAnsi="Arial"/>
                <w:sz w:val="18"/>
                <w:szCs w:val="18"/>
                <w:b w:val="1"/>
                <w:bCs w:val="1"/>
                <w:color w:val="auto"/>
                <w:w w:val="90"/>
              </w:rPr>
              <w:t>Registrant’s telephone number, including area code: 408-535-1500</w:t>
            </w:r>
          </w:p>
        </w:tc>
        <w:tc>
          <w:tcPr>
            <w:tcW w:w="1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325755</wp:posOffset>
            </wp:positionV>
            <wp:extent cx="1388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32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338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Common Stock, $0.01 par value per share</w:t>
            </w:r>
          </w:p>
        </w:tc>
        <w:tc>
          <w:tcPr>
            <w:tcW w:w="340" w:type="dxa"/>
            <w:vAlign w:val="bottom"/>
          </w:tcPr>
          <w:p>
            <w:pPr>
              <w:spacing w:after="0"/>
              <w:rPr>
                <w:sz w:val="24"/>
                <w:szCs w:val="24"/>
                <w:color w:val="auto"/>
              </w:rPr>
            </w:pPr>
          </w:p>
        </w:tc>
        <w:tc>
          <w:tcPr>
            <w:tcW w:w="2760" w:type="dxa"/>
            <w:vAlign w:val="bottom"/>
            <w:gridSpan w:val="2"/>
          </w:tcPr>
          <w:p>
            <w:pPr>
              <w:jc w:val="center"/>
              <w:ind w:right="1320"/>
              <w:spacing w:after="0"/>
              <w:rPr>
                <w:sz w:val="20"/>
                <w:szCs w:val="20"/>
                <w:color w:val="auto"/>
              </w:rPr>
            </w:pPr>
            <w:r>
              <w:rPr>
                <w:rFonts w:ascii="Arial" w:cs="Arial" w:eastAsia="Arial" w:hAnsi="Arial"/>
                <w:sz w:val="18"/>
                <w:szCs w:val="18"/>
                <w:color w:val="auto"/>
                <w:w w:val="92"/>
              </w:rPr>
              <w:t>FICO</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3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07"/>
        </w:trPr>
        <w:tc>
          <w:tcPr>
            <w:tcW w:w="3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vMerge w:val="restart"/>
          </w:tcPr>
          <w:p>
            <w:pPr>
              <w:ind w:left="140"/>
              <w:spacing w:after="0"/>
              <w:rPr>
                <w:sz w:val="20"/>
                <w:szCs w:val="20"/>
                <w:color w:val="auto"/>
              </w:rPr>
            </w:pPr>
            <w:r>
              <w:rPr>
                <w:rFonts w:ascii="Arial" w:cs="Arial" w:eastAsia="Arial" w:hAnsi="Arial"/>
                <w:sz w:val="18"/>
                <w:szCs w:val="18"/>
                <w:color w:val="auto"/>
              </w:rPr>
              <w:t>Emerging growth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208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ind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233" w:right="339" w:bottom="266"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46" w:lineRule="exact"/>
        <w:rPr>
          <w:sz w:val="20"/>
          <w:szCs w:val="20"/>
          <w:color w:val="auto"/>
        </w:rPr>
      </w:pPr>
    </w:p>
    <w:p>
      <w:pPr>
        <w:ind w:left="440" w:hanging="351"/>
        <w:spacing w:after="0" w:line="207" w:lineRule="exact"/>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84"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6"/>
          <w:szCs w:val="16"/>
          <w:color w:val="auto"/>
        </w:rPr>
        <w:t>The number of shares of common stock outstanding on July 17, 2020 was 28,999,394 (excluding 59,857,389 shares held by us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832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20"/>
                <w:szCs w:val="20"/>
                <w:color w:val="auto"/>
              </w:rPr>
            </w:pPr>
          </w:p>
        </w:tc>
      </w:tr>
      <w:tr>
        <w:trPr>
          <w:trHeight w:val="635"/>
        </w:trPr>
        <w:tc>
          <w:tcPr>
            <w:tcW w:w="820" w:type="dxa"/>
            <w:vAlign w:val="bottom"/>
          </w:tcPr>
          <w:p>
            <w:pPr>
              <w:spacing w:after="0"/>
              <w:rPr>
                <w:sz w:val="24"/>
                <w:szCs w:val="24"/>
                <w:color w:val="auto"/>
              </w:rPr>
            </w:pPr>
          </w:p>
        </w:tc>
        <w:tc>
          <w:tcPr>
            <w:tcW w:w="8320" w:type="dxa"/>
            <w:vAlign w:val="bottom"/>
          </w:tcPr>
          <w:p>
            <w:pPr>
              <w:ind w:left="8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1960" w:type="dxa"/>
            <w:vAlign w:val="bottom"/>
          </w:tcPr>
          <w:p>
            <w:pPr>
              <w:spacing w:after="0"/>
              <w:rPr>
                <w:sz w:val="24"/>
                <w:szCs w:val="24"/>
                <w:color w:val="auto"/>
              </w:rPr>
            </w:pPr>
          </w:p>
        </w:tc>
      </w:tr>
      <w:tr>
        <w:trPr>
          <w:trHeight w:val="391"/>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tcPr>
          <w:p>
            <w:pPr>
              <w:ind w:left="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22</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8320" w:type="dxa"/>
            <w:vAlign w:val="bottom"/>
          </w:tcPr>
          <w:p>
            <w:pPr>
              <w:ind w:left="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Quantitative and Qualitative Disclosures About Market Risk</w:t>
              </w:r>
            </w:hyperlink>
          </w:p>
        </w:tc>
        <w:tc>
          <w:tcPr>
            <w:tcW w:w="196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40</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8320" w:type="dxa"/>
            <w:vAlign w:val="bottom"/>
          </w:tcPr>
          <w:p>
            <w:pPr>
              <w:ind w:left="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Controls and Procedures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41</w:t>
              </w:r>
            </w:hyperlink>
          </w:p>
        </w:tc>
      </w:tr>
      <w:tr>
        <w:trPr>
          <w:trHeight w:val="392"/>
        </w:trPr>
        <w:tc>
          <w:tcPr>
            <w:tcW w:w="820" w:type="dxa"/>
            <w:vAlign w:val="bottom"/>
          </w:tcPr>
          <w:p>
            <w:pPr>
              <w:spacing w:after="0"/>
              <w:rPr>
                <w:sz w:val="24"/>
                <w:szCs w:val="24"/>
                <w:color w:val="auto"/>
              </w:rPr>
            </w:pPr>
          </w:p>
        </w:tc>
        <w:tc>
          <w:tcPr>
            <w:tcW w:w="8320" w:type="dxa"/>
            <w:vAlign w:val="bottom"/>
          </w:tcPr>
          <w:p>
            <w:pPr>
              <w:ind w:left="80"/>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PART II – OTHER INFORMATION</w:t>
              </w:r>
            </w:hyperlink>
          </w:p>
        </w:tc>
        <w:tc>
          <w:tcPr>
            <w:tcW w:w="1960" w:type="dxa"/>
            <w:vAlign w:val="bottom"/>
          </w:tcPr>
          <w:p>
            <w:pPr>
              <w:spacing w:after="0"/>
              <w:rPr>
                <w:sz w:val="24"/>
                <w:szCs w:val="24"/>
                <w:color w:val="auto"/>
              </w:rPr>
            </w:pP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tcPr>
          <w:p>
            <w:pPr>
              <w:ind w:left="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Proceedings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42</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8320" w:type="dxa"/>
            <w:vAlign w:val="bottom"/>
          </w:tcPr>
          <w:p>
            <w:pPr>
              <w:ind w:left="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Risk Factors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42</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tcPr>
          <w:p>
            <w:pPr>
              <w:ind w:left="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Unregistered Sales of Equity Securities and Use of Proceeds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53</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8320" w:type="dxa"/>
            <w:vAlign w:val="bottom"/>
          </w:tcPr>
          <w:p>
            <w:pPr>
              <w:ind w:left="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Defaults Upon Senior Securities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53</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8320" w:type="dxa"/>
            <w:vAlign w:val="bottom"/>
          </w:tcPr>
          <w:p>
            <w:pPr>
              <w:ind w:left="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Mine Safety Disclosures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53</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8320" w:type="dxa"/>
            <w:vAlign w:val="bottom"/>
          </w:tcPr>
          <w:p>
            <w:pPr>
              <w:ind w:left="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Other Information</w:t>
              </w:r>
            </w:hyperlink>
          </w:p>
        </w:tc>
        <w:tc>
          <w:tcPr>
            <w:tcW w:w="196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54</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8320" w:type="dxa"/>
            <w:vAlign w:val="bottom"/>
          </w:tcPr>
          <w:p>
            <w:pPr>
              <w:ind w:left="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Exhibits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55</w:t>
              </w:r>
            </w:hyperlink>
          </w:p>
        </w:tc>
      </w:tr>
      <w:tr>
        <w:trPr>
          <w:trHeight w:val="270"/>
        </w:trPr>
        <w:tc>
          <w:tcPr>
            <w:tcW w:w="820" w:type="dxa"/>
            <w:vAlign w:val="bottom"/>
          </w:tcPr>
          <w:p>
            <w:pPr>
              <w:spacing w:after="0"/>
              <w:rPr>
                <w:rFonts w:ascii="Arial" w:cs="Arial" w:eastAsia="Arial" w:hAnsi="Arial"/>
                <w:sz w:val="18"/>
                <w:szCs w:val="18"/>
                <w:u w:val="single" w:color="auto"/>
                <w:color w:val="0000EE"/>
                <w:w w:val="92"/>
              </w:rPr>
            </w:pPr>
            <w:hyperlink w:anchor="page60">
              <w:r>
                <w:rPr>
                  <w:rFonts w:ascii="Arial" w:cs="Arial" w:eastAsia="Arial" w:hAnsi="Arial"/>
                  <w:sz w:val="18"/>
                  <w:szCs w:val="18"/>
                  <w:u w:val="single" w:color="auto"/>
                  <w:color w:val="0000EE"/>
                  <w:w w:val="92"/>
                </w:rPr>
                <w:t>Signatures</w:t>
              </w:r>
            </w:hyperlink>
          </w:p>
        </w:tc>
        <w:tc>
          <w:tcPr>
            <w:tcW w:w="8320" w:type="dxa"/>
            <w:vAlign w:val="bottom"/>
          </w:tcPr>
          <w:p>
            <w:pPr>
              <w:spacing w:after="0"/>
              <w:rPr>
                <w:sz w:val="23"/>
                <w:szCs w:val="23"/>
                <w:color w:val="auto"/>
              </w:rPr>
            </w:pPr>
          </w:p>
        </w:tc>
        <w:tc>
          <w:tcPr>
            <w:tcW w:w="196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125" w:right="4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3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7"/>
              </w:rPr>
              <w:t>(In thousands, except par value data)</w:t>
            </w: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125,673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106,426</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303,558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297,427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53,780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51,853</w:t>
            </w:r>
          </w:p>
        </w:tc>
        <w:tc>
          <w:tcPr>
            <w:tcW w:w="0" w:type="dxa"/>
            <w:vAlign w:val="bottom"/>
          </w:tcPr>
          <w:p>
            <w:pPr>
              <w:spacing w:after="0"/>
              <w:rPr>
                <w:sz w:val="1"/>
                <w:szCs w:val="1"/>
                <w:color w:val="auto"/>
              </w:rPr>
            </w:pPr>
          </w:p>
        </w:tc>
      </w:tr>
      <w:tr>
        <w:trPr>
          <w:trHeight w:val="237"/>
        </w:trPr>
        <w:tc>
          <w:tcPr>
            <w:tcW w:w="82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483,011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455,706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20,222</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53,027</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84,106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804,528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803,542</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10,119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14,139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89,774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79,163</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1,564,120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1,433,448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7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19,816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23,118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employee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95,674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106,240</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50,864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32,454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111,016</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Current maturities on debt</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188,000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218,000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460,187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490,828</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739,039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606,790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43,608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46,063</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1,316,834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1,143,681</w:t>
            </w:r>
          </w:p>
        </w:tc>
        <w:tc>
          <w:tcPr>
            <w:tcW w:w="0" w:type="dxa"/>
            <w:vAlign w:val="bottom"/>
          </w:tcPr>
          <w:p>
            <w:pPr>
              <w:spacing w:after="0"/>
              <w:rPr>
                <w:sz w:val="1"/>
                <w:szCs w:val="1"/>
                <w:color w:val="auto"/>
              </w:rPr>
            </w:pPr>
          </w:p>
        </w:tc>
      </w:tr>
      <w:tr>
        <w:trPr>
          <w:trHeight w:val="223"/>
        </w:trPr>
        <w:tc>
          <w:tcPr>
            <w:tcW w:w="82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Preferred stock ($0.01 par value; 1,000 shares authorized; none issued and outstanding)</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Common stock ($0.01 par value; 200,000 shares authorized, 88,857 shares issued and 28,999 and 28,944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outstanding at June 30, 2020 and September 30, 2019,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1,187,717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1,225,365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Treasury stock, at cost (59,858 and 59,913 shares at June 30, 2020 and September 30, 2019,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(2,980,437)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(2,802,450)</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2,133,933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1,956,648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(90,085)</w:t>
            </w:r>
          </w:p>
        </w:tc>
        <w:tc>
          <w:tcPr>
            <w:tcW w:w="0" w:type="dxa"/>
            <w:vAlign w:val="bottom"/>
          </w:tcPr>
          <w:p>
            <w:pPr>
              <w:spacing w:after="0"/>
              <w:rPr>
                <w:sz w:val="1"/>
                <w:szCs w:val="1"/>
                <w:color w:val="auto"/>
              </w:rPr>
            </w:pPr>
          </w:p>
        </w:tc>
      </w:tr>
      <w:tr>
        <w:trPr>
          <w:trHeight w:val="236"/>
        </w:trPr>
        <w:tc>
          <w:tcPr>
            <w:tcW w:w="822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247,286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289,767</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1,564,120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1,433,448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0" w:type="dxa"/>
            <w:vAlign w:val="bottom"/>
            <w:gridSpan w:val="5"/>
          </w:tcPr>
          <w:p>
            <w:pPr>
              <w:ind w:left="20"/>
              <w:spacing w:after="0"/>
              <w:rPr>
                <w:sz w:val="20"/>
                <w:szCs w:val="20"/>
                <w:color w:val="auto"/>
              </w:rPr>
            </w:pPr>
            <w:r>
              <w:rPr>
                <w:rFonts w:ascii="Arial" w:cs="Arial" w:eastAsia="Arial" w:hAnsi="Arial"/>
                <w:sz w:val="14"/>
                <w:szCs w:val="14"/>
                <w:b w:val="1"/>
                <w:bCs w:val="1"/>
                <w:color w:val="auto"/>
              </w:rPr>
              <w:t>Quarter Ended June 30,</w:t>
            </w:r>
          </w:p>
        </w:tc>
        <w:tc>
          <w:tcPr>
            <w:tcW w:w="400" w:type="dxa"/>
            <w:vAlign w:val="bottom"/>
          </w:tcPr>
          <w:p>
            <w:pPr>
              <w:spacing w:after="0"/>
              <w:rPr>
                <w:sz w:val="16"/>
                <w:szCs w:val="16"/>
                <w:color w:val="auto"/>
              </w:rPr>
            </w:pPr>
          </w:p>
        </w:tc>
        <w:tc>
          <w:tcPr>
            <w:tcW w:w="308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40" w:type="dxa"/>
            <w:vAlign w:val="bottom"/>
            <w:gridSpan w:val="5"/>
          </w:tcPr>
          <w:p>
            <w:pPr>
              <w:ind w:left="260"/>
              <w:spacing w:after="0"/>
              <w:rPr>
                <w:sz w:val="20"/>
                <w:szCs w:val="20"/>
                <w:color w:val="auto"/>
              </w:rPr>
            </w:pPr>
            <w:r>
              <w:rPr>
                <w:rFonts w:ascii="Arial" w:cs="Arial" w:eastAsia="Arial" w:hAnsi="Arial"/>
                <w:sz w:val="14"/>
                <w:szCs w:val="14"/>
                <w:b w:val="1"/>
                <w:bCs w:val="1"/>
                <w:color w:val="auto"/>
              </w:rPr>
              <w:t>(In thousands, except per share data)</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w w:val="86"/>
              </w:rPr>
              <w:t>246,829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226,040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707,905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632,012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135,957</w:t>
            </w: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License</w:t>
            </w:r>
          </w:p>
        </w:tc>
        <w:tc>
          <w:tcPr>
            <w:tcW w:w="10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23,269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43,615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76,738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86,770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313,731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314,249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920,206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854,739</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267,466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248,849</w:t>
            </w: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41,411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36,972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119,793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110,082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99,832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315,318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308,094</w:t>
            </w: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4,046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acquisition-related</w:t>
            </w:r>
          </w:p>
        </w:tc>
        <w:tc>
          <w:tcPr>
            <w:tcW w:w="10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6"/>
              </w:rPr>
              <w:t>230,860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228,541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709,727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671,478</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210,479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183,261</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(11,223)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(29,795)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76,208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78,054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180,567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155,184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17,644</w:t>
            </w: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64,076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64,152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177,285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137,540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gain (loss):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59,963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173,153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133,011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vMerge w:val="continue"/>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67"/>
        </w:trPr>
        <w:tc>
          <w:tcPr>
            <w:tcW w:w="416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10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29,005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28,967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29,075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67"/>
        </w:trPr>
        <w:tc>
          <w:tcPr>
            <w:tcW w:w="416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Paid-in-</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ind w:left="60"/>
              <w:spacing w:after="0" w:line="13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4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1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1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7"/>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29,082</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1,169,217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(2,930,165)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2,069,857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(95,049)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214,151</w:t>
            </w:r>
          </w:p>
        </w:tc>
        <w:tc>
          <w:tcPr>
            <w:tcW w:w="0" w:type="dxa"/>
            <w:vAlign w:val="bottom"/>
          </w:tcPr>
          <w:p>
            <w:pPr>
              <w:spacing w:after="0"/>
              <w:rPr>
                <w:sz w:val="1"/>
                <w:szCs w:val="1"/>
                <w:color w:val="auto"/>
              </w:rPr>
            </w:pPr>
          </w:p>
        </w:tc>
      </w:tr>
      <w:tr>
        <w:trPr>
          <w:trHeight w:val="79"/>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22,264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22,264</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Issuance of treasury stock under employee stock plans</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79"/>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(53,988)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(53,990)</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64,076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64,076</w:t>
            </w:r>
          </w:p>
        </w:tc>
        <w:tc>
          <w:tcPr>
            <w:tcW w:w="0" w:type="dxa"/>
            <w:vAlign w:val="bottom"/>
          </w:tcPr>
          <w:p>
            <w:pPr>
              <w:spacing w:after="0"/>
              <w:rPr>
                <w:sz w:val="1"/>
                <w:szCs w:val="1"/>
                <w:color w:val="auto"/>
              </w:rPr>
            </w:pPr>
          </w:p>
        </w:tc>
      </w:tr>
      <w:tr>
        <w:trPr>
          <w:trHeight w:val="79"/>
        </w:trPr>
        <w:tc>
          <w:tcPr>
            <w:tcW w:w="318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28,999</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290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1,187,717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(2,980,437)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2,133,933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(94,217)</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247,286</w:t>
            </w:r>
          </w:p>
        </w:tc>
        <w:tc>
          <w:tcPr>
            <w:tcW w:w="0" w:type="dxa"/>
            <w:vAlign w:val="bottom"/>
          </w:tcPr>
          <w:p>
            <w:pPr>
              <w:spacing w:after="0"/>
              <w:rPr>
                <w:sz w:val="1"/>
                <w:szCs w:val="1"/>
                <w:color w:val="auto"/>
              </w:rPr>
            </w:pPr>
          </w:p>
        </w:tc>
      </w:tr>
      <w:tr>
        <w:trPr>
          <w:trHeight w:val="60"/>
        </w:trPr>
        <w:tc>
          <w:tcPr>
            <w:tcW w:w="318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18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24"/>
                <w:szCs w:val="24"/>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Paid-in-</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ind w:left="60"/>
              <w:spacing w:after="0" w:line="13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4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31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180" w:type="dxa"/>
            <w:vAlign w:val="bottom"/>
            <w:vMerge w:val="continue"/>
          </w:tcPr>
          <w:p>
            <w:pPr>
              <w:spacing w:after="0"/>
              <w:rPr>
                <w:sz w:val="9"/>
                <w:szCs w:val="9"/>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9"/>
                <w:szCs w:val="9"/>
                <w:color w:val="auto"/>
              </w:rPr>
            </w:pPr>
          </w:p>
        </w:tc>
        <w:tc>
          <w:tcPr>
            <w:tcW w:w="11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87"/>
        </w:trPr>
        <w:tc>
          <w:tcPr>
            <w:tcW w:w="31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2019</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29,056</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1,190,341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(2,704,305)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1,837,912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(76,761)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247,478</w:t>
            </w:r>
          </w:p>
        </w:tc>
        <w:tc>
          <w:tcPr>
            <w:tcW w:w="0" w:type="dxa"/>
            <w:vAlign w:val="bottom"/>
          </w:tcPr>
          <w:p>
            <w:pPr>
              <w:spacing w:after="0"/>
              <w:rPr>
                <w:sz w:val="1"/>
                <w:szCs w:val="1"/>
                <w:color w:val="auto"/>
              </w:rPr>
            </w:pPr>
          </w:p>
        </w:tc>
      </w:tr>
      <w:tr>
        <w:trPr>
          <w:trHeight w:val="80"/>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19,595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19,595</w:t>
            </w:r>
          </w:p>
        </w:tc>
        <w:tc>
          <w:tcPr>
            <w:tcW w:w="0" w:type="dxa"/>
            <w:vAlign w:val="bottom"/>
          </w:tcPr>
          <w:p>
            <w:pPr>
              <w:spacing w:after="0"/>
              <w:rPr>
                <w:sz w:val="1"/>
                <w:szCs w:val="1"/>
                <w:color w:val="auto"/>
              </w:rPr>
            </w:pPr>
          </w:p>
        </w:tc>
      </w:tr>
      <w:tr>
        <w:trPr>
          <w:trHeight w:val="74"/>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Issuance of treasury stock under employee stock plans</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80"/>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(59,200)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(59,203)</w:t>
            </w:r>
          </w:p>
        </w:tc>
        <w:tc>
          <w:tcPr>
            <w:tcW w:w="0" w:type="dxa"/>
            <w:vAlign w:val="bottom"/>
          </w:tcPr>
          <w:p>
            <w:pPr>
              <w:spacing w:after="0"/>
              <w:rPr>
                <w:sz w:val="1"/>
                <w:szCs w:val="1"/>
                <w:color w:val="auto"/>
              </w:rPr>
            </w:pPr>
          </w:p>
        </w:tc>
      </w:tr>
      <w:tr>
        <w:trPr>
          <w:trHeight w:val="74"/>
        </w:trPr>
        <w:tc>
          <w:tcPr>
            <w:tcW w:w="3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64,152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64,152</w:t>
            </w:r>
          </w:p>
        </w:tc>
        <w:tc>
          <w:tcPr>
            <w:tcW w:w="0" w:type="dxa"/>
            <w:vAlign w:val="bottom"/>
          </w:tcPr>
          <w:p>
            <w:pPr>
              <w:spacing w:after="0"/>
              <w:rPr>
                <w:sz w:val="1"/>
                <w:szCs w:val="1"/>
                <w:color w:val="auto"/>
              </w:rPr>
            </w:pPr>
          </w:p>
        </w:tc>
      </w:tr>
      <w:tr>
        <w:trPr>
          <w:trHeight w:val="80"/>
        </w:trPr>
        <w:tc>
          <w:tcPr>
            <w:tcW w:w="318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(4,189)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2019</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28,931</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1,206,739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(2,759,825)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1,902,064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(80,950)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268,317</w:t>
            </w:r>
          </w:p>
        </w:tc>
        <w:tc>
          <w:tcPr>
            <w:tcW w:w="0" w:type="dxa"/>
            <w:vAlign w:val="bottom"/>
          </w:tcPr>
          <w:p>
            <w:pPr>
              <w:spacing w:after="0"/>
              <w:rPr>
                <w:sz w:val="1"/>
                <w:szCs w:val="1"/>
                <w:color w:val="auto"/>
              </w:rPr>
            </w:pPr>
          </w:p>
        </w:tc>
      </w:tr>
      <w:tr>
        <w:trPr>
          <w:trHeight w:val="60"/>
        </w:trPr>
        <w:tc>
          <w:tcPr>
            <w:tcW w:w="318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18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24"/>
                <w:szCs w:val="24"/>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Paid-in-</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ind w:left="60"/>
              <w:spacing w:after="0" w:line="13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4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31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180" w:type="dxa"/>
            <w:vAlign w:val="bottom"/>
            <w:vMerge w:val="continue"/>
          </w:tcPr>
          <w:p>
            <w:pPr>
              <w:spacing w:after="0"/>
              <w:rPr>
                <w:sz w:val="9"/>
                <w:szCs w:val="9"/>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9"/>
                <w:szCs w:val="9"/>
                <w:color w:val="auto"/>
              </w:rPr>
            </w:pPr>
          </w:p>
        </w:tc>
        <w:tc>
          <w:tcPr>
            <w:tcW w:w="11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87"/>
        </w:trPr>
        <w:tc>
          <w:tcPr>
            <w:tcW w:w="31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2019</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28,944</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1,225,365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(2,802,450)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1,956,648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(90,085)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289,767</w:t>
            </w:r>
          </w:p>
        </w:tc>
        <w:tc>
          <w:tcPr>
            <w:tcW w:w="0" w:type="dxa"/>
            <w:vAlign w:val="bottom"/>
          </w:tcPr>
          <w:p>
            <w:pPr>
              <w:spacing w:after="0"/>
              <w:rPr>
                <w:sz w:val="1"/>
                <w:szCs w:val="1"/>
                <w:color w:val="auto"/>
              </w:rPr>
            </w:pPr>
          </w:p>
        </w:tc>
      </w:tr>
      <w:tr>
        <w:trPr>
          <w:trHeight w:val="80"/>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68,197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68,197</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Issuance of treasury stock under employee stock plans</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(105,845)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32,007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(73,831)</w:t>
            </w:r>
          </w:p>
        </w:tc>
        <w:tc>
          <w:tcPr>
            <w:tcW w:w="0" w:type="dxa"/>
            <w:vAlign w:val="bottom"/>
          </w:tcPr>
          <w:p>
            <w:pPr>
              <w:spacing w:after="0"/>
              <w:rPr>
                <w:sz w:val="1"/>
                <w:szCs w:val="1"/>
                <w:color w:val="auto"/>
              </w:rPr>
            </w:pPr>
          </w:p>
        </w:tc>
      </w:tr>
      <w:tr>
        <w:trPr>
          <w:trHeight w:val="80"/>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(209,994)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(210,000)</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177,285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177,285</w:t>
            </w:r>
          </w:p>
        </w:tc>
        <w:tc>
          <w:tcPr>
            <w:tcW w:w="0" w:type="dxa"/>
            <w:vAlign w:val="bottom"/>
          </w:tcPr>
          <w:p>
            <w:pPr>
              <w:spacing w:after="0"/>
              <w:rPr>
                <w:sz w:val="1"/>
                <w:szCs w:val="1"/>
                <w:color w:val="auto"/>
              </w:rPr>
            </w:pPr>
          </w:p>
        </w:tc>
      </w:tr>
      <w:tr>
        <w:trPr>
          <w:trHeight w:val="80"/>
        </w:trPr>
        <w:tc>
          <w:tcPr>
            <w:tcW w:w="318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(4,132)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(4,132)</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28,999</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290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1,187,717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(2,980,437)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2,133,933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(94,217)</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247,286</w:t>
            </w:r>
          </w:p>
        </w:tc>
        <w:tc>
          <w:tcPr>
            <w:tcW w:w="0" w:type="dxa"/>
            <w:vAlign w:val="bottom"/>
          </w:tcPr>
          <w:p>
            <w:pPr>
              <w:spacing w:after="0"/>
              <w:rPr>
                <w:sz w:val="1"/>
                <w:szCs w:val="1"/>
                <w:color w:val="auto"/>
              </w:rPr>
            </w:pPr>
          </w:p>
        </w:tc>
      </w:tr>
      <w:tr>
        <w:trPr>
          <w:trHeight w:val="60"/>
        </w:trPr>
        <w:tc>
          <w:tcPr>
            <w:tcW w:w="318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18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24"/>
                <w:szCs w:val="24"/>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Paid-in-</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ind w:left="60"/>
              <w:spacing w:after="0" w:line="13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4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31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180" w:type="dxa"/>
            <w:vAlign w:val="bottom"/>
            <w:vMerge w:val="continue"/>
          </w:tcPr>
          <w:p>
            <w:pPr>
              <w:spacing w:after="0"/>
              <w:rPr>
                <w:sz w:val="9"/>
                <w:szCs w:val="9"/>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9"/>
                <w:szCs w:val="9"/>
                <w:color w:val="auto"/>
              </w:rPr>
            </w:pPr>
          </w:p>
        </w:tc>
        <w:tc>
          <w:tcPr>
            <w:tcW w:w="11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87"/>
        </w:trPr>
        <w:tc>
          <w:tcPr>
            <w:tcW w:w="31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2018 (As Adjusted)</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29,015</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290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1,211,051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(2,612,007)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1,764,524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(76,421)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287,437</w:t>
            </w:r>
          </w:p>
        </w:tc>
        <w:tc>
          <w:tcPr>
            <w:tcW w:w="0" w:type="dxa"/>
            <w:vAlign w:val="bottom"/>
          </w:tcPr>
          <w:p>
            <w:pPr>
              <w:spacing w:after="0"/>
              <w:rPr>
                <w:sz w:val="1"/>
                <w:szCs w:val="1"/>
                <w:color w:val="auto"/>
              </w:rPr>
            </w:pPr>
          </w:p>
        </w:tc>
      </w:tr>
      <w:tr>
        <w:trPr>
          <w:trHeight w:val="79"/>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61,931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61,931</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Issuance of treasury stock under employee stock plans</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(66,243)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31,100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(35,136)</w:t>
            </w:r>
          </w:p>
        </w:tc>
        <w:tc>
          <w:tcPr>
            <w:tcW w:w="0" w:type="dxa"/>
            <w:vAlign w:val="bottom"/>
          </w:tcPr>
          <w:p>
            <w:pPr>
              <w:spacing w:after="0"/>
              <w:rPr>
                <w:sz w:val="1"/>
                <w:szCs w:val="1"/>
                <w:color w:val="auto"/>
              </w:rPr>
            </w:pPr>
          </w:p>
        </w:tc>
      </w:tr>
      <w:tr>
        <w:trPr>
          <w:trHeight w:val="79"/>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(178,918)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(178,926)</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137,540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137,540</w:t>
            </w:r>
          </w:p>
        </w:tc>
        <w:tc>
          <w:tcPr>
            <w:tcW w:w="0" w:type="dxa"/>
            <w:vAlign w:val="bottom"/>
          </w:tcPr>
          <w:p>
            <w:pPr>
              <w:spacing w:after="0"/>
              <w:rPr>
                <w:sz w:val="1"/>
                <w:szCs w:val="1"/>
                <w:color w:val="auto"/>
              </w:rPr>
            </w:pPr>
          </w:p>
        </w:tc>
      </w:tr>
      <w:tr>
        <w:trPr>
          <w:trHeight w:val="80"/>
        </w:trPr>
        <w:tc>
          <w:tcPr>
            <w:tcW w:w="318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(4,529)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(4,529)</w:t>
            </w:r>
          </w:p>
        </w:tc>
        <w:tc>
          <w:tcPr>
            <w:tcW w:w="0" w:type="dxa"/>
            <w:vAlign w:val="bottom"/>
          </w:tcPr>
          <w:p>
            <w:pPr>
              <w:spacing w:after="0"/>
              <w:rPr>
                <w:sz w:val="1"/>
                <w:szCs w:val="1"/>
                <w:color w:val="auto"/>
              </w:rPr>
            </w:pPr>
          </w:p>
        </w:tc>
      </w:tr>
      <w:tr>
        <w:trPr>
          <w:trHeight w:val="74"/>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2019</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28,931</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1,206,739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(2,759,825)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1,902,064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(80,950)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268,317</w:t>
            </w:r>
          </w:p>
        </w:tc>
        <w:tc>
          <w:tcPr>
            <w:tcW w:w="0" w:type="dxa"/>
            <w:vAlign w:val="bottom"/>
          </w:tcPr>
          <w:p>
            <w:pPr>
              <w:spacing w:after="0"/>
              <w:rPr>
                <w:sz w:val="1"/>
                <w:szCs w:val="1"/>
                <w:color w:val="auto"/>
              </w:rPr>
            </w:pPr>
          </w:p>
        </w:tc>
      </w:tr>
      <w:tr>
        <w:trPr>
          <w:trHeight w:val="60"/>
        </w:trPr>
        <w:tc>
          <w:tcPr>
            <w:tcW w:w="318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125"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Nine Months Ended June 30,</w:t>
            </w:r>
          </w:p>
        </w:tc>
      </w:tr>
      <w:tr>
        <w:trPr>
          <w:trHeight w:val="263"/>
        </w:trPr>
        <w:tc>
          <w:tcPr>
            <w:tcW w:w="8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177,285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137,540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23,549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23,734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61,931</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(gain) loss on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Non-cash operating lease costs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14,962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Net loss on sales of property and equipment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(53,288)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r>
      <w:tr>
        <w:trPr>
          <w:trHeight w:val="243"/>
        </w:trPr>
        <w:tc>
          <w:tcPr>
            <w:tcW w:w="822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compensation and employee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4,217</w:t>
            </w:r>
          </w:p>
        </w:tc>
      </w:tr>
      <w:tr>
        <w:trPr>
          <w:trHeight w:val="243"/>
        </w:trPr>
        <w:tc>
          <w:tcPr>
            <w:tcW w:w="8220" w:type="dxa"/>
            <w:vAlign w:val="bottom"/>
          </w:tcPr>
          <w:p>
            <w:pPr>
              <w:ind w:left="114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(6,164)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37"/>
        </w:trPr>
        <w:tc>
          <w:tcPr>
            <w:tcW w:w="822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228,730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164,936</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(18,170)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from other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220" w:type="dxa"/>
            <w:vAlign w:val="bottom"/>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(20,800)</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Proceeds from revolving line of credit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193,000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167,000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revolving line of credit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(109,000)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Proceeds from issuance of senior notes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Payments on finance leases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treasury stock under employee stock plans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16,073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(51,208)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(178,926)</w:t>
            </w:r>
          </w:p>
        </w:tc>
      </w:tr>
      <w:tr>
        <w:trPr>
          <w:trHeight w:val="237"/>
        </w:trPr>
        <w:tc>
          <w:tcPr>
            <w:tcW w:w="8220" w:type="dxa"/>
            <w:vAlign w:val="bottom"/>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(183,483)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(156,061)</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 cash</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r>
      <w:tr>
        <w:trPr>
          <w:trHeight w:val="236"/>
        </w:trPr>
        <w:tc>
          <w:tcPr>
            <w:tcW w:w="822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19,247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(11,215)</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90,023</w:t>
            </w:r>
          </w:p>
        </w:tc>
      </w:tr>
      <w:tr>
        <w:trPr>
          <w:trHeight w:val="236"/>
        </w:trPr>
        <w:tc>
          <w:tcPr>
            <w:tcW w:w="822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125,673</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78,808</w:t>
            </w:r>
          </w:p>
        </w:tc>
      </w:tr>
      <w:tr>
        <w:trPr>
          <w:trHeight w:val="67"/>
        </w:trPr>
        <w:tc>
          <w:tcPr>
            <w:tcW w:w="8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8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Cash paid for income taxes, net of refunds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12,058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33,401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 included in 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Finance lease obligations incurred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6,489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6,416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220" w:right="9280" w:hanging="212"/>
        <w:spacing w:after="0" w:line="425" w:lineRule="auto"/>
        <w:tabs>
          <w:tab w:leader="none" w:pos="18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Nature of Business </w:t>
      </w:r>
      <w:r>
        <w:rPr>
          <w:rFonts w:ascii="Arial" w:cs="Arial" w:eastAsia="Arial" w:hAnsi="Arial"/>
          <w:sz w:val="16"/>
          <w:szCs w:val="16"/>
          <w:b w:val="1"/>
          <w:bCs w:val="1"/>
          <w:i w:val="1"/>
          <w:iCs w:val="1"/>
          <w:color w:val="auto"/>
        </w:rPr>
        <w:t>Fair Isaac Corporation</w:t>
      </w:r>
    </w:p>
    <w:p>
      <w:pPr>
        <w:jc w:val="both"/>
        <w:ind w:firstLine="432"/>
        <w:spacing w:after="0" w:line="279" w:lineRule="auto"/>
        <w:rPr>
          <w:sz w:val="20"/>
          <w:szCs w:val="20"/>
          <w:color w:val="auto"/>
        </w:rPr>
      </w:pPr>
      <w:r>
        <w:rPr>
          <w:rFonts w:ascii="Arial" w:cs="Arial" w:eastAsia="Arial" w:hAnsi="Arial"/>
          <w:sz w:val="17"/>
          <w:szCs w:val="17"/>
          <w:color w:val="auto"/>
        </w:rPr>
        <w:t>Incorporated under the laws of the State of Delaware, Fair Isaac Corporation (“FICO”) is a provider of analytic, software and data management products and services that enable businesses to automate, improve and connect decisions. FICO provides a range of analytical solutions, credit scoring and credit account management products and services to banks, credit reporting agencies, credit card processing agencies, insurers, retailers, telecommunications providers, pharmaceutical companies, healthcare organizations, public agencies and organizations in other industries.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Quarterly Report on Form 10-Q, Fair Isaac Corporation is referred to as “FICO,” “we,” “us,” “our,” or “the Company.”</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2019. The interim financial information contained in this report is not necessarily indicative of the results to be expected for any other interim period or for the entire fiscal year.</w:t>
      </w:r>
    </w:p>
    <w:p>
      <w:pPr>
        <w:spacing w:after="0" w:line="11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As discussed in New Accounting Pronouncements below and Note 13, effective October 1, 2019, we adopted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and subsequent amendments to the initial guidance: ASU 2017-13, ASU 2018-10, ASU 2018-11, ASU 2018-20 and ASU 2019-01 (collectively, “Topic 842”) using the modified retrospective approach, under which financial results reported in prior periods were not restated. As a result, the condensed consolidated balance sheet as of June 30, 2020 is not comparable with that as of September 30, 2019. See our Annual Report on Form 10-K filed with the SEC on November 8, 2019 for lease policies that were in effect in prior periods before adoption of Topic 842.</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FICO and its subsidiaries. All intercompany accounts and transactions have been eliminated.</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make estimates and assumptions that affect the amounts reported in the financial statements and the disclosures made in the accompanying notes. For example, we use estimates in determining the collectability of accounts receivable; the appropriate levels of various accruals;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spacing w:after="0" w:line="16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the impact of the COVID-19 pandemic continues to evolve, estimates and assumptions about future events and their effects cannot be determined with certainty and therefore require increased judgment. These estimates and assumptions may change in future periods and will be recognized in the condensed consolidated financial statements as new events occur and additional information becomes known. To the extent our actual results differ materially from those estimates and assumptions, our future financial statements could be affected. For more information, see Part II, Item 1A “Risk Factors” of this Quarterly Report on Form 10-Q.</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3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2016, the Financial Accounting Standards Board (“FASB”) issued Topic 842, which requires the recognition of operating lease assets and lease liabilities on the balance sheet. Leases will be classified as either finance or operating, with classification affecting the pattern of expense recognition in the income statement. Under the new standard, disclosures are required to enable users of financial statements to assess the amount, timing and uncertainty of cash flows arising from leases.</w:t>
      </w:r>
    </w:p>
    <w:p>
      <w:pPr>
        <w:spacing w:after="0" w:line="30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the first quarter of fiscal 2020, we adopted Topic 842 using the “Comparatives Under 840 Option” approach to transition. In accordance with the standard, the comparative information has not been restated and continues to be reported under the accounting standards in effect for those periods. Topic 842 provided a package of practical expedients that allow an entity to not reassess (1) whether any expired or existing contracts contain a lease, (2) the lease classification of any expired or existing lease, and (3) initial direct costs for any existing leases. We elected to apply the package of practical expedients, and did not elect the hindsight practical expedient in determining the lease term for existing leases as of October 1, 2019.</w:t>
      </w:r>
    </w:p>
    <w:p>
      <w:pPr>
        <w:spacing w:after="0" w:line="28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Adoption of Topic 842 did not result in the recognition of a cumulative-effect adjustment to the opening balance of retained earnings in the period of adoption. The most significant impact of adoption was the recognition of operating lease assets and operating lease liabilities of $89.8 million and $98.9 million, respectively, while our accounting for existing capital leases (now referred to as finance leases) remained substantially unchanged. We expect the impact of adoption to be immaterial to our consolidated statements of income and comprehensive income and consolidated statements of cash flows on an ongoing basis. As part of our adoption, we also modified our control procedures and processes, none of which materially affected our internal control over financial reporting. See Note 13 for additional information regarding our accounting policy for leases and additional disclosures.</w:t>
      </w: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August 2018, the FASB issued ASU No. 2018-15, “</w:t>
      </w:r>
      <w:r>
        <w:rPr>
          <w:rFonts w:ascii="Arial" w:cs="Arial" w:eastAsia="Arial" w:hAnsi="Arial"/>
          <w:sz w:val="16"/>
          <w:szCs w:val="16"/>
          <w:i w:val="1"/>
          <w:iCs w:val="1"/>
          <w:color w:val="auto"/>
        </w:rPr>
        <w:t>Intangibles—Goodwill and Other (Topic 350): Internal-Use Software</w:t>
      </w:r>
      <w:r>
        <w:rPr>
          <w:rFonts w:ascii="Arial" w:cs="Arial" w:eastAsia="Arial" w:hAnsi="Arial"/>
          <w:sz w:val="16"/>
          <w:szCs w:val="16"/>
          <w:color w:val="auto"/>
        </w:rPr>
        <w:t>” (“ASU 2018-15”). ASU 2018-15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and interim periods within those fiscal years beginning after December 15, 2019, which means that it will be effective for our fiscal year beginning October 1, 2020. Early adoption is permitted. We do not believe that adoption of ASU 2018-15 will have a significant impact on our consolidated financial statements.</w:t>
      </w:r>
    </w:p>
    <w:p>
      <w:pPr>
        <w:spacing w:after="0" w:line="10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and subsequent amendments to the initial guidance: ASU 2018-19, ASU 2019-04, ASU 2019-05 and ASU 2019-11 (collectively, “Topic</w:t>
      </w:r>
      <w:r>
        <w:rPr>
          <w:rFonts w:ascii="Arial" w:cs="Arial" w:eastAsia="Arial" w:hAnsi="Arial"/>
          <w:sz w:val="16"/>
          <w:szCs w:val="16"/>
          <w:i w:val="1"/>
          <w:iCs w:val="1"/>
          <w:color w:val="auto"/>
        </w:rPr>
        <w:t xml:space="preserve"> </w:t>
      </w:r>
      <w:r>
        <w:rPr>
          <w:rFonts w:ascii="Arial" w:cs="Arial" w:eastAsia="Arial" w:hAnsi="Arial"/>
          <w:sz w:val="16"/>
          <w:szCs w:val="16"/>
          <w:color w:val="auto"/>
        </w:rPr>
        <w:t>326”). Topic 326 requires measurement and recognition of expected credit losses for financial assets held. Topic 326 is effective for fiscal years and interim periods within those fiscal years beginning after December 15, 2019, which means it will be effective for our fiscal year beginning October 1, 2020. Early adoption is permitted. We do not believe that adoption of Topic 326 will have a significant impact on our consolidated financial statements.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expect that any other recently issued accounting pronouncements will have a significant effect on our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121"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162" w:lineRule="exact"/>
        <w:rPr>
          <w:sz w:val="20"/>
          <w:szCs w:val="20"/>
          <w:color w:val="auto"/>
        </w:rPr>
      </w:pPr>
    </w:p>
    <w:p>
      <w:pPr>
        <w:jc w:val="both"/>
        <w:ind w:left="1300" w:hanging="563"/>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uses unadjusted quoted prices that are available in active markets for identical assets or liabilities. Our Level 1 assets are comprised of money market funds and certain marketable securities. We do not have any liabilities that are valued using inputs identified under a Level 1 hierarchy as of June 30, 2020 and September 30,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1300" w:hanging="563"/>
        <w:spacing w:after="0" w:line="272"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do not have any assets that are valued using inputs identified under a Level 2 hierarchy as of June 30, 2020 and September 30, 2019. We measure the fair value of the Senior Notes (as defined in Note 7) based on Level 2 inputs, which include quoted market prices and interest rate spreads of similar securities.</w:t>
      </w:r>
    </w:p>
    <w:p>
      <w:pPr>
        <w:spacing w:after="0" w:line="69" w:lineRule="exact"/>
        <w:rPr>
          <w:rFonts w:ascii="Arial" w:cs="Arial" w:eastAsia="Arial" w:hAnsi="Arial"/>
          <w:sz w:val="17"/>
          <w:szCs w:val="17"/>
          <w:color w:val="auto"/>
        </w:rPr>
      </w:pPr>
    </w:p>
    <w:p>
      <w:pPr>
        <w:jc w:val="both"/>
        <w:ind w:left="1300" w:hanging="563"/>
        <w:spacing w:after="0" w:line="25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do not have any assets or liabilities that are valued using inputs identified under a Level 3 hierarchy as of June 30, 2020 and September 30, 2019.</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represent financial assets that we measured at fair value on a recurring basis at June 30, 2020 and September 30,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Active Markets for</w:t>
            </w:r>
          </w:p>
        </w:tc>
        <w:tc>
          <w:tcPr>
            <w:tcW w:w="1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Fair Value as of June 30,</w:t>
            </w:r>
          </w:p>
        </w:tc>
        <w:tc>
          <w:tcPr>
            <w:tcW w:w="0" w:type="dxa"/>
            <w:vAlign w:val="bottom"/>
          </w:tcPr>
          <w:p>
            <w:pPr>
              <w:spacing w:after="0"/>
              <w:rPr>
                <w:sz w:val="1"/>
                <w:szCs w:val="1"/>
                <w:color w:val="auto"/>
              </w:rPr>
            </w:pPr>
          </w:p>
        </w:tc>
      </w:tr>
      <w:tr>
        <w:trPr>
          <w:trHeight w:val="148"/>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Identical Instruments</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5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Cash equivalents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24,334</w:t>
            </w:r>
          </w:p>
        </w:tc>
        <w:tc>
          <w:tcPr>
            <w:tcW w:w="120" w:type="dxa"/>
            <w:vAlign w:val="bottom"/>
          </w:tcPr>
          <w:p>
            <w:pPr>
              <w:spacing w:after="0"/>
              <w:rPr>
                <w:sz w:val="21"/>
                <w:szCs w:val="21"/>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24,334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(2)</w:t>
            </w: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23,549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23,549</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47,883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47,883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Active Markets for</w:t>
            </w:r>
          </w:p>
        </w:tc>
        <w:tc>
          <w:tcPr>
            <w:tcW w:w="320" w:type="dxa"/>
            <w:vAlign w:val="bottom"/>
          </w:tcPr>
          <w:p>
            <w:pPr>
              <w:spacing w:after="0"/>
              <w:rPr>
                <w:sz w:val="24"/>
                <w:szCs w:val="24"/>
                <w:color w:val="auto"/>
              </w:rPr>
            </w:pPr>
          </w:p>
        </w:tc>
        <w:tc>
          <w:tcPr>
            <w:tcW w:w="1360" w:type="dxa"/>
            <w:vAlign w:val="bottom"/>
            <w:vMerge w:val="restart"/>
          </w:tcPr>
          <w:p>
            <w:pPr>
              <w:jc w:val="center"/>
              <w:ind w:right="235"/>
              <w:spacing w:after="0"/>
              <w:rPr>
                <w:sz w:val="20"/>
                <w:szCs w:val="20"/>
                <w:color w:val="auto"/>
              </w:rPr>
            </w:pPr>
            <w:r>
              <w:rPr>
                <w:rFonts w:ascii="Arial" w:cs="Arial" w:eastAsia="Arial" w:hAnsi="Arial"/>
                <w:sz w:val="14"/>
                <w:szCs w:val="14"/>
                <w:b w:val="1"/>
                <w:bCs w:val="1"/>
                <w:color w:val="auto"/>
                <w:w w:val="92"/>
              </w:rPr>
              <w:t>Fair Value as of</w:t>
            </w:r>
          </w:p>
        </w:tc>
        <w:tc>
          <w:tcPr>
            <w:tcW w:w="0" w:type="dxa"/>
            <w:vAlign w:val="bottom"/>
          </w:tcPr>
          <w:p>
            <w:pPr>
              <w:spacing w:after="0"/>
              <w:rPr>
                <w:sz w:val="1"/>
                <w:szCs w:val="1"/>
                <w:color w:val="auto"/>
              </w:rPr>
            </w:pPr>
          </w:p>
        </w:tc>
      </w:tr>
      <w:tr>
        <w:trPr>
          <w:trHeight w:val="148"/>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Identical Instruments</w:t>
            </w:r>
          </w:p>
        </w:tc>
        <w:tc>
          <w:tcPr>
            <w:tcW w:w="3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5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Cash equivalents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28,901</w:t>
            </w:r>
          </w:p>
        </w:tc>
        <w:tc>
          <w:tcPr>
            <w:tcW w:w="120" w:type="dxa"/>
            <w:vAlign w:val="bottom"/>
          </w:tcPr>
          <w:p>
            <w:pPr>
              <w:spacing w:after="0"/>
              <w:rPr>
                <w:sz w:val="21"/>
                <w:szCs w:val="21"/>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28,901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(2)</w:t>
            </w: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20,222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20,222</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49,123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49,123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560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90"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cash and cash equivalents on our condensed consolidated balance sheets at June 30, 2020 and September 30, 2019. Not included in these tables are cash deposits of $101.3 million and $77.5 million at June 30, 2020 and September 30, 2019, respectively.</w:t>
      </w:r>
    </w:p>
    <w:p>
      <w:pPr>
        <w:spacing w:after="0" w:line="8"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securities held under a supplemental retirement and savings plan for senior management employees, which are distributed upon termination or retirement of the employees. Included in marketable securities on our condensed consolidated balance sheets at June 30, 2020 and September 30, 2019.</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fair value of our derivative instruments and senior notes, see Note 3 and Note 7, respectively.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were no transfers between Level 1, Level 2, and Level 3 of the fair value hierarchy during the quarters and nine-month periods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 Financial Instruments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respective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Foreign-currency-denominated receivable and cash balances are remeasured at foreign exchange rates in effect on the balance sheet date with the effects of changes in foreign exchange rates reported in other income, net. The forward contracts are not designated as hedges and are marked to market through other income,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June 30, 2020 and September 30, 2019:</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2020</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ind w:right="958"/>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center"/>
              <w:ind w:right="359"/>
              <w:spacing w:after="0" w:line="153" w:lineRule="exact"/>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3"/>
                <w:szCs w:val="13"/>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3"/>
                <w:szCs w:val="13"/>
                <w:color w:val="auto"/>
              </w:rPr>
            </w:pPr>
          </w:p>
        </w:tc>
        <w:tc>
          <w:tcPr>
            <w:tcW w:w="120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w w:val="97"/>
              </w:rPr>
              <w:t>Currency</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 foreign currency:</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Euro (EUR)</w:t>
            </w:r>
          </w:p>
        </w:tc>
        <w:tc>
          <w:tcPr>
            <w:tcW w:w="440" w:type="dxa"/>
            <w:vAlign w:val="bottom"/>
          </w:tcPr>
          <w:p>
            <w:pPr>
              <w:ind w:left="40"/>
              <w:spacing w:after="0"/>
              <w:rPr>
                <w:sz w:val="20"/>
                <w:szCs w:val="20"/>
                <w:color w:val="auto"/>
              </w:rPr>
            </w:pPr>
            <w:r>
              <w:rPr>
                <w:rFonts w:ascii="Arial" w:cs="Arial" w:eastAsia="Arial" w:hAnsi="Arial"/>
                <w:sz w:val="18"/>
                <w:szCs w:val="18"/>
                <w:color w:val="auto"/>
                <w:w w:val="99"/>
              </w:rPr>
              <w:t>EUR</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10,400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11,629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foreign currency:</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British pound (GBP)</w:t>
            </w:r>
          </w:p>
        </w:tc>
        <w:tc>
          <w:tcPr>
            <w:tcW w:w="440" w:type="dxa"/>
            <w:vAlign w:val="bottom"/>
          </w:tcPr>
          <w:p>
            <w:pPr>
              <w:ind w:left="40"/>
              <w:spacing w:after="0"/>
              <w:rPr>
                <w:sz w:val="20"/>
                <w:szCs w:val="20"/>
                <w:color w:val="auto"/>
              </w:rPr>
            </w:pPr>
            <w:r>
              <w:rPr>
                <w:rFonts w:ascii="Arial" w:cs="Arial" w:eastAsia="Arial" w:hAnsi="Arial"/>
                <w:sz w:val="18"/>
                <w:szCs w:val="18"/>
                <w:color w:val="auto"/>
                <w:w w:val="99"/>
              </w:rPr>
              <w:t>GBP</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19,434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23,900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Singapore dollar (SGD)</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SGD</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9,895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9"/>
        </w:trPr>
        <w:tc>
          <w:tcPr>
            <w:tcW w:w="65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 2019</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ind w:right="958"/>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center"/>
              <w:ind w:right="359"/>
              <w:spacing w:after="0" w:line="153" w:lineRule="exact"/>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3"/>
                <w:szCs w:val="13"/>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3"/>
                <w:szCs w:val="13"/>
                <w:color w:val="auto"/>
              </w:rPr>
            </w:pPr>
          </w:p>
        </w:tc>
        <w:tc>
          <w:tcPr>
            <w:tcW w:w="120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w w:val="97"/>
              </w:rPr>
              <w:t>Currency</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 foreign currency:</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Euro (EUR)</w:t>
            </w:r>
          </w:p>
        </w:tc>
        <w:tc>
          <w:tcPr>
            <w:tcW w:w="440" w:type="dxa"/>
            <w:vAlign w:val="bottom"/>
          </w:tcPr>
          <w:p>
            <w:pPr>
              <w:ind w:left="40"/>
              <w:spacing w:after="0"/>
              <w:rPr>
                <w:sz w:val="20"/>
                <w:szCs w:val="20"/>
                <w:color w:val="auto"/>
              </w:rPr>
            </w:pPr>
            <w:r>
              <w:rPr>
                <w:rFonts w:ascii="Arial" w:cs="Arial" w:eastAsia="Arial" w:hAnsi="Arial"/>
                <w:sz w:val="18"/>
                <w:szCs w:val="18"/>
                <w:color w:val="auto"/>
                <w:w w:val="99"/>
              </w:rPr>
              <w:t>EUR</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10,800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foreign currency:</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British pound (GBP)</w:t>
            </w:r>
          </w:p>
        </w:tc>
        <w:tc>
          <w:tcPr>
            <w:tcW w:w="440" w:type="dxa"/>
            <w:vAlign w:val="bottom"/>
          </w:tcPr>
          <w:p>
            <w:pPr>
              <w:ind w:left="40"/>
              <w:spacing w:after="0"/>
              <w:rPr>
                <w:sz w:val="20"/>
                <w:szCs w:val="20"/>
                <w:color w:val="auto"/>
              </w:rPr>
            </w:pPr>
            <w:r>
              <w:rPr>
                <w:rFonts w:ascii="Arial" w:cs="Arial" w:eastAsia="Arial" w:hAnsi="Arial"/>
                <w:sz w:val="18"/>
                <w:szCs w:val="18"/>
                <w:color w:val="auto"/>
                <w:w w:val="99"/>
              </w:rPr>
              <w:t>GBP</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5,200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Singapore dollar (SGD)</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SGD</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5,798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foreign currency forward contracts were entered into on June 30, 2020 and September 30, 2019, respectively; therefore, their fair value was $0 on each of these dates.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Losses on derivative financial instruments are recorded in our condensed consolidated statements of income and comprehensive income as a component of other income, net, and consisted of the following:</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Quarter Ended 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Nine Months Ended June 30,</w:t>
            </w:r>
          </w:p>
        </w:tc>
      </w:tr>
      <w:tr>
        <w:trPr>
          <w:trHeight w:val="263"/>
        </w:trPr>
        <w:tc>
          <w:tcPr>
            <w:tcW w:w="5080" w:type="dxa"/>
            <w:vAlign w:val="bottom"/>
          </w:tcPr>
          <w:p>
            <w:pPr>
              <w:spacing w:after="0"/>
              <w:rPr>
                <w:sz w:val="22"/>
                <w:szCs w:val="22"/>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196"/>
        </w:trPr>
        <w:tc>
          <w:tcPr>
            <w:tcW w:w="5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(In thousands)</w:t>
            </w: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on foreign currency forward contracts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10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1,429</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612</w:t>
            </w:r>
          </w:p>
        </w:tc>
      </w:tr>
      <w:tr>
        <w:trPr>
          <w:trHeight w:val="27"/>
        </w:trPr>
        <w:tc>
          <w:tcPr>
            <w:tcW w:w="50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48" w:lineRule="exact"/>
        <w:rPr>
          <w:sz w:val="20"/>
          <w:szCs w:val="20"/>
          <w:color w:val="auto"/>
        </w:rPr>
      </w:pPr>
    </w:p>
    <w:p>
      <w:pPr>
        <w:jc w:val="both"/>
        <w:ind w:firstLine="405"/>
        <w:spacing w:after="0" w:line="318" w:lineRule="auto"/>
        <w:rPr>
          <w:sz w:val="20"/>
          <w:szCs w:val="20"/>
          <w:color w:val="auto"/>
        </w:rPr>
      </w:pPr>
      <w:r>
        <w:rPr>
          <w:rFonts w:ascii="Arial" w:cs="Arial" w:eastAsia="Arial" w:hAnsi="Arial"/>
          <w:sz w:val="18"/>
          <w:szCs w:val="18"/>
          <w:color w:val="auto"/>
        </w:rPr>
        <w:t>Amortization expense associated with our intangible assets is reflected as a separate operating expense caption — amortization of intangible assets — and is excluded from cost of revenues and selling, general and administrative expenses within the accompanying condensed consolidated statements of income and comprehensive income. Amortization expense consisted of the following: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w w:val="94"/>
              </w:rPr>
              <w:t>Quarter Ended 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41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50"/>
        </w:trPr>
        <w:tc>
          <w:tcPr>
            <w:tcW w:w="4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1,440</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Customer contracts and relationships</w:t>
            </w:r>
          </w:p>
        </w:tc>
        <w:tc>
          <w:tcPr>
            <w:tcW w:w="10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3,013</w:t>
            </w: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10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4,046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Estimated future intangible asset amortization expense associated with intangible assets existing at June 30, 2020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ind w:left="40"/>
              <w:spacing w:after="0"/>
              <w:rPr>
                <w:sz w:val="20"/>
                <w:szCs w:val="20"/>
                <w:color w:val="auto"/>
              </w:rPr>
            </w:pPr>
            <w:r>
              <w:rPr>
                <w:rFonts w:ascii="Arial" w:cs="Arial" w:eastAsia="Arial" w:hAnsi="Arial"/>
                <w:sz w:val="14"/>
                <w:szCs w:val="14"/>
                <w:b w:val="1"/>
                <w:bCs w:val="1"/>
                <w:color w:val="auto"/>
              </w:rPr>
              <w:t>Year Ending September 30,</w:t>
            </w:r>
          </w:p>
        </w:tc>
        <w:tc>
          <w:tcPr>
            <w:tcW w:w="300" w:type="dxa"/>
            <w:vAlign w:val="bottom"/>
          </w:tcPr>
          <w:p>
            <w:pPr>
              <w:spacing w:after="0"/>
              <w:rPr>
                <w:sz w:val="16"/>
                <w:szCs w:val="16"/>
                <w:color w:val="auto"/>
              </w:rPr>
            </w:pPr>
          </w:p>
        </w:tc>
        <w:tc>
          <w:tcPr>
            <w:tcW w:w="1600" w:type="dxa"/>
            <w:vAlign w:val="bottom"/>
          </w:tcPr>
          <w:p>
            <w:pPr>
              <w:jc w:val="right"/>
              <w:ind w:right="41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(excluding the nine months ended June 30, 2020)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938</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3,617</w:t>
            </w:r>
          </w:p>
        </w:tc>
      </w:tr>
      <w:tr>
        <w:trPr>
          <w:trHeight w:val="27"/>
        </w:trPr>
        <w:tc>
          <w:tcPr>
            <w:tcW w:w="9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3,330</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1,317</w:t>
            </w:r>
          </w:p>
        </w:tc>
      </w:tr>
      <w:tr>
        <w:trPr>
          <w:trHeight w:val="27"/>
        </w:trPr>
        <w:tc>
          <w:tcPr>
            <w:tcW w:w="9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917</w:t>
            </w:r>
          </w:p>
        </w:tc>
      </w:tr>
      <w:tr>
        <w:trPr>
          <w:trHeight w:val="237"/>
        </w:trPr>
        <w:tc>
          <w:tcPr>
            <w:tcW w:w="93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10,119</w:t>
            </w:r>
          </w:p>
        </w:tc>
      </w:tr>
      <w:tr>
        <w:trPr>
          <w:trHeight w:val="27"/>
        </w:trPr>
        <w:tc>
          <w:tcPr>
            <w:tcW w:w="9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9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changes to goodwill during the nine months ended June 30, 2020, both in total and as allocated to our segments: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Applications</w:t>
            </w:r>
          </w:p>
        </w:tc>
        <w:tc>
          <w:tcPr>
            <w:tcW w:w="34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Decision Management</w:t>
            </w:r>
          </w:p>
        </w:tc>
        <w:tc>
          <w:tcPr>
            <w:tcW w:w="340" w:type="dxa"/>
            <w:vAlign w:val="bottom"/>
          </w:tcPr>
          <w:p>
            <w:pPr>
              <w:spacing w:after="0"/>
              <w:rPr>
                <w:sz w:val="14"/>
                <w:szCs w:val="14"/>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Software</w:t>
            </w:r>
          </w:p>
        </w:tc>
        <w:tc>
          <w:tcPr>
            <w:tcW w:w="3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0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ind w:left="740"/>
              <w:spacing w:after="0"/>
              <w:rPr>
                <w:sz w:val="20"/>
                <w:szCs w:val="20"/>
                <w:color w:val="auto"/>
              </w:rPr>
            </w:pPr>
            <w:r>
              <w:rPr>
                <w:rFonts w:ascii="Arial" w:cs="Arial" w:eastAsia="Arial" w:hAnsi="Arial"/>
                <w:sz w:val="14"/>
                <w:szCs w:val="14"/>
                <w:b w:val="1"/>
                <w:bCs w:val="1"/>
                <w:color w:val="auto"/>
                <w:w w:val="93"/>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588,614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146,648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68,280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803,542</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589,600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146,648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68,280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804,528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Composition of Certain Financial Statement Captions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property and equipment, and the related accumulated depreciation and amortization, at June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4"/>
          </w:tcPr>
          <w:p>
            <w:pPr>
              <w:jc w:val="right"/>
              <w:ind w:right="97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3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190,932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172,075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(119,048)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3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60,336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53,027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58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Revolving Line of Credit</w:t>
      </w:r>
    </w:p>
    <w:p>
      <w:pPr>
        <w:spacing w:after="0" w:line="17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have a $400 million unsecured revolving line of credit with a syndicate of banks that expires on May 8, 2023 with an option to increase it by another $100 million.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maximum consolidated leverage ratio of 3.25 on an average trailing four-quarter basis, subject to a step up to 3.75 following certain permitted acquisitions; and a minimum fixed charge ratio of 2.50 through the maturity of our 2010 Senior Notes (as defined in Note 7) in July 2020, upon which maintaining a minimum interest coverage ratio of 3.00. The credit agreement also contains other covenants typical of unsecured facilities. As of June 30, 2020, we had $103.0 million in borrowings outstanding at a weighted average interest rate of 1.313% and were in compliance with all financial covenants under this credit facility.</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Notes</w:t>
      </w:r>
    </w:p>
    <w:p>
      <w:pPr>
        <w:spacing w:after="0" w:line="12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On July 14, 2010, we issued $245 million of senior notes in a private placement to a group of institutional investors (the “2010 Senior Notes”). The 2010 Senior Notes were issued in four series with maturities ranging from 6 to 10 years. The outstanding 2010 Senior Notes’ weighted average interest rate is 5.6% and the weighted average maturity is 10.0 years. The 2010 Senior Notes required interest payments semi-annually and contained certain restrictive covenants, including the maintenance of a maximum consolidated net debt to consolidated EBITDA ratio of 3.00 and a minimum fixed charge coverage ratio of 2.50. We were in compliance with all financial covenants under the 2010 Senior Notes as of June 30, 2020. In July 2020, we repaid $85 million in principal due at maturity of the remaining outstanding 2010 Senior Notes, and no 2010 Senior Notes remained outstanding following such repayment.</w:t>
      </w:r>
    </w:p>
    <w:p>
      <w:pPr>
        <w:spacing w:after="0" w:line="11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6, 2019, we issued $350 million of senior notes in a private offering to qualified institutional investors (the “2019 Senior Notes,” along with the 2010 Senior Notes and 2018 Senior Notes, the “Senior Notes”). We have used the net proceeds to repay a large portion of the outstanding balance on our revolving credit facility. The 2019 Senior Notes require interest payments semi-annually at a rate of 4.00% per annum and will mature on June 15, 2028.</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purchase agreements for the 2010 Senior Notes, as well as the indentures for the 2018 Senior Notes and the 2019 Senior Notes, contain certain covenants typical of unsecured obligations.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face values and fair values for the Senior Notes at June 30, 2020 and September 30,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September 30, 2019</w:t>
            </w:r>
          </w:p>
        </w:tc>
      </w:tr>
      <w:tr>
        <w:trPr>
          <w:trHeight w:val="263"/>
        </w:trPr>
        <w:tc>
          <w:tcPr>
            <w:tcW w:w="50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2010 Senior Notes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85,085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86,121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The 2018 Senior Notes</w:t>
            </w: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438,000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428,000</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2019 Senior Notes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5080" w:type="dxa"/>
            <w:vAlign w:val="bottom"/>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835,000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873,085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485,000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514,121</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8"/>
        <w:spacing w:after="0" w:line="277" w:lineRule="auto"/>
        <w:tabs>
          <w:tab w:leader="none" w:pos="229" w:val="left"/>
        </w:tabs>
        <w:numPr>
          <w:ilvl w:val="0"/>
          <w:numId w:val="8"/>
        </w:numPr>
        <w:rPr>
          <w:rFonts w:ascii="Arial" w:cs="Arial" w:eastAsia="Arial" w:hAnsi="Arial"/>
          <w:sz w:val="16"/>
          <w:szCs w:val="16"/>
          <w:color w:val="auto"/>
        </w:rPr>
      </w:pPr>
      <w:r>
        <w:rPr>
          <w:rFonts w:ascii="Arial" w:cs="Arial" w:eastAsia="Arial" w:hAnsi="Arial"/>
          <w:sz w:val="18"/>
          <w:szCs w:val="18"/>
          <w:color w:val="auto"/>
        </w:rPr>
        <w:t>The carrying value of the Senior Notes was reduced by the net debt issuance costs of $11.0 million and $5.2 million at June 30, 2020 and September 30,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3887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9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measure the fair value of the Senior Notes based on Level 2 inputs, which include quoted market prices and interest rate spreads of similar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Expenses</w:t>
      </w:r>
    </w:p>
    <w:p>
      <w:pPr>
        <w:spacing w:after="0" w:line="121" w:lineRule="exact"/>
        <w:rPr>
          <w:sz w:val="20"/>
          <w:szCs w:val="20"/>
          <w:color w:val="auto"/>
        </w:rPr>
      </w:pPr>
    </w:p>
    <w:p>
      <w:pPr>
        <w:jc w:val="both"/>
        <w:ind w:firstLine="391"/>
        <w:spacing w:after="0" w:line="263" w:lineRule="auto"/>
        <w:rPr>
          <w:sz w:val="20"/>
          <w:szCs w:val="20"/>
          <w:color w:val="auto"/>
        </w:rPr>
      </w:pPr>
      <w:r>
        <w:rPr>
          <w:rFonts w:ascii="Arial" w:cs="Arial" w:eastAsia="Arial" w:hAnsi="Arial"/>
          <w:sz w:val="18"/>
          <w:szCs w:val="18"/>
          <w:color w:val="auto"/>
        </w:rPr>
        <w:t>There were no restructuring expenses incurred during the quarter ended June 30, 2020. During the nine-month period ended June 30, 2020, we incurred $3.1 million in employee separation costs due to the elimination of 69 positions throughout the Company. We expect that cash payment for all the employee separation costs will be paid by the end of our fiscal 2020.</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restructuring expenses incurred during the quarter and nine-month period ended June 30, 2019.</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summarizes our restructuring accruals related to facility closures and employee separation. The balances at June 30, 2020 and September 30, 2019 were classified as current liabilities and recorded in other accrued liabilities within the accompanying condensed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Accrual at</w:t>
            </w:r>
          </w:p>
        </w:tc>
        <w:tc>
          <w:tcPr>
            <w:tcW w:w="340" w:type="dxa"/>
            <w:vAlign w:val="bottom"/>
          </w:tcPr>
          <w:p>
            <w:pPr>
              <w:spacing w:after="0"/>
              <w:rPr>
                <w:sz w:val="15"/>
                <w:szCs w:val="15"/>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Expense</w:t>
            </w:r>
          </w:p>
        </w:tc>
        <w:tc>
          <w:tcPr>
            <w:tcW w:w="26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Cash</w:t>
            </w:r>
          </w:p>
        </w:tc>
        <w:tc>
          <w:tcPr>
            <w:tcW w:w="240" w:type="dxa"/>
            <w:vAlign w:val="bottom"/>
          </w:tcPr>
          <w:p>
            <w:pPr>
              <w:spacing w:after="0"/>
              <w:rPr>
                <w:sz w:val="15"/>
                <w:szCs w:val="15"/>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 (*)</w:t>
            </w:r>
          </w:p>
        </w:tc>
        <w:tc>
          <w:tcPr>
            <w:tcW w:w="260" w:type="dxa"/>
            <w:vAlign w:val="bottom"/>
          </w:tcPr>
          <w:p>
            <w:pPr>
              <w:spacing w:after="0"/>
              <w:rPr>
                <w:sz w:val="15"/>
                <w:szCs w:val="15"/>
                <w:color w:val="auto"/>
              </w:rPr>
            </w:pPr>
          </w:p>
        </w:tc>
        <w:tc>
          <w:tcPr>
            <w:tcW w:w="142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Accrual at</w:t>
            </w:r>
          </w:p>
        </w:tc>
        <w:tc>
          <w:tcPr>
            <w:tcW w:w="0" w:type="dxa"/>
            <w:vAlign w:val="bottom"/>
          </w:tcPr>
          <w:p>
            <w:pPr>
              <w:spacing w:after="0"/>
              <w:rPr>
                <w:sz w:val="1"/>
                <w:szCs w:val="1"/>
                <w:color w:val="auto"/>
              </w:rPr>
            </w:pPr>
          </w:p>
        </w:tc>
      </w:tr>
      <w:tr>
        <w:trPr>
          <w:trHeight w:val="105"/>
        </w:trPr>
        <w:tc>
          <w:tcPr>
            <w:tcW w:w="2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September 30, 2019</w:t>
            </w:r>
          </w:p>
        </w:tc>
        <w:tc>
          <w:tcPr>
            <w:tcW w:w="340" w:type="dxa"/>
            <w:vAlign w:val="bottom"/>
          </w:tcPr>
          <w:p>
            <w:pPr>
              <w:spacing w:after="0"/>
              <w:rPr>
                <w:sz w:val="9"/>
                <w:szCs w:val="9"/>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Additions</w:t>
            </w:r>
          </w:p>
        </w:tc>
        <w:tc>
          <w:tcPr>
            <w:tcW w:w="260" w:type="dxa"/>
            <w:vAlign w:val="bottom"/>
          </w:tcPr>
          <w:p>
            <w:pPr>
              <w:spacing w:after="0"/>
              <w:rPr>
                <w:sz w:val="9"/>
                <w:szCs w:val="9"/>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Payments</w:t>
            </w:r>
          </w:p>
        </w:tc>
        <w:tc>
          <w:tcPr>
            <w:tcW w:w="24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81"/>
        </w:trPr>
        <w:tc>
          <w:tcPr>
            <w:tcW w:w="2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gridSpan w:val="2"/>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Employee separation</w:t>
            </w:r>
          </w:p>
        </w:tc>
        <w:tc>
          <w:tcPr>
            <w:tcW w:w="18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tcPr>
          <w:p>
            <w:pPr>
              <w:ind w:left="11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firstLine="8"/>
        <w:spacing w:after="0" w:line="277"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adoption of Topic 842, accrued lease exit obligations of $1.4 million, which were associated with vacating excess leased space in fiscal 2017, were reclassified to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1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46" w:lineRule="exact"/>
        <w:rPr>
          <w:sz w:val="20"/>
          <w:szCs w:val="20"/>
          <w:color w:val="auto"/>
        </w:rPr>
      </w:pPr>
    </w:p>
    <w:p>
      <w:pPr>
        <w:ind w:left="220" w:right="9720" w:hanging="212"/>
        <w:spacing w:after="0" w:line="453" w:lineRule="auto"/>
        <w:tabs>
          <w:tab w:leader="none" w:pos="184"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i w:val="1"/>
          <w:iCs w:val="1"/>
          <w:color w:val="auto"/>
        </w:rPr>
        <w:t>Effective Tax Rate</w:t>
      </w:r>
    </w:p>
    <w:p>
      <w:pPr>
        <w:spacing w:after="0" w:line="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effective income tax rate was 15.9% and 17.8% during the quarters ended June 30, 2020 and 2019, respectively, and 1.8% and 11.4% during the nine months ended June 30, 2020 and 2019,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1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effective tax rates for the nine months ended June 30, 2020 and 2019 were both impacted by the recording of excess tax benefits relating to stock awards. Stock exercises during the nine months ended June 30, 2020 resulted in an additional increase in excess tax benefits.</w:t>
      </w:r>
    </w:p>
    <w:p>
      <w:pPr>
        <w:spacing w:after="0" w:line="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total unrecognized tax benefit for uncertain tax positions is estimated to be $6.8 million and $5.8 million at June 30, 2020 and September 30, 2019, respectively. We recognize interest expense related to unrecognized tax benefits and penalties as part of the provision for income taxes in our condensed consolidated statements of income and comprehensive income. We have accrued interest of $0.4 million and $0.3 million related to unrecognized tax benefits as of June 30, 2020 and September 30, 2019,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48"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8"/>
          <w:szCs w:val="18"/>
          <w:color w:val="auto"/>
        </w:rPr>
        <w:t>The following table presents reconciliations for the numerators and denominators of basic and diluted earnings per share (“EPS”) for the quarters and nine-month periods ended June 30, 2020 and 2019:</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8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50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196"/>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for diluted and basic earnings per share: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64,076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64,152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177,285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137,540</w:t>
            </w:r>
          </w:p>
        </w:tc>
      </w:tr>
      <w:tr>
        <w:trPr>
          <w:trHeight w:val="67"/>
        </w:trPr>
        <w:tc>
          <w:tcPr>
            <w:tcW w:w="5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5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 - share: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Basic weighted-average shares</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29,005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28,967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29,075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29,000</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dilutive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1,295</w:t>
            </w:r>
          </w:p>
        </w:tc>
      </w:tr>
      <w:tr>
        <w:trPr>
          <w:trHeight w:val="237"/>
        </w:trPr>
        <w:tc>
          <w:tcPr>
            <w:tcW w:w="5080" w:type="dxa"/>
            <w:vAlign w:val="bottom"/>
          </w:tcPr>
          <w:p>
            <w:pPr>
              <w:ind w:left="380"/>
              <w:spacing w:after="0"/>
              <w:rPr>
                <w:sz w:val="20"/>
                <w:szCs w:val="20"/>
                <w:color w:val="auto"/>
              </w:rPr>
            </w:pPr>
            <w:r>
              <w:rPr>
                <w:rFonts w:ascii="Arial" w:cs="Arial" w:eastAsia="Arial" w:hAnsi="Arial"/>
                <w:sz w:val="18"/>
                <w:szCs w:val="18"/>
                <w:color w:val="auto"/>
              </w:rPr>
              <w:t>Diluted weighted-average shares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29,744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30,292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29,966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30,295</w:t>
            </w:r>
          </w:p>
        </w:tc>
      </w:tr>
      <w:tr>
        <w:trPr>
          <w:trHeight w:val="67"/>
        </w:trPr>
        <w:tc>
          <w:tcPr>
            <w:tcW w:w="5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0"/>
        </w:trPr>
        <w:tc>
          <w:tcPr>
            <w:tcW w:w="5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4.74</w:t>
            </w:r>
          </w:p>
        </w:tc>
      </w:tr>
      <w:tr>
        <w:trPr>
          <w:trHeight w:val="67"/>
        </w:trPr>
        <w:tc>
          <w:tcPr>
            <w:tcW w:w="5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6"/>
        </w:trPr>
        <w:tc>
          <w:tcPr>
            <w:tcW w:w="5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exclude the options to purchase shares of common stock in the computation of the diluted EPS where the exercise price of the options exceeds the average market price of our common stock as their inclusion would be antidilutive. There were approximately 13,000 options excluded for the quarter ended June 30, 2020. There were no options excluded for the quarter ended June 30, 2019. There were approximately 14,000 and 5,000 options excluded for the nine months ended June 30, 2020 and 2019,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are organized into the following three operating segments, each of which is a reportable segment, to align with internal management of our worldwide business operations based on product offerings.</w:t>
      </w:r>
    </w:p>
    <w:p>
      <w:pPr>
        <w:spacing w:after="0" w:line="184" w:lineRule="exact"/>
        <w:rPr>
          <w:sz w:val="20"/>
          <w:szCs w:val="20"/>
          <w:color w:val="auto"/>
        </w:rPr>
      </w:pPr>
    </w:p>
    <w:p>
      <w:pPr>
        <w:jc w:val="both"/>
        <w:ind w:left="1300" w:hanging="563"/>
        <w:spacing w:after="0" w:line="235"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Applications</w:t>
      </w:r>
      <w:r>
        <w:rPr>
          <w:rFonts w:ascii="Arial" w:cs="Arial" w:eastAsia="Arial" w:hAnsi="Arial"/>
          <w:sz w:val="18"/>
          <w:szCs w:val="18"/>
          <w:color w:val="auto"/>
        </w:rPr>
        <w:t>. This segment includes pre-configured decision management applications designed for a specific type of business problem</w:t>
      </w:r>
      <w:r>
        <w:rPr>
          <w:rFonts w:ascii="Arial" w:cs="Arial" w:eastAsia="Arial" w:hAnsi="Arial"/>
          <w:sz w:val="18"/>
          <w:szCs w:val="18"/>
          <w:i w:val="1"/>
          <w:iCs w:val="1"/>
          <w:color w:val="auto"/>
        </w:rPr>
        <w:t xml:space="preserve"> </w:t>
      </w:r>
      <w:r>
        <w:rPr>
          <w:rFonts w:ascii="Arial" w:cs="Arial" w:eastAsia="Arial" w:hAnsi="Arial"/>
          <w:sz w:val="18"/>
          <w:szCs w:val="18"/>
          <w:color w:val="auto"/>
        </w:rPr>
        <w:t>or process — such as marketing, account origination, customer management, fraud, collections and insurance claims management — as well as associated professional services. These applications are available to our customers as on-premises software, and many are available as hosted, software-as-a-service (“SaaS”) applications through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Analytic Cloud or third-party public clouds, such as those provided by Amazon Web Services (“AWS”).</w:t>
      </w:r>
    </w:p>
    <w:p>
      <w:pPr>
        <w:spacing w:after="0" w:line="95" w:lineRule="exact"/>
        <w:rPr>
          <w:rFonts w:ascii="Arial" w:cs="Arial" w:eastAsia="Arial" w:hAnsi="Arial"/>
          <w:sz w:val="18"/>
          <w:szCs w:val="18"/>
          <w:color w:val="auto"/>
        </w:rPr>
      </w:pPr>
    </w:p>
    <w:p>
      <w:pPr>
        <w:jc w:val="both"/>
        <w:ind w:left="1300" w:hanging="563"/>
        <w:spacing w:after="0" w:line="232" w:lineRule="auto"/>
        <w:tabs>
          <w:tab w:leader="none" w:pos="1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Scores. </w:t>
      </w:r>
      <w:r>
        <w:rPr>
          <w:rFonts w:ascii="Arial" w:cs="Arial" w:eastAsia="Arial" w:hAnsi="Arial"/>
          <w:sz w:val="18"/>
          <w:szCs w:val="18"/>
          <w:color w:val="auto"/>
        </w:rPr>
        <w:t>This segment includes our business-to-business scoring solutions, our myFICO</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consumers and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Our scoring solutions give our clients access to analytics that can be easily integrated into their transaction streams and decision-making processes. Our scoring solutions are distributed through major credit reporting agencies, as well as services through which we provide our scores to clients directly.</w:t>
      </w:r>
    </w:p>
    <w:p>
      <w:pPr>
        <w:spacing w:after="0" w:line="93" w:lineRule="exact"/>
        <w:rPr>
          <w:rFonts w:ascii="Arial" w:cs="Arial" w:eastAsia="Arial" w:hAnsi="Arial"/>
          <w:sz w:val="18"/>
          <w:szCs w:val="18"/>
          <w:i w:val="1"/>
          <w:iCs w:val="1"/>
          <w:color w:val="auto"/>
        </w:rPr>
      </w:pPr>
    </w:p>
    <w:p>
      <w:pPr>
        <w:jc w:val="both"/>
        <w:ind w:left="1300" w:hanging="563"/>
        <w:spacing w:after="0" w:line="213" w:lineRule="auto"/>
        <w:tabs>
          <w:tab w:leader="none" w:pos="1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Decision Management Software. </w:t>
      </w:r>
      <w:r>
        <w:rPr>
          <w:rFonts w:ascii="Arial" w:cs="Arial" w:eastAsia="Arial" w:hAnsi="Arial"/>
          <w:sz w:val="18"/>
          <w:szCs w:val="18"/>
          <w:color w:val="auto"/>
        </w:rPr>
        <w:t>This segment is composed of analytic and decision management software tools that clients can use to</w:t>
      </w:r>
      <w:r>
        <w:rPr>
          <w:rFonts w:ascii="Arial" w:cs="Arial" w:eastAsia="Arial" w:hAnsi="Arial"/>
          <w:sz w:val="18"/>
          <w:szCs w:val="18"/>
          <w:i w:val="1"/>
          <w:iCs w:val="1"/>
          <w:color w:val="auto"/>
        </w:rPr>
        <w:t xml:space="preserve"> </w:t>
      </w:r>
      <w:r>
        <w:rPr>
          <w:rFonts w:ascii="Arial" w:cs="Arial" w:eastAsia="Arial" w:hAnsi="Arial"/>
          <w:sz w:val="18"/>
          <w:szCs w:val="18"/>
          <w:color w:val="auto"/>
        </w:rPr>
        <w:t>create their own custom decision management applications, our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Decision Management Suite, as well as associated professional services. These tools are available to our customers as on-premises software or through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Analytic Cloud or third-party public clouds, such as those provided by AWS.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Chief Executive Officer evaluates segment financial performance based on segment revenues and segment operating income. Segment operating expenses consist of direct and indirect costs principally related to personnel, facilities,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expense, amortization expense, various corporate charges and certain other income and expense measures to our segments. These income and expense items are not allocated because they are not considered in evaluating the segment’s operating performance. Our Chief Executive Officer does not evaluate the financial performance of each segment based on its respective assets, nor capital expenditures where depreciation amounts are allocated to the segments from their internal cost centers as described above.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segment information for the quarters and nine-month periods ended June 30, 2020 and 2019:</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center"/>
              <w:ind w:left="874"/>
              <w:spacing w:after="0"/>
              <w:rPr>
                <w:sz w:val="20"/>
                <w:szCs w:val="20"/>
                <w:color w:val="auto"/>
              </w:rPr>
            </w:pPr>
            <w:r>
              <w:rPr>
                <w:rFonts w:ascii="Arial" w:cs="Arial" w:eastAsia="Arial" w:hAnsi="Arial"/>
                <w:sz w:val="14"/>
                <w:szCs w:val="14"/>
                <w:b w:val="1"/>
                <w:bCs w:val="1"/>
                <w:color w:val="auto"/>
                <w:w w:val="94"/>
              </w:rPr>
              <w:t>Quarter Ended June 30, 2020</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Decision Management</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Unallocated</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Applications</w:t>
            </w:r>
          </w:p>
        </w:tc>
        <w:tc>
          <w:tcPr>
            <w:tcW w:w="300" w:type="dxa"/>
            <w:vAlign w:val="bottom"/>
          </w:tcPr>
          <w:p>
            <w:pPr>
              <w:spacing w:after="0"/>
              <w:rPr>
                <w:sz w:val="12"/>
                <w:szCs w:val="12"/>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Scores</w:t>
            </w:r>
          </w:p>
        </w:tc>
        <w:tc>
          <w:tcPr>
            <w:tcW w:w="15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Software</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98,476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130,268</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18,085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246,829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43,633</w:t>
            </w: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License</w:t>
            </w:r>
          </w:p>
        </w:tc>
        <w:tc>
          <w:tcPr>
            <w:tcW w:w="2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10,620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23,269</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313,731</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Segment operating expense</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(111,061)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(43,839)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(31,315)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(207,548)</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Segment operating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30,399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110,217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106,183</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0"/>
              <w:spacing w:after="0"/>
              <w:rPr>
                <w:sz w:val="20"/>
                <w:szCs w:val="20"/>
                <w:color w:val="auto"/>
              </w:rPr>
            </w:pPr>
            <w:r>
              <w:rPr>
                <w:rFonts w:ascii="Arial" w:cs="Arial" w:eastAsia="Arial" w:hAnsi="Arial"/>
                <w:sz w:val="18"/>
                <w:szCs w:val="18"/>
                <w:color w:val="auto"/>
              </w:rPr>
              <w:t>Unallocated share-based compensation</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expense</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(22,264)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82,871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Unallocated other income, net</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76,208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expense</w:t>
            </w: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5,091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7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10"/>
          </w:tcPr>
          <w:p>
            <w:pPr>
              <w:jc w:val="center"/>
              <w:ind w:left="754"/>
              <w:spacing w:after="0"/>
              <w:rPr>
                <w:sz w:val="20"/>
                <w:szCs w:val="20"/>
                <w:color w:val="auto"/>
              </w:rPr>
            </w:pPr>
            <w:r>
              <w:rPr>
                <w:rFonts w:ascii="Arial" w:cs="Arial" w:eastAsia="Arial" w:hAnsi="Arial"/>
                <w:sz w:val="14"/>
                <w:szCs w:val="14"/>
                <w:b w:val="1"/>
                <w:bCs w:val="1"/>
                <w:color w:val="auto"/>
                <w:w w:val="93"/>
              </w:rPr>
              <w:t>Quarter Ended June 30, 2019</w:t>
            </w: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Decision Management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Unallocated</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Applications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Software</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8"/>
              </w:rPr>
              <w:t>Expenses</w:t>
            </w: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Transactional and maintenance</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100,385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112,949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12,706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226,040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License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31,263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1,805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10,547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43,615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segment revenues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165,637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115,146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314,249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Segment operating expense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(113,400)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(15,850)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(42,229)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(207,498)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Segment operating income (loss)</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52,237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99,296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106,751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3420" w:type="dxa"/>
            <w:vAlign w:val="bottom"/>
            <w:vMerge w:val="restart"/>
          </w:tcPr>
          <w:p>
            <w:pPr>
              <w:spacing w:after="0"/>
              <w:rPr>
                <w:sz w:val="20"/>
                <w:szCs w:val="20"/>
                <w:color w:val="auto"/>
              </w:rPr>
            </w:pPr>
            <w:r>
              <w:rPr>
                <w:rFonts w:ascii="Arial" w:cs="Arial" w:eastAsia="Arial" w:hAnsi="Arial"/>
                <w:sz w:val="18"/>
                <w:szCs w:val="18"/>
                <w:color w:val="auto"/>
              </w:rPr>
              <w:t>Unallocated share-based compensation</w:t>
            </w: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34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expense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85,708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interest expense, net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Unallocated other income, net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78,054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Depreciation expense</w:t>
            </w: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vMerge w:val="continue"/>
          </w:tcPr>
          <w:p>
            <w:pPr>
              <w:spacing w:after="0"/>
              <w:rPr>
                <w:sz w:val="19"/>
                <w:szCs w:val="19"/>
                <w:color w:val="auto"/>
              </w:rPr>
            </w:pPr>
          </w:p>
        </w:tc>
        <w:tc>
          <w:tcPr>
            <w:tcW w:w="3420" w:type="dxa"/>
            <w:vAlign w:val="bottom"/>
            <w:vMerge w:val="continue"/>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0"/>
          </w:tcPr>
          <w:p>
            <w:pPr>
              <w:jc w:val="center"/>
              <w:ind w:left="814"/>
              <w:spacing w:after="0"/>
              <w:rPr>
                <w:sz w:val="20"/>
                <w:szCs w:val="20"/>
                <w:color w:val="auto"/>
              </w:rPr>
            </w:pPr>
            <w:r>
              <w:rPr>
                <w:rFonts w:ascii="Arial" w:cs="Arial" w:eastAsia="Arial" w:hAnsi="Arial"/>
                <w:sz w:val="14"/>
                <w:szCs w:val="14"/>
                <w:b w:val="1"/>
                <w:bCs w:val="1"/>
                <w:color w:val="auto"/>
                <w:w w:val="93"/>
              </w:rPr>
              <w:t>Nine Months Ended June 30, 2020</w:t>
            </w: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1"/>
              </w:rPr>
              <w:t>Decision Management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Unallocated</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Applications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Scores</w:t>
            </w:r>
          </w:p>
        </w:tc>
        <w:tc>
          <w:tcPr>
            <w:tcW w:w="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Software</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5"/>
              </w:rPr>
              <w:t>Expenses</w:t>
            </w: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Segment revenues: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Transactional and maintenance</w:t>
            </w: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365,324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707,905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380"/>
              <w:spacing w:after="0"/>
              <w:rPr>
                <w:sz w:val="20"/>
                <w:szCs w:val="20"/>
                <w:color w:val="auto"/>
              </w:rPr>
            </w:pPr>
            <w:r>
              <w:rPr>
                <w:rFonts w:ascii="Arial" w:cs="Arial" w:eastAsia="Arial" w:hAnsi="Arial"/>
                <w:sz w:val="18"/>
                <w:szCs w:val="18"/>
                <w:color w:val="auto"/>
              </w:rPr>
              <w:t>Professional services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101,521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135,563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License</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37,294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76,738</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20" w:type="dxa"/>
            <w:vAlign w:val="bottom"/>
          </w:tcPr>
          <w:p>
            <w:pPr>
              <w:ind w:left="700"/>
              <w:spacing w:after="0"/>
              <w:rPr>
                <w:sz w:val="20"/>
                <w:szCs w:val="20"/>
                <w:color w:val="auto"/>
              </w:rPr>
            </w:pPr>
            <w:r>
              <w:rPr>
                <w:rFonts w:ascii="Arial" w:cs="Arial" w:eastAsia="Arial" w:hAnsi="Arial"/>
                <w:sz w:val="18"/>
                <w:szCs w:val="18"/>
                <w:color w:val="auto"/>
              </w:rPr>
              <w:t>Total segment revenues</w:t>
            </w: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433,917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375,836</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110,453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920,206</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expense</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(338,527)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(54,705)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(141,838)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(99,310)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(634,380)</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4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Segment operating income (loss)</w:t>
            </w:r>
          </w:p>
        </w:tc>
        <w:tc>
          <w:tcPr>
            <w:tcW w:w="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95,390</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321,131</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(31,385)</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(99,310)</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1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285,826</w:t>
            </w:r>
          </w:p>
        </w:tc>
        <w:tc>
          <w:tcPr>
            <w:tcW w:w="4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4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Unallocated share-based compensation</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(68,197)</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Unallocated amortization expense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restructuring and acquisition-</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210,479</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interest expense, net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(32,245)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Unallocated other income, net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180,567</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18,087</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674"/>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794"/>
              <w:spacing w:after="0"/>
              <w:rPr>
                <w:sz w:val="20"/>
                <w:szCs w:val="20"/>
                <w:color w:val="auto"/>
              </w:rPr>
            </w:pPr>
            <w:r>
              <w:rPr>
                <w:rFonts w:ascii="Arial" w:cs="Arial" w:eastAsia="Arial" w:hAnsi="Arial"/>
                <w:sz w:val="14"/>
                <w:szCs w:val="14"/>
                <w:b w:val="1"/>
                <w:bCs w:val="1"/>
                <w:color w:val="auto"/>
                <w:w w:val="93"/>
              </w:rPr>
              <w:t>Nine Months Ended June 30, 2019</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Decision Management</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0"/>
              </w:rPr>
              <w:t>Unallocated</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Applications</w:t>
            </w:r>
          </w:p>
        </w:tc>
        <w:tc>
          <w:tcPr>
            <w:tcW w:w="32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15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Software</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Expenses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460" w:type="dxa"/>
            <w:vAlign w:val="bottom"/>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Transactional and maintenance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632,012</w:t>
            </w: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101,432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32,531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135,957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License</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86,770</w:t>
            </w:r>
          </w:p>
        </w:tc>
        <w:tc>
          <w:tcPr>
            <w:tcW w:w="0" w:type="dxa"/>
            <w:vAlign w:val="bottom"/>
          </w:tcPr>
          <w:p>
            <w:pPr>
              <w:spacing w:after="0"/>
              <w:rPr>
                <w:sz w:val="1"/>
                <w:szCs w:val="1"/>
                <w:color w:val="auto"/>
              </w:rPr>
            </w:pPr>
          </w:p>
        </w:tc>
      </w:tr>
      <w:tr>
        <w:trPr>
          <w:trHeight w:val="237"/>
        </w:trPr>
        <w:tc>
          <w:tcPr>
            <w:tcW w:w="3460" w:type="dxa"/>
            <w:vAlign w:val="bottom"/>
          </w:tcPr>
          <w:p>
            <w:pPr>
              <w:ind w:left="700"/>
              <w:spacing w:after="0"/>
              <w:rPr>
                <w:sz w:val="20"/>
                <w:szCs w:val="20"/>
                <w:color w:val="auto"/>
              </w:rPr>
            </w:pPr>
            <w:r>
              <w:rPr>
                <w:rFonts w:ascii="Arial" w:cs="Arial" w:eastAsia="Arial" w:hAnsi="Arial"/>
                <w:sz w:val="18"/>
                <w:szCs w:val="18"/>
                <w:color w:val="auto"/>
              </w:rPr>
              <w:t>Total segment revenues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455,111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305,232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94,396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854,739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(605,094)</w:t>
            </w:r>
          </w:p>
        </w:tc>
        <w:tc>
          <w:tcPr>
            <w:tcW w:w="0" w:type="dxa"/>
            <w:vAlign w:val="bottom"/>
          </w:tcPr>
          <w:p>
            <w:pPr>
              <w:spacing w:after="0"/>
              <w:rPr>
                <w:sz w:val="1"/>
                <w:szCs w:val="1"/>
                <w:color w:val="auto"/>
              </w:rPr>
            </w:pPr>
          </w:p>
        </w:tc>
      </w:tr>
      <w:tr>
        <w:trPr>
          <w:trHeight w:val="297"/>
        </w:trPr>
        <w:tc>
          <w:tcPr>
            <w:tcW w:w="346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Segment operating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122,470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259,733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(27,779)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(104,779)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CCEEFF"/>
            </w:tcBorders>
          </w:tcPr>
          <w:p>
            <w:pPr>
              <w:spacing w:after="0"/>
              <w:rPr>
                <w:sz w:val="24"/>
                <w:szCs w:val="24"/>
                <w:color w:val="auto"/>
              </w:rPr>
            </w:pPr>
          </w:p>
        </w:tc>
        <w:tc>
          <w:tcPr>
            <w:tcW w:w="1120" w:type="dxa"/>
            <w:vAlign w:val="bottom"/>
            <w:tcBorders>
              <w:top w:val="single" w:sz="8" w:color="auto"/>
              <w:bottom w:val="single" w:sz="8" w:color="CCEEFF"/>
            </w:tcBorders>
          </w:tcPr>
          <w:p>
            <w:pPr>
              <w:jc w:val="right"/>
              <w:ind w:right="31"/>
              <w:spacing w:after="0"/>
              <w:rPr>
                <w:sz w:val="20"/>
                <w:szCs w:val="20"/>
                <w:color w:val="auto"/>
              </w:rPr>
            </w:pPr>
            <w:r>
              <w:rPr>
                <w:rFonts w:ascii="Arial" w:cs="Arial" w:eastAsia="Arial" w:hAnsi="Arial"/>
                <w:sz w:val="18"/>
                <w:szCs w:val="18"/>
                <w:color w:val="auto"/>
              </w:rPr>
              <w:t>249,645</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Unallocated share-based compensation</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(61,931)</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Unallocated amortization expense</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183,261</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Unallocated interest expense, net</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(29,795)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155,184</w:t>
            </w:r>
          </w:p>
        </w:tc>
        <w:tc>
          <w:tcPr>
            <w:tcW w:w="0" w:type="dxa"/>
            <w:vAlign w:val="bottom"/>
          </w:tcPr>
          <w:p>
            <w:pPr>
              <w:spacing w:after="0"/>
              <w:rPr>
                <w:sz w:val="1"/>
                <w:szCs w:val="1"/>
                <w:color w:val="auto"/>
              </w:rPr>
            </w:pPr>
          </w:p>
        </w:tc>
      </w:tr>
      <w:tr>
        <w:trPr>
          <w:trHeight w:val="67"/>
        </w:trPr>
        <w:tc>
          <w:tcPr>
            <w:tcW w:w="346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18,318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about disaggregated revenue by product deployment methods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jc w:val="center"/>
              <w:ind w:left="856"/>
              <w:spacing w:after="0"/>
              <w:rPr>
                <w:sz w:val="20"/>
                <w:szCs w:val="20"/>
                <w:color w:val="auto"/>
              </w:rPr>
            </w:pPr>
            <w:r>
              <w:rPr>
                <w:rFonts w:ascii="Arial" w:cs="Arial" w:eastAsia="Arial" w:hAnsi="Arial"/>
                <w:sz w:val="14"/>
                <w:szCs w:val="14"/>
                <w:b w:val="1"/>
                <w:bCs w:val="1"/>
                <w:color w:val="auto"/>
                <w:w w:val="93"/>
              </w:rPr>
              <w:t>Quarter Ended June 30, 2020</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3"/>
        </w:trPr>
        <w:tc>
          <w:tcPr>
            <w:tcW w:w="2780" w:type="dxa"/>
            <w:vAlign w:val="bottom"/>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On-Premises</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SaaS</w:t>
            </w: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Scores</w:t>
            </w: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2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76,493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64,967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141,460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Scores</w:t>
            </w:r>
          </w:p>
        </w:tc>
        <w:tc>
          <w:tcPr>
            <w:tcW w:w="2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131,550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131,550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Decision Management Software</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29,063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40,721</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2780" w:type="dxa"/>
            <w:vAlign w:val="bottom"/>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105,556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76,625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131,550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313,731</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48"/>
        </w:trPr>
        <w:tc>
          <w:tcPr>
            <w:tcW w:w="2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center"/>
              <w:ind w:left="856"/>
              <w:spacing w:after="0"/>
              <w:rPr>
                <w:sz w:val="20"/>
                <w:szCs w:val="20"/>
                <w:color w:val="auto"/>
              </w:rPr>
            </w:pPr>
            <w:r>
              <w:rPr>
                <w:rFonts w:ascii="Arial" w:cs="Arial" w:eastAsia="Arial" w:hAnsi="Arial"/>
                <w:sz w:val="14"/>
                <w:szCs w:val="14"/>
                <w:b w:val="1"/>
                <w:bCs w:val="1"/>
                <w:color w:val="auto"/>
                <w:w w:val="93"/>
              </w:rPr>
              <w:t>Quarter Ended June 30, 2019</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2780" w:type="dxa"/>
            <w:vAlign w:val="bottom"/>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On-Premises</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SaaS</w:t>
            </w: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Scores</w:t>
            </w: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2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Applications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102,673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62,964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165,637</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Scores</w:t>
            </w:r>
          </w:p>
        </w:tc>
        <w:tc>
          <w:tcPr>
            <w:tcW w:w="2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115,146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115,146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Decision Management Software</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27,138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33,466</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2780" w:type="dxa"/>
            <w:vAlign w:val="bottom"/>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129,811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69,292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115,146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314,249</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9"/>
        </w:trPr>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43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center"/>
              <w:ind w:left="816"/>
              <w:spacing w:after="0"/>
              <w:rPr>
                <w:sz w:val="20"/>
                <w:szCs w:val="20"/>
                <w:color w:val="auto"/>
              </w:rPr>
            </w:pPr>
            <w:r>
              <w:rPr>
                <w:rFonts w:ascii="Arial" w:cs="Arial" w:eastAsia="Arial" w:hAnsi="Arial"/>
                <w:sz w:val="14"/>
                <w:szCs w:val="14"/>
                <w:b w:val="1"/>
                <w:bCs w:val="1"/>
                <w:color w:val="auto"/>
                <w:w w:val="93"/>
              </w:rPr>
              <w:t>Nine Months Ended June 30, 2020</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On-Premises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SaaS</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Scores</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9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238,812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195,105</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433,917</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Scores</w:t>
            </w: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375,836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375,836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81,589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28,864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110,453</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274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320,401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223,969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375,836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920,206</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48"/>
        </w:trPr>
        <w:tc>
          <w:tcPr>
            <w:tcW w:w="2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center"/>
              <w:ind w:left="816"/>
              <w:spacing w:after="0"/>
              <w:rPr>
                <w:sz w:val="20"/>
                <w:szCs w:val="20"/>
                <w:color w:val="auto"/>
              </w:rPr>
            </w:pPr>
            <w:r>
              <w:rPr>
                <w:rFonts w:ascii="Arial" w:cs="Arial" w:eastAsia="Arial" w:hAnsi="Arial"/>
                <w:sz w:val="14"/>
                <w:szCs w:val="14"/>
                <w:b w:val="1"/>
                <w:bCs w:val="1"/>
                <w:color w:val="auto"/>
                <w:w w:val="93"/>
              </w:rPr>
              <w:t>Nine Months Ended June 30, 2019</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On-Premises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SaaS</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Scores</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9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273,579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181,532</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455,111</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Scores</w:t>
            </w: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305,232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305,232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76,472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17,924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94,396</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274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350,051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199,456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305,232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854,739</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about disaggregated revenue by primary geographical markets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9"/>
          </w:tcPr>
          <w:p>
            <w:pPr>
              <w:jc w:val="center"/>
              <w:ind w:right="190"/>
              <w:spacing w:after="0"/>
              <w:rPr>
                <w:sz w:val="20"/>
                <w:szCs w:val="20"/>
                <w:color w:val="auto"/>
              </w:rPr>
            </w:pPr>
            <w:r>
              <w:rPr>
                <w:rFonts w:ascii="Arial" w:cs="Arial" w:eastAsia="Arial" w:hAnsi="Arial"/>
                <w:sz w:val="14"/>
                <w:szCs w:val="14"/>
                <w:b w:val="1"/>
                <w:bCs w:val="1"/>
                <w:color w:val="auto"/>
                <w:w w:val="93"/>
              </w:rPr>
              <w:t>Quarter Ended June 30, 2020</w:t>
            </w: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13"/>
                <w:szCs w:val="13"/>
                <w:color w:val="auto"/>
              </w:rPr>
            </w:pPr>
          </w:p>
        </w:tc>
        <w:tc>
          <w:tcPr>
            <w:tcW w:w="13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Latin America</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Europe, Middle East</w:t>
            </w:r>
          </w:p>
        </w:tc>
        <w:tc>
          <w:tcPr>
            <w:tcW w:w="280" w:type="dxa"/>
            <w:vAlign w:val="bottom"/>
          </w:tcPr>
          <w:p>
            <w:pPr>
              <w:spacing w:after="0"/>
              <w:rPr>
                <w:sz w:val="13"/>
                <w:szCs w:val="13"/>
                <w:color w:val="auto"/>
              </w:rPr>
            </w:pP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Asia Pacific</w:t>
            </w:r>
          </w:p>
        </w:tc>
        <w:tc>
          <w:tcPr>
            <w:tcW w:w="360" w:type="dxa"/>
            <w:vAlign w:val="bottom"/>
          </w:tcPr>
          <w:p>
            <w:pPr>
              <w:spacing w:after="0"/>
              <w:rPr>
                <w:sz w:val="13"/>
                <w:szCs w:val="13"/>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6"/>
              </w:rPr>
              <w:t>and Africa</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Applications</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78,639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12,069</w:t>
            </w:r>
          </w:p>
        </w:tc>
        <w:tc>
          <w:tcPr>
            <w:tcW w:w="2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141,460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Scores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128,686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131,550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23,164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40,721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900" w:type="dxa"/>
            <w:vAlign w:val="bottom"/>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230,489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44,107</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22,327</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313,731</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center"/>
              <w:ind w:right="190"/>
              <w:spacing w:after="0"/>
              <w:rPr>
                <w:sz w:val="20"/>
                <w:szCs w:val="20"/>
                <w:color w:val="auto"/>
              </w:rPr>
            </w:pPr>
            <w:r>
              <w:rPr>
                <w:rFonts w:ascii="Arial" w:cs="Arial" w:eastAsia="Arial" w:hAnsi="Arial"/>
                <w:sz w:val="14"/>
                <w:szCs w:val="14"/>
                <w:b w:val="1"/>
                <w:bCs w:val="1"/>
                <w:color w:val="auto"/>
                <w:w w:val="93"/>
              </w:rPr>
              <w:t>Quarter Ended June 30, 2019</w:t>
            </w: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13"/>
                <w:szCs w:val="13"/>
                <w:color w:val="auto"/>
              </w:rPr>
            </w:pPr>
          </w:p>
        </w:tc>
        <w:tc>
          <w:tcPr>
            <w:tcW w:w="13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Latin America</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Europe, Middle East</w:t>
            </w:r>
          </w:p>
        </w:tc>
        <w:tc>
          <w:tcPr>
            <w:tcW w:w="280" w:type="dxa"/>
            <w:vAlign w:val="bottom"/>
          </w:tcPr>
          <w:p>
            <w:pPr>
              <w:spacing w:after="0"/>
              <w:rPr>
                <w:sz w:val="13"/>
                <w:szCs w:val="13"/>
                <w:color w:val="auto"/>
              </w:rPr>
            </w:pP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Asia Pacific</w:t>
            </w:r>
          </w:p>
        </w:tc>
        <w:tc>
          <w:tcPr>
            <w:tcW w:w="360" w:type="dxa"/>
            <w:vAlign w:val="bottom"/>
          </w:tcPr>
          <w:p>
            <w:pPr>
              <w:spacing w:after="0"/>
              <w:rPr>
                <w:sz w:val="13"/>
                <w:szCs w:val="13"/>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6"/>
              </w:rPr>
              <w:t>and Africa</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Applications</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88,210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2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54,171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165,637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Scores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110,728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14,930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900" w:type="dxa"/>
            <w:vAlign w:val="bottom"/>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213,868</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65,042</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314,249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0"/>
          </w:tcPr>
          <w:p>
            <w:pPr>
              <w:jc w:val="center"/>
              <w:ind w:left="954"/>
              <w:spacing w:after="0"/>
              <w:rPr>
                <w:sz w:val="20"/>
                <w:szCs w:val="20"/>
                <w:color w:val="auto"/>
              </w:rPr>
            </w:pPr>
            <w:r>
              <w:rPr>
                <w:rFonts w:ascii="Arial" w:cs="Arial" w:eastAsia="Arial" w:hAnsi="Arial"/>
                <w:sz w:val="14"/>
                <w:szCs w:val="14"/>
                <w:b w:val="1"/>
                <w:bCs w:val="1"/>
                <w:color w:val="auto"/>
                <w:w w:val="93"/>
              </w:rPr>
              <w:t>Nine Months Ended June 30, 2020</w:t>
            </w: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13"/>
                <w:szCs w:val="13"/>
                <w:color w:val="auto"/>
              </w:rPr>
            </w:pPr>
          </w:p>
        </w:tc>
        <w:tc>
          <w:tcPr>
            <w:tcW w:w="13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Latin America</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Europe, Middle East</w:t>
            </w:r>
          </w:p>
        </w:tc>
        <w:tc>
          <w:tcPr>
            <w:tcW w:w="280" w:type="dxa"/>
            <w:vAlign w:val="bottom"/>
          </w:tcPr>
          <w:p>
            <w:pPr>
              <w:spacing w:after="0"/>
              <w:rPr>
                <w:sz w:val="13"/>
                <w:szCs w:val="13"/>
                <w:color w:val="auto"/>
              </w:rPr>
            </w:pPr>
          </w:p>
        </w:tc>
        <w:tc>
          <w:tcPr>
            <w:tcW w:w="14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360" w:type="dxa"/>
            <w:vAlign w:val="bottom"/>
          </w:tcPr>
          <w:p>
            <w:pPr>
              <w:spacing w:after="0"/>
              <w:rPr>
                <w:sz w:val="13"/>
                <w:szCs w:val="13"/>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and Africa</w:t>
            </w:r>
          </w:p>
        </w:tc>
        <w:tc>
          <w:tcPr>
            <w:tcW w:w="28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243,005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31,258</w:t>
            </w:r>
          </w:p>
        </w:tc>
        <w:tc>
          <w:tcPr>
            <w:tcW w:w="2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108,230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51,424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433,917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Scores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362,132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3,016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4,763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5,925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375,836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59,758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14,876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22,612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110,453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900" w:type="dxa"/>
            <w:vAlign w:val="bottom"/>
          </w:tcPr>
          <w:p>
            <w:pPr>
              <w:ind w:left="2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664,895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49,150</w:t>
            </w: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135,605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70,556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920,206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394"/>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jc w:val="center"/>
              <w:ind w:left="956"/>
              <w:spacing w:after="0"/>
              <w:rPr>
                <w:sz w:val="20"/>
                <w:szCs w:val="20"/>
                <w:color w:val="auto"/>
              </w:rPr>
            </w:pPr>
            <w:r>
              <w:rPr>
                <w:rFonts w:ascii="Arial" w:cs="Arial" w:eastAsia="Arial" w:hAnsi="Arial"/>
                <w:sz w:val="14"/>
                <w:szCs w:val="14"/>
                <w:b w:val="1"/>
                <w:bCs w:val="1"/>
                <w:color w:val="auto"/>
                <w:w w:val="93"/>
              </w:rPr>
              <w:t>Nine Months Ended June 30, 2019</w:t>
            </w: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0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North America</w:t>
            </w:r>
          </w:p>
        </w:tc>
        <w:tc>
          <w:tcPr>
            <w:tcW w:w="240" w:type="dxa"/>
            <w:vAlign w:val="bottom"/>
          </w:tcPr>
          <w:p>
            <w:pPr>
              <w:spacing w:after="0"/>
              <w:rPr>
                <w:sz w:val="13"/>
                <w:szCs w:val="13"/>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5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Europe, Middle East</w:t>
            </w:r>
          </w:p>
        </w:tc>
        <w:tc>
          <w:tcPr>
            <w:tcW w:w="30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380" w:type="dxa"/>
            <w:vAlign w:val="bottom"/>
          </w:tcPr>
          <w:p>
            <w:pPr>
              <w:spacing w:after="0"/>
              <w:rPr>
                <w:sz w:val="13"/>
                <w:szCs w:val="13"/>
                <w:color w:val="auto"/>
              </w:rPr>
            </w:pPr>
          </w:p>
        </w:tc>
        <w:tc>
          <w:tcPr>
            <w:tcW w:w="120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and Africa</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256,385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32,011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119,971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455,111</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Scores</w:t>
            </w:r>
          </w:p>
        </w:tc>
        <w:tc>
          <w:tcPr>
            <w:tcW w:w="2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293,292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5,197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305,232</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21,977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94,396</w:t>
            </w:r>
          </w:p>
        </w:tc>
        <w:tc>
          <w:tcPr>
            <w:tcW w:w="0" w:type="dxa"/>
            <w:vAlign w:val="bottom"/>
          </w:tcPr>
          <w:p>
            <w:pPr>
              <w:spacing w:after="0"/>
              <w:rPr>
                <w:sz w:val="1"/>
                <w:szCs w:val="1"/>
                <w:color w:val="auto"/>
              </w:rPr>
            </w:pPr>
          </w:p>
        </w:tc>
      </w:tr>
      <w:tr>
        <w:trPr>
          <w:trHeight w:val="257"/>
        </w:trPr>
        <w:tc>
          <w:tcPr>
            <w:tcW w:w="292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595,031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48,661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147,145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63,902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854,739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rFonts w:ascii="Arial" w:cs="Arial" w:eastAsia="Arial" w:hAnsi="Arial"/>
          <w:sz w:val="18"/>
          <w:szCs w:val="18"/>
          <w:b w:val="1"/>
          <w:bCs w:val="1"/>
          <w:color w:val="auto"/>
        </w:rPr>
        <w:t xml:space="preserve"> Contract Balances and Performance Obligations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8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spacing w:after="0" w:line="3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at June 30, 2020 and September 30, 2019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40" w:type="dxa"/>
            <w:vAlign w:val="bottom"/>
          </w:tcPr>
          <w:p>
            <w:pPr>
              <w:jc w:val="right"/>
              <w:ind w:right="334"/>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7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r>
      <w:tr>
        <w:trPr>
          <w:trHeight w:val="196"/>
        </w:trPr>
        <w:tc>
          <w:tcPr>
            <w:tcW w:w="7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40" w:type="dxa"/>
            <w:vAlign w:val="bottom"/>
            <w:gridSpan w:val="4"/>
          </w:tcPr>
          <w:p>
            <w:pPr>
              <w:jc w:val="right"/>
              <w:ind w:right="119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195,159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206,714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Unbilled</w:t>
            </w:r>
          </w:p>
        </w:tc>
        <w:tc>
          <w:tcPr>
            <w:tcW w:w="3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154,365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127,651</w:t>
            </w:r>
          </w:p>
        </w:tc>
      </w:tr>
      <w:tr>
        <w:trPr>
          <w:trHeight w:val="27"/>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349,524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334,365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(2,568)</w:t>
            </w:r>
          </w:p>
        </w:tc>
      </w:tr>
      <w:tr>
        <w:trPr>
          <w:trHeight w:val="27"/>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receivables</w:t>
            </w: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344,771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331,797</w:t>
            </w: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Less: long-term receivables *</w:t>
            </w:r>
          </w:p>
        </w:tc>
        <w:tc>
          <w:tcPr>
            <w:tcW w:w="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(34,370)</w:t>
            </w:r>
          </w:p>
        </w:tc>
      </w:tr>
      <w:tr>
        <w:trPr>
          <w:trHeight w:val="27"/>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receivables *</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303,558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297,427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0" w:firstLine="2"/>
        <w:spacing w:after="0" w:line="277" w:lineRule="auto"/>
        <w:tabs>
          <w:tab w:leader="none" w:pos="3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Short-term receivables and long-term receivables were recorded in accounts receivable, net and other assets, respectively, within the accompanying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-302260</wp:posOffset>
            </wp:positionV>
            <wp:extent cx="13798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Contract assets balance at June 30, 2020 and September 30, 2019 was immaterial.</w:t>
      </w:r>
    </w:p>
    <w:p>
      <w:pPr>
        <w:spacing w:after="0" w:line="171"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Deferred revenue primarily relates to our maintenance and SaaS contracts billed annually in advance and generally recognized ratably over the term of the service period. Significant changes in the deferred revenues balances during the nine months ended June 30, 2020 were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jc w:val="right"/>
              <w:ind w:right="33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9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June 30, 2020</w:t>
            </w:r>
          </w:p>
        </w:tc>
      </w:tr>
      <w:tr>
        <w:trPr>
          <w:trHeight w:val="250"/>
        </w:trPr>
        <w:tc>
          <w:tcPr>
            <w:tcW w:w="9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478"/>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revenues at September 30,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116,320</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Revenue recognized that was included in the deferred revenues balance at the beginning of the period</w:t>
            </w: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(91,337)</w:t>
            </w:r>
          </w:p>
        </w:tc>
      </w:tr>
      <w:tr>
        <w:trPr>
          <w:trHeight w:val="27"/>
        </w:trPr>
        <w:tc>
          <w:tcPr>
            <w:tcW w:w="9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billings, excluding amounts recognized as revenue during the period</w:t>
            </w: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86,749</w:t>
            </w:r>
          </w:p>
        </w:tc>
      </w:tr>
      <w:tr>
        <w:trPr>
          <w:trHeight w:val="257"/>
        </w:trPr>
        <w:tc>
          <w:tcPr>
            <w:tcW w:w="9220" w:type="dxa"/>
            <w:vAlign w:val="bottom"/>
          </w:tcPr>
          <w:p>
            <w:pPr>
              <w:ind w:left="40"/>
              <w:spacing w:after="0"/>
              <w:rPr>
                <w:sz w:val="20"/>
                <w:szCs w:val="20"/>
                <w:color w:val="auto"/>
              </w:rPr>
            </w:pPr>
            <w:r>
              <w:rPr>
                <w:rFonts w:ascii="Arial" w:cs="Arial" w:eastAsia="Arial" w:hAnsi="Arial"/>
                <w:sz w:val="18"/>
                <w:szCs w:val="18"/>
                <w:color w:val="auto"/>
              </w:rPr>
              <w:t>Deferred revenues at June 30, 2020</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111,732</w:t>
            </w:r>
          </w:p>
        </w:tc>
      </w:tr>
      <w:tr>
        <w:trPr>
          <w:trHeight w:val="20"/>
        </w:trPr>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8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firstLine="8"/>
        <w:spacing w:after="0" w:line="259" w:lineRule="auto"/>
        <w:tabs>
          <w:tab w:leader="none" w:pos="2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Deferred revenues at September 30, 2019 included current portion of $111.0 million and long-term portion of $5.3 million that were recorded in deferred revenue and other liabilities, respectively, within the condensed consolidated balance sheets. Deferred revenues at June 30, 2020 included current portion of $105.8 million and long-term portion of $5.9 million that were recorded in deferred revenue and other liabilities, respectively, within the condensed consolidated balance sheets.</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SaaS subscription term with revenue recognized ratably over the contract period.</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13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that will be recognized in future periods from usage-based royalty from license sales;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SaaS transactional revenue from variable considerations that will be recognized in the distinct service period during which it is earned; and</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from variable considerations that will be recognized in accordance with the “right-to-invoice” practical expedient, such as fees from our professional services billed based on a time and materials basis.</w:t>
      </w:r>
    </w:p>
    <w:p>
      <w:pPr>
        <w:spacing w:after="0" w:line="13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Revenue allocated to remaining performance obligations was $247.2 million as of June 30, 2020, of which we expect to recognize approximately 54% over the next 18 months and the remainder thereafter.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lease office space and data centers under operating lease arrangements, which constitute the majority of our lease obligations. We also enter into finance lease agreements from time to time for certain computer equipment. For any lease with a lease term in excess of 12 months, the related lease assets and liabilities are recognized on our condensed consolidated balance sheets as either operating or finance leases at the commencement of an agreement where it is determined that a lease exists. We have lease agreements that contain both lease and non-lease components, and we have elected to combine these components together and account for them as a single lease component for all classes of assets. Leases with a lease term of 12 months or less are not recorded on our condensed consolidated balance sheets. Furthermore, we recognize lease expense for these leases on a straight-line basis over the lease term.</w:t>
      </w:r>
    </w:p>
    <w:p>
      <w:pPr>
        <w:spacing w:after="0" w:line="15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Operating lease assets represent the right to use an underlying asset for the lease term and operating lease liabilities represent the obligation to make lease payments arising from the lease. These assets and liabilities are recognized based on the present value of future payments over the lease term at the commencement date. We use a collateralized incremental borrowing rate based on the information available at the commencement date, including the lease term, in determining the present value of future payments. In calculating the incremental borrowing rates, we consider recent ratings from credit agencies and current lease demographic information. Our operating leases also typically require payment of real estate taxes, common area maintenance, insurance and other operating costs as well as payments that are adjusted based on a consumer price index. These components comprise the majority of our variable lease cost and are excluded from the present value of our lease obligations. In instances where they are fixed, they are included due to our election to combine lease and non-lease components. Operating lease assets also include prepaid lease payments and initial direct costs, and are reduced by lease incentives. Our lease terms generally do not include options to extend or terminate the lease unless it is reasonably certain that the option will be exercised. Fixed payments may contain predetermined fixed rent escalations. We recognize the related rent expense on a straight-line basis from the commencement date to the end of the lease term.</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lease balances within the condensed consolidated balance sheets: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260" w:type="dxa"/>
            <w:vAlign w:val="bottom"/>
            <w:gridSpan w:val="2"/>
          </w:tcPr>
          <w:p>
            <w:pPr>
              <w:ind w:left="860"/>
              <w:spacing w:after="0"/>
              <w:rPr>
                <w:sz w:val="20"/>
                <w:szCs w:val="20"/>
                <w:color w:val="auto"/>
              </w:rPr>
            </w:pPr>
            <w:r>
              <w:rPr>
                <w:rFonts w:ascii="Arial" w:cs="Arial" w:eastAsia="Arial" w:hAnsi="Arial"/>
                <w:sz w:val="14"/>
                <w:szCs w:val="14"/>
                <w:b w:val="1"/>
                <w:bCs w:val="1"/>
                <w:color w:val="auto"/>
              </w:rPr>
              <w:t>Balance Sheet Location</w:t>
            </w:r>
          </w:p>
        </w:tc>
        <w:tc>
          <w:tcPr>
            <w:tcW w:w="300" w:type="dxa"/>
            <w:vAlign w:val="bottom"/>
          </w:tcPr>
          <w:p>
            <w:pPr>
              <w:spacing w:after="0"/>
              <w:rPr>
                <w:sz w:val="16"/>
                <w:szCs w:val="16"/>
                <w:color w:val="auto"/>
              </w:rPr>
            </w:pPr>
          </w:p>
        </w:tc>
        <w:tc>
          <w:tcPr>
            <w:tcW w:w="160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 2020</w:t>
            </w:r>
          </w:p>
        </w:tc>
      </w:tr>
      <w:tr>
        <w:trPr>
          <w:trHeight w:val="263"/>
        </w:trPr>
        <w:tc>
          <w:tcPr>
            <w:tcW w:w="6080" w:type="dxa"/>
            <w:vAlign w:val="bottom"/>
          </w:tcPr>
          <w:p>
            <w:pPr>
              <w:spacing w:after="0"/>
              <w:rPr>
                <w:sz w:val="22"/>
                <w:szCs w:val="22"/>
                <w:color w:val="auto"/>
              </w:rPr>
            </w:pPr>
          </w:p>
        </w:tc>
        <w:tc>
          <w:tcPr>
            <w:tcW w:w="3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260" w:type="dxa"/>
            <w:vAlign w:val="bottom"/>
            <w:gridSpan w:val="2"/>
          </w:tcPr>
          <w:p>
            <w:pPr>
              <w:ind w:left="4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84,106</w:t>
            </w:r>
          </w:p>
        </w:tc>
      </w:tr>
      <w:tr>
        <w:trPr>
          <w:trHeight w:val="27"/>
        </w:trPr>
        <w:tc>
          <w:tcPr>
            <w:tcW w:w="6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 (*)</w:t>
            </w:r>
          </w:p>
        </w:tc>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9,810</w:t>
            </w:r>
          </w:p>
        </w:tc>
      </w:tr>
      <w:tr>
        <w:trPr>
          <w:trHeight w:val="297"/>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lease assets</w:t>
            </w:r>
          </w:p>
        </w:tc>
        <w:tc>
          <w:tcPr>
            <w:tcW w:w="3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93,916</w:t>
            </w: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Current:</w:t>
            </w:r>
          </w:p>
        </w:tc>
        <w:tc>
          <w:tcPr>
            <w:tcW w:w="3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20,012</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3260" w:type="dxa"/>
            <w:vAlign w:val="bottom"/>
            <w:gridSpan w:val="2"/>
          </w:tcPr>
          <w:p>
            <w:pPr>
              <w:ind w:left="40"/>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5,248</w:t>
            </w:r>
          </w:p>
        </w:tc>
      </w:tr>
      <w:tr>
        <w:trPr>
          <w:trHeight w:val="27"/>
        </w:trPr>
        <w:tc>
          <w:tcPr>
            <w:tcW w:w="6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3260" w:type="dxa"/>
            <w:vAlign w:val="bottom"/>
            <w:gridSpan w:val="2"/>
          </w:tcPr>
          <w:p>
            <w:pPr>
              <w:ind w:left="4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74,000</w:t>
            </w:r>
          </w:p>
        </w:tc>
      </w:tr>
      <w:tr>
        <w:trPr>
          <w:trHeight w:val="27"/>
        </w:trPr>
        <w:tc>
          <w:tcPr>
            <w:tcW w:w="6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5,857</w:t>
            </w:r>
          </w:p>
        </w:tc>
      </w:tr>
      <w:tr>
        <w:trPr>
          <w:trHeight w:val="257"/>
        </w:trPr>
        <w:tc>
          <w:tcPr>
            <w:tcW w:w="6080" w:type="dxa"/>
            <w:vAlign w:val="bottom"/>
          </w:tcPr>
          <w:p>
            <w:pPr>
              <w:ind w:left="340"/>
              <w:spacing w:after="0"/>
              <w:rPr>
                <w:sz w:val="20"/>
                <w:szCs w:val="20"/>
                <w:color w:val="auto"/>
              </w:rPr>
            </w:pPr>
            <w:r>
              <w:rPr>
                <w:rFonts w:ascii="Arial" w:cs="Arial" w:eastAsia="Arial" w:hAnsi="Arial"/>
                <w:sz w:val="18"/>
                <w:szCs w:val="18"/>
                <w:color w:val="auto"/>
              </w:rPr>
              <w:t>Total lease liabilities</w:t>
            </w:r>
          </w:p>
        </w:tc>
        <w:tc>
          <w:tcPr>
            <w:tcW w:w="3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105,117</w:t>
            </w:r>
          </w:p>
        </w:tc>
      </w:tr>
      <w:tr>
        <w:trPr>
          <w:trHeight w:val="20"/>
        </w:trPr>
        <w:tc>
          <w:tcPr>
            <w:tcW w:w="6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right="5220" w:hanging="412"/>
        <w:spacing w:after="0" w:line="716" w:lineRule="auto"/>
        <w:tabs>
          <w:tab w:leader="none" w:pos="2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Finance leases are recorded net of accumulated depreciation of $3.1 million. The components of our operating and finance lease expenses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-695960</wp:posOffset>
            </wp:positionV>
            <wp:extent cx="1388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7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Quarter Ended</w:t>
            </w:r>
          </w:p>
        </w:tc>
        <w:tc>
          <w:tcPr>
            <w:tcW w:w="1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Nine Months Ended June 30,</w:t>
            </w:r>
          </w:p>
        </w:tc>
      </w:tr>
      <w:tr>
        <w:trPr>
          <w:trHeight w:val="192"/>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June 30, 2020</w:t>
            </w:r>
          </w:p>
        </w:tc>
        <w:tc>
          <w:tcPr>
            <w:tcW w:w="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2020</w:t>
            </w:r>
          </w:p>
        </w:tc>
      </w:tr>
      <w:tr>
        <w:trPr>
          <w:trHeight w:val="250"/>
        </w:trPr>
        <w:tc>
          <w:tcPr>
            <w:tcW w:w="7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1"/>
                <w:szCs w:val="2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5,763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17,689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of lease assets</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2,316</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28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235</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28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2,578</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cost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7,900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23,869</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weighted average lease term and weighted average discount rates related to our operating and finance leases: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540" w:type="dxa"/>
            <w:vAlign w:val="bottom"/>
            <w:tcBorders>
              <w:bottom w:val="single" w:sz="8" w:color="auto"/>
            </w:tcBorders>
            <w:gridSpan w:val="3"/>
          </w:tcPr>
          <w:p>
            <w:pPr>
              <w:ind w:left="1640"/>
              <w:spacing w:after="0"/>
              <w:rPr>
                <w:sz w:val="20"/>
                <w:szCs w:val="20"/>
                <w:color w:val="auto"/>
              </w:rPr>
            </w:pPr>
            <w:r>
              <w:rPr>
                <w:rFonts w:ascii="Arial" w:cs="Arial" w:eastAsia="Arial" w:hAnsi="Arial"/>
                <w:sz w:val="14"/>
                <w:szCs w:val="14"/>
                <w:b w:val="1"/>
                <w:bCs w:val="1"/>
                <w:color w:val="auto"/>
                <w:w w:val="96"/>
              </w:rPr>
              <w:t>June 30, 2020</w:t>
            </w:r>
          </w:p>
        </w:tc>
        <w:tc>
          <w:tcPr>
            <w:tcW w:w="1520" w:type="dxa"/>
            <w:vAlign w:val="bottom"/>
            <w:tcBorders>
              <w:bottom w:val="single" w:sz="8" w:color="auto"/>
            </w:tcBorders>
          </w:tcPr>
          <w:p>
            <w:pPr>
              <w:spacing w:after="0"/>
              <w:rPr>
                <w:sz w:val="16"/>
                <w:szCs w:val="16"/>
                <w:color w:val="auto"/>
              </w:rPr>
            </w:pPr>
          </w:p>
        </w:tc>
      </w:tr>
      <w:tr>
        <w:trPr>
          <w:trHeight w:val="263"/>
        </w:trPr>
        <w:tc>
          <w:tcPr>
            <w:tcW w:w="4660" w:type="dxa"/>
            <w:vAlign w:val="bottom"/>
            <w:tcBorders>
              <w:bottom w:val="single" w:sz="8" w:color="CCEEFF"/>
            </w:tcBorders>
          </w:tcPr>
          <w:p>
            <w:pPr>
              <w:spacing w:after="0"/>
              <w:rPr>
                <w:sz w:val="22"/>
                <w:szCs w:val="22"/>
                <w:color w:val="auto"/>
              </w:rPr>
            </w:pPr>
          </w:p>
        </w:tc>
        <w:tc>
          <w:tcPr>
            <w:tcW w:w="252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3"/>
              </w:rPr>
              <w:t>Finance Leases</w:t>
            </w: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months)</w:t>
            </w:r>
          </w:p>
        </w:tc>
        <w:tc>
          <w:tcPr>
            <w:tcW w:w="45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30</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675"/>
        </w:trPr>
        <w:tc>
          <w:tcPr>
            <w:tcW w:w="4660" w:type="dxa"/>
            <w:vAlign w:val="bottom"/>
          </w:tcPr>
          <w:p>
            <w:pPr>
              <w:spacing w:after="0"/>
              <w:rPr>
                <w:sz w:val="24"/>
                <w:szCs w:val="24"/>
                <w:color w:val="auto"/>
              </w:rPr>
            </w:pPr>
          </w:p>
        </w:tc>
        <w:tc>
          <w:tcPr>
            <w:tcW w:w="2520" w:type="dxa"/>
            <w:vAlign w:val="bottom"/>
          </w:tcPr>
          <w:p>
            <w:pPr>
              <w:jc w:val="right"/>
              <w:ind w:right="1370"/>
              <w:spacing w:after="0"/>
              <w:rPr>
                <w:sz w:val="20"/>
                <w:szCs w:val="20"/>
                <w:color w:val="auto"/>
              </w:rPr>
            </w:pPr>
            <w:r>
              <w:rPr>
                <w:rFonts w:ascii="Arial" w:cs="Arial" w:eastAsia="Arial" w:hAnsi="Arial"/>
                <w:sz w:val="18"/>
                <w:szCs w:val="18"/>
                <w:color w:val="auto"/>
              </w:rPr>
              <w:t>19</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our operating and finance leases was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 June 30,</w:t>
            </w:r>
          </w:p>
        </w:tc>
      </w:tr>
      <w:tr>
        <w:trPr>
          <w:trHeight w:val="192"/>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2020</w:t>
            </w:r>
          </w:p>
        </w:tc>
      </w:tr>
      <w:tr>
        <w:trPr>
          <w:trHeight w:val="250"/>
        </w:trPr>
        <w:tc>
          <w:tcPr>
            <w:tcW w:w="7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center"/>
              <w:ind w:right="213"/>
              <w:spacing w:after="0"/>
              <w:rPr>
                <w:sz w:val="20"/>
                <w:szCs w:val="20"/>
                <w:color w:val="auto"/>
              </w:rPr>
            </w:pPr>
            <w:r>
              <w:rPr>
                <w:rFonts w:ascii="Arial" w:cs="Arial" w:eastAsia="Arial" w:hAnsi="Arial"/>
                <w:sz w:val="14"/>
                <w:szCs w:val="14"/>
                <w:b w:val="1"/>
                <w:bCs w:val="1"/>
                <w:color w:val="auto"/>
                <w:w w:val="93"/>
              </w:rPr>
              <w:t>(In thousands)</w:t>
            </w: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7320" w:type="dxa"/>
            <w:vAlign w:val="bottom"/>
          </w:tcPr>
          <w:p>
            <w:pPr>
              <w:ind w:left="220"/>
              <w:spacing w:after="0"/>
              <w:rPr>
                <w:sz w:val="20"/>
                <w:szCs w:val="20"/>
                <w:color w:val="auto"/>
              </w:rPr>
            </w:pPr>
            <w:r>
              <w:rPr>
                <w:rFonts w:ascii="Arial" w:cs="Arial" w:eastAsia="Arial" w:hAnsi="Arial"/>
                <w:sz w:val="18"/>
                <w:szCs w:val="18"/>
                <w:color w:val="auto"/>
              </w:rPr>
              <w:t>Operating cash outflow for operating leases</w:t>
            </w: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95"/>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14,194</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cash outflow for 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r>
      <w:tr>
        <w:trPr>
          <w:trHeight w:val="243"/>
        </w:trPr>
        <w:tc>
          <w:tcPr>
            <w:tcW w:w="7320" w:type="dxa"/>
            <w:vAlign w:val="bottom"/>
          </w:tcPr>
          <w:p>
            <w:pPr>
              <w:ind w:left="220"/>
              <w:spacing w:after="0"/>
              <w:rPr>
                <w:sz w:val="20"/>
                <w:szCs w:val="20"/>
                <w:color w:val="auto"/>
              </w:rPr>
            </w:pPr>
            <w:r>
              <w:rPr>
                <w:rFonts w:ascii="Arial" w:cs="Arial" w:eastAsia="Arial" w:hAnsi="Arial"/>
                <w:sz w:val="18"/>
                <w:szCs w:val="18"/>
                <w:color w:val="auto"/>
              </w:rPr>
              <w:t>Financing cash outflow for finance leases</w:t>
            </w: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811</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assets obtained in exchange for new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10,437</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6,489</w:t>
            </w:r>
          </w:p>
        </w:tc>
      </w:tr>
      <w:tr>
        <w:trPr>
          <w:trHeight w:val="810"/>
        </w:trPr>
        <w:tc>
          <w:tcPr>
            <w:tcW w:w="7320" w:type="dxa"/>
            <w:vAlign w:val="bottom"/>
          </w:tcPr>
          <w:p>
            <w:pPr>
              <w:ind w:left="420"/>
              <w:spacing w:after="0"/>
              <w:rPr>
                <w:sz w:val="20"/>
                <w:szCs w:val="20"/>
                <w:color w:val="auto"/>
              </w:rPr>
            </w:pPr>
            <w:r>
              <w:rPr>
                <w:rFonts w:ascii="Arial" w:cs="Arial" w:eastAsia="Arial" w:hAnsi="Arial"/>
                <w:sz w:val="18"/>
                <w:szCs w:val="18"/>
                <w:color w:val="auto"/>
                <w:w w:val="91"/>
              </w:rPr>
              <w:t>Future lease payments under our non-cancellable leases as of June 30, 2020 were as follows: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575"/>
        </w:trPr>
        <w:tc>
          <w:tcPr>
            <w:tcW w:w="73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 Leases</w:t>
            </w:r>
          </w:p>
        </w:tc>
        <w:tc>
          <w:tcPr>
            <w:tcW w:w="300" w:type="dxa"/>
            <w:vAlign w:val="bottom"/>
          </w:tcPr>
          <w:p>
            <w:pPr>
              <w:spacing w:after="0"/>
              <w:rPr>
                <w:sz w:val="24"/>
                <w:szCs w:val="24"/>
                <w:color w:val="auto"/>
              </w:rPr>
            </w:pPr>
          </w:p>
        </w:tc>
        <w:tc>
          <w:tcPr>
            <w:tcW w:w="1600" w:type="dxa"/>
            <w:vAlign w:val="bottom"/>
          </w:tcPr>
          <w:p>
            <w:pPr>
              <w:jc w:val="center"/>
              <w:ind w:right="213"/>
              <w:spacing w:after="0"/>
              <w:rPr>
                <w:sz w:val="20"/>
                <w:szCs w:val="20"/>
                <w:color w:val="auto"/>
              </w:rPr>
            </w:pPr>
            <w:r>
              <w:rPr>
                <w:rFonts w:ascii="Arial" w:cs="Arial" w:eastAsia="Arial" w:hAnsi="Arial"/>
                <w:sz w:val="14"/>
                <w:szCs w:val="14"/>
                <w:b w:val="1"/>
                <w:bCs w:val="1"/>
                <w:color w:val="auto"/>
                <w:w w:val="90"/>
              </w:rPr>
              <w:t>Finance Leases</w:t>
            </w:r>
          </w:p>
        </w:tc>
      </w:tr>
      <w:tr>
        <w:trPr>
          <w:trHeight w:val="249"/>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2020</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2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23,669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4,175</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2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17,312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784</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Fiscal 2025</w:t>
            </w:r>
          </w:p>
        </w:tc>
        <w:tc>
          <w:tcPr>
            <w:tcW w:w="2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8,361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15,267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tcPr>
          <w:p>
            <w:pPr>
              <w:ind w:left="300"/>
              <w:spacing w:after="0"/>
              <w:rPr>
                <w:sz w:val="20"/>
                <w:szCs w:val="20"/>
                <w:color w:val="auto"/>
              </w:rPr>
            </w:pPr>
            <w:r>
              <w:rPr>
                <w:rFonts w:ascii="Arial" w:cs="Arial" w:eastAsia="Arial" w:hAnsi="Arial"/>
                <w:sz w:val="18"/>
                <w:szCs w:val="18"/>
                <w:color w:val="auto"/>
              </w:rPr>
              <w:t>Total future undiscounted lease payments</w:t>
            </w: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104,076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11,517</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57"/>
        </w:trPr>
        <w:tc>
          <w:tcPr>
            <w:tcW w:w="7320" w:type="dxa"/>
            <w:vAlign w:val="bottom"/>
          </w:tcPr>
          <w:p>
            <w:pPr>
              <w:ind w:left="300"/>
              <w:spacing w:after="0"/>
              <w:rPr>
                <w:sz w:val="20"/>
                <w:szCs w:val="20"/>
                <w:color w:val="auto"/>
              </w:rPr>
            </w:pPr>
            <w:r>
              <w:rPr>
                <w:rFonts w:ascii="Arial" w:cs="Arial" w:eastAsia="Arial" w:hAnsi="Arial"/>
                <w:sz w:val="18"/>
                <w:szCs w:val="18"/>
                <w:color w:val="auto"/>
              </w:rPr>
              <w:t>Total reported lease liability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94,012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11,105</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accordance with the prior guidance—ASC 840, Leases—our leases were previously designated as either capital or operating. Previously designated capital leases are now considered finance leases under the new guidance, Topic 842. The designation of operating leases remains substantially unchanged under the new guidance. The future minimum lease payments by fiscal year as determined prior to the adoption of Topic 842 under our previously designated capital and operating leases as disclosed in our Annual Report on Form 10-K for the fiscal year ended September 30, 2019, were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249"/>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3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3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19,969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3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3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16,940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3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24,431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minimum lease payments</w:t>
            </w:r>
          </w:p>
        </w:tc>
        <w:tc>
          <w:tcPr>
            <w:tcW w:w="3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113,746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8"/>
                <w:szCs w:val="18"/>
                <w:color w:val="auto"/>
              </w:rPr>
              <w:t>Less amount representing interest</w:t>
            </w:r>
          </w:p>
        </w:tc>
        <w:tc>
          <w:tcPr>
            <w:tcW w:w="3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line="20" w:lineRule="exact"/>
              <w:rPr>
                <w:sz w:val="1"/>
                <w:szCs w:val="1"/>
                <w:color w:val="auto"/>
              </w:rPr>
            </w:pPr>
          </w:p>
        </w:tc>
      </w:tr>
      <w:tr>
        <w:trPr>
          <w:trHeight w:val="230"/>
        </w:trPr>
        <w:tc>
          <w:tcPr>
            <w:tcW w:w="4420" w:type="dxa"/>
            <w:vAlign w:val="bottom"/>
            <w:vMerge w:val="continue"/>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Present value of minimum lease payments</w:t>
            </w:r>
          </w:p>
        </w:tc>
        <w:tc>
          <w:tcPr>
            <w:tcW w:w="3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120" w:type="dxa"/>
            <w:vAlign w:val="bottom"/>
            <w:vMerge w:val="restart"/>
          </w:tcPr>
          <w:p>
            <w:pPr>
              <w:jc w:val="right"/>
              <w:ind w:right="173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44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July 2020, our Board of Directors approved a new stock repurchase program following the completion of a similar program that was approved in July 2019. The new program is open-ended and authorizes repurchases of shares of our common stock up to an aggregate cost of $250.0 million in the open market or in negotiated transactions.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i w:val="1"/>
          <w:iCs w:val="1"/>
          <w:color w:val="auto"/>
        </w:rPr>
        <w:t>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w:t>
      </w:r>
    </w:p>
    <w:p>
      <w:pPr>
        <w:spacing w:after="0" w:line="1" w:lineRule="exact"/>
        <w:rPr>
          <w:sz w:val="20"/>
          <w:szCs w:val="20"/>
          <w:color w:val="auto"/>
        </w:rPr>
      </w:pPr>
    </w:p>
    <w:p>
      <w:pPr>
        <w:jc w:val="both"/>
        <w:ind w:firstLine="8"/>
        <w:spacing w:after="0" w:line="266" w:lineRule="auto"/>
        <w:tabs>
          <w:tab w:leader="none" w:pos="239"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projections of revenue, income or loss, expenses, earnings or loss per share, the payment or nonpayment of dividends,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business relationships with vendors, customers or collaborators, including the proportion of revenues generated from international as opposed to domestic customers; and (v) statements regarding products, their characteristics, performance, sales potential or effect in the hands of customers. Words such as “believes,” “anticipates,” “expects,” “intends,” “targeted,” “should,” “potential,” “goals,” “strategy,” “outlook,”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II, Item 1A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of this Quarterly Report on Form 10-Q, including the impact of COVID-19 on macroeconomic conditions and the Company’s business, operations and personnel.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Current Reports on Form 8-K to be filed by us in fiscal 2020.</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7"/>
          <w:szCs w:val="17"/>
          <w:color w:val="auto"/>
        </w:rPr>
        <w:t>We use analytics to help businesses automate, improve and connect decisions across their enterprise — an approach we commonly refer to as decision management. Our predictive analytics, which includes the industry-standard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 and our decision management systems leverage the use of big data and mathematical algorithms to predict, categorize, and describe consumer behavior in order to power hundreds of billions of customer decisions each year. We help thousands of companies in over 100 countries use our decision management technology to target and acquire customers more efficiently, increase customer value, detect and reduce fraud and credit losses, lower operating expenses, and enter new markets more profitably. Most leading banks and credit card issuers rely on our solutions, as do insurers, retailers, telecommunications providers, pharmaceutical companies, healthcare organizations, public agencies and organizations in other industries. We also serve consumers through online services that enable people to purchase and understand their FICO</w:t>
      </w:r>
      <w:r>
        <w:rPr>
          <w:rFonts w:ascii="Arial" w:cs="Arial" w:eastAsia="Arial" w:hAnsi="Arial"/>
          <w:sz w:val="20"/>
          <w:szCs w:val="20"/>
          <w:color w:val="auto"/>
          <w:vertAlign w:val="superscript"/>
        </w:rPr>
        <w:t>®</w:t>
      </w:r>
      <w:r>
        <w:rPr>
          <w:rFonts w:ascii="Arial" w:cs="Arial" w:eastAsia="Arial" w:hAnsi="Arial"/>
          <w:sz w:val="17"/>
          <w:szCs w:val="17"/>
          <w:color w:val="auto"/>
        </w:rPr>
        <w:t xml:space="preserve"> Scores, the standard measure of consumer credit risk in the U.S., and empower them to manage their financial health. Most of our solutions address customer engagement, including customer acquisition, customer onboarding, customer servicing and management, and customer protection. We also help businesses improve non-customer decisions such as streamlining transaction and claims processing, optimizing logistics, and identifying and quantifying security risk. Our solutions enable users to make decisions that are more precise, consistent and agile, and that systematically advance business goals. This helps our clients to reduce the cost of doing business, increase revenues and profitability, reduce losses from risks and fraud, and increase customer loyalty.</w:t>
      </w:r>
    </w:p>
    <w:p>
      <w:pPr>
        <w:spacing w:after="0" w:line="13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derive a significant portion of our revenues from clients outside the U.S. International revenues accounted for 31% and 35% of total consolidated revenues for the quarters ended June 30, 2020 and 2019, respectively, and 32% and 34% of total consolidated revenues for the nine months ended June 30, 2020 and 2019, respectively. A significant portion of our revenues are derived from the sale of products and services within the banking (including consumer credit) industry, and 86% and 88% of our revenues were derived from within this industry during the quarters ended June 30, 2020 and 2019, respectively, and 86% and 87% of our revenues were derived from within this industry during the nine months ended June 30, 2020 and 2019, respectively. In addition, we derive a significant share of revenues from transactional or unit-based software license fees, transactional fees derived under credit scoring, data processing, data management and SaaS subscription services arrangements, and annual software maintenance fees. Arrangements with transactional or unit-based pricing accounted for 79% and 72% of our revenues during the quarters ended June 30, 2020 and 2019, respectively. Arrangements with transactional or unit-based pricing accounted for 77% and 74% of our revenues during the nine months ended June 30, 2020 and 2019,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Revenue for the quarter ended June 30, 2020 was $313.7 million, slightly down from $314.2 for the quarter ended June 30, 2019. Revenue increased 8% to $920.2 million during the nine months ended June 30, 2020 from $854.7 million during the nine months ended June 30, 2019. We continue to drive growth in our Scores segment. Scores revenue increased 14% to $131.6 million during the quarter ended June 30, 2020 from $115.1 million during the quarter ended June 30, 2019, and 23% to $375.8 million during the nine months ended June 30, 2020 from $305.2 million during the nine months ended June 30, 2019. Scores operating income increased 11% to $110.2 million during the quarter ended June 30, 2020 from $99.3 million during the quarter ended June 30, 2019, and 24% to $321.1 million during the nine months ended June 30, 2020 from $259.7 million during the nine months ended June 30, 2019. For our Applications and Decision Management Software segments, cloud business continues to grow as we pursue our cloud-first strategy. Cloud revenues increased 11% to $76.6 million during the quarter ended June 30, 2020 from $69.3 million during the quarter ended June 30, 2019, and 12% to $224.0 million during the nine months ended June 30, 2020 from $199.5 million during the nine months ended June 30, 2019.</w:t>
      </w:r>
    </w:p>
    <w:p>
      <w:pPr>
        <w:spacing w:after="0" w:line="11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Operating income decreased 3% to $82.9 million during the quarter ended June 30, 2020 from $85.7 million during the quarter ended June 30, 2019, and net earnings of $64.1 million for the quarter ended June 30, 2020 was consistent with the quarter ended June 30, 2019. Operating income increased 15% to $210.5 million during the nine months ended June 30, 2020 from $183.3 million during the nine months ended June 30, 2019, and net earnings increased 29% to $177.3 million from $137.5 million, driven by higher operating income as well as higher excess tax benefits related to stock-based compensation during the nine months ended June 30, 2020.</w:t>
      </w:r>
    </w:p>
    <w:p>
      <w:pPr>
        <w:spacing w:after="0" w:line="13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continue to enhance stockholder value by returning cash to stockholders through our stock repurchase program. During the quarter and nine months ended June 30, 2020, we repurchased approximately 0.2 million shares at a total repurchase price of $54.0 million and 0.6 million shares at a total repurchase price of $210.0 million, respectively. As of June 30, 2020, we had $10.3 million remaining under our then-current stock repurchase program.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18"/>
          <w:szCs w:val="18"/>
          <w:color w:val="auto"/>
        </w:rPr>
        <w:t>In March 2020, the World Health Organization declared the outbreak of COVID-19 a global pandemic, which has spread throughout the U.S. and the world. The COVID-19 pandemic has resulted in authorities implementing numerous measures to contain the virus, including quarantines, shelter-in-place orders, travel bans and restrictions, and business limitations and shutdowns.</w:t>
      </w:r>
    </w:p>
    <w:p>
      <w:pPr>
        <w:spacing w:after="0" w:line="184"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Our focus remains on promoting employee health and safety, serving our customers and ensuring business continuity. Since March 2020, our employees have been instructed to work from home in each country where we operate to support their health and well-being as well as for our customers, partners and communities. We have also substantially reduced employee travel to only essential business needs. We cannot predict when or how we will begin to lift the actions put in place, but as of the date of this filing, we do not believe our work-from-home protocol has had a material adverse impact on our internal controls, financial reporting systems or our operations.</w:t>
      </w:r>
    </w:p>
    <w:p>
      <w:pPr>
        <w:spacing w:after="0" w:line="188" w:lineRule="exact"/>
        <w:rPr>
          <w:sz w:val="20"/>
          <w:szCs w:val="20"/>
          <w:color w:val="auto"/>
        </w:rPr>
      </w:pPr>
    </w:p>
    <w:p>
      <w:pPr>
        <w:jc w:val="both"/>
        <w:ind w:firstLine="378"/>
        <w:spacing w:after="0" w:line="271" w:lineRule="auto"/>
        <w:rPr>
          <w:sz w:val="20"/>
          <w:szCs w:val="20"/>
          <w:color w:val="auto"/>
        </w:rPr>
      </w:pPr>
      <w:r>
        <w:rPr>
          <w:rFonts w:ascii="Arial" w:cs="Arial" w:eastAsia="Arial" w:hAnsi="Arial"/>
          <w:sz w:val="17"/>
          <w:szCs w:val="17"/>
          <w:color w:val="auto"/>
        </w:rPr>
        <w:t>Our operational flexibility and strong balance sheet allowed us to successfully manage through the initial impact of COVID-19 while protecting our cash flow and liquidity. However, certain areas of our business have been adversely impacted as a result of the pandemic’s global economic impact. For example, COVID-19 has been adversely affecting certain purchasing decisions by our customers in our Applications and Decision Management Software segments. For our Scores segment, we have seen a decline in auto and unsecured originations volumes, but an increase in mortgage volume during the quarter ended June 30, 2020 due to strong refinancing activities boosted by low interest rates. Additionally, we have granted and may continue to grant extended payment terms to a small number of customers as a result of COVID-19. We have not and do not plan to modify our customer agreements in a manner that would materially impact our financial condition or results of operations. Finally, contrary to our original expectations, a decrease in sales-related travel activity has not materially affected our ability to consummate sales.</w:t>
      </w:r>
    </w:p>
    <w:p>
      <w:pPr>
        <w:spacing w:after="0" w:line="178"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We continue to manage our costs by limiting the addition of new employees and third-party contracted services, and substantially reducing employee travel and other discretionary spending. To the extent the business disruption continues for an extended period, additional cost management actions will be considered and may become necessary. Any future asset impairment charges, increase in allowance for doubtful accounts, or restructuring charges will be dependent on the severity and duration of the pandemic.</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have not incurred significant disruptions thus far from the COVID-19 outbreak, due to numerous uncertainties, including the severity and duration of the pandemic, actions that may be taken by governmental authorities, the impact on the business of our clients, and other factors, we are unable to accurately predict the impact COVID-19 will have on our results of operations, financial condition, liquidity and cash flows. For more information, see Part II, Item 1A “Risk Factors” in this Form 10-Q.</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Management uses bookings as an indicator of our business performance. Bookings represent contracts signed in the current reporting period that generate current and future revenue streams. We consider contract terms, knowledge of the marketplace and experience with our customers, among other factors, when determining the estimated value of contract bookings. While we disclose estimated revenue expected to be recognized in the future related to unsatisfied performance obligations in Note 12 to the accompanying condensed consolidated financial statements, we believe bookings amount is still a meaningful measure of our business as it includes estimated revenues omitted from Note 12, such as usage-based royalties derived from our software licenses, among others.</w:t>
      </w:r>
    </w:p>
    <w:p>
      <w:pPr>
        <w:spacing w:after="0" w:line="192"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Bookings calculations have varying degrees of certainty depending on the revenue type and individual contract terms. Our revenue types are transactional and maintenance, professional services and license as defined in Revenue Recognition in the Critical Accounting Policy and Estimates. Our estimate of bookings is as of the end of the period in which a contract is signed, and we do not update initial booking estimates in future periods for changes between estimated and actual results. Actual revenue and the timing thereof could differ materially from our initial estimates. The following paragraphs discuss the key assumptions used to calculate bookings and the susceptibility of these assumptions to variability.</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Transactional and Maintenance Bookings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calculate transactional bookings as the total estimated volume of transactions or number of accounts under contract, multiplied by the contractual rate. Transactional contracts generally span multiple years and require us to make estimates about future transaction volumes or number of active accounts. We develop estimates from discussions with our customers and examinations of historical data from similar products and customer arrangements. Differences between estimated bookings and actual results occur due to variability in the volume of transactions or number of active accounts estimated. This variability is primarily caused by the following:</w:t>
      </w:r>
    </w:p>
    <w:p>
      <w:pPr>
        <w:spacing w:after="0" w:line="201" w:lineRule="exact"/>
        <w:rPr>
          <w:sz w:val="20"/>
          <w:szCs w:val="20"/>
          <w:color w:val="auto"/>
        </w:rPr>
      </w:pPr>
    </w:p>
    <w:p>
      <w:pPr>
        <w:ind w:left="1300" w:hanging="563"/>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health of the economy and economic trends in our customers’ industries;</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 performance of our customers relative to their competitors; and</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and other factors that affect the business environment in which our customers operate.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calculate maintenance bookings directly from the terms stated in the contract.</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Professional Services Bookings</w:t>
      </w:r>
    </w:p>
    <w:p>
      <w:pPr>
        <w:spacing w:after="0" w:line="117"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We calculate professional services bookings as the estimated number of hours to complete a project multiplied by the rate per hour. We estimate the number of hours based on our understanding of the project scope, conversations with customer personnel and our experience in estimating professional services projects. Estimated bookings may differ from actual results primarily due to differences in the actual number of hours incurred. These differences typically result from customer decisions to alter the mix of FICO and customer services resources used to complete a project.</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License Bookings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On-premises licenses are sold on a perpetual or term basis. When the fee is in the form of a fixed consideration, including the guaranteed minimum in usage-based royalty, the fixed amount is recorded as a license booking. The variable amount, including usage-based royalty not subject to the guaranteed minimum or earned in excess of the minimum amount is recorded as a transactional and maintenance booking. Please refer to Transactional and Maintenance Bookings above on how we develop estimates for such bookings.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Bookings Trend Analysis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Bookings</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Bookings</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0"/>
              </w:rPr>
              <w:t>Bookings</w:t>
            </w:r>
          </w:p>
        </w:tc>
        <w:tc>
          <w:tcPr>
            <w:tcW w:w="100" w:type="dxa"/>
            <w:vAlign w:val="bottom"/>
            <w:vMerge w:val="restart"/>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over $1</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Yield (1)</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Million</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 (2)</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(Months)</w:t>
            </w: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June 30, 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Quarter Ended June 30,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40" w:type="dxa"/>
            <w:vAlign w:val="bottom"/>
          </w:tcPr>
          <w:p>
            <w:pPr>
              <w:jc w:val="right"/>
              <w:ind w:right="2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Nine Months Ended June 30, 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302.4</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6"/>
              <w:spacing w:after="0" w:line="269" w:lineRule="exact"/>
              <w:rPr>
                <w:sz w:val="20"/>
                <w:szCs w:val="20"/>
                <w:color w:val="auto"/>
              </w:rPr>
            </w:pPr>
            <w:r>
              <w:rPr>
                <w:rFonts w:ascii="Arial" w:cs="Arial" w:eastAsia="Arial" w:hAnsi="Arial"/>
                <w:sz w:val="31"/>
                <w:szCs w:val="31"/>
                <w:color w:val="auto"/>
                <w:vertAlign w:val="subscript"/>
              </w:rPr>
              <w:t>NM</w:t>
            </w: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471"/>
        </w:trPr>
        <w:tc>
          <w:tcPr>
            <w:tcW w:w="5040" w:type="dxa"/>
            <w:vAlign w:val="bottom"/>
          </w:tcPr>
          <w:p>
            <w:pPr>
              <w:ind w:left="40"/>
              <w:spacing w:after="0"/>
              <w:rPr>
                <w:sz w:val="20"/>
                <w:szCs w:val="20"/>
                <w:color w:val="auto"/>
              </w:rPr>
            </w:pPr>
            <w:r>
              <w:rPr>
                <w:rFonts w:ascii="Arial" w:cs="Arial" w:eastAsia="Arial" w:hAnsi="Arial"/>
                <w:sz w:val="18"/>
                <w:szCs w:val="18"/>
                <w:color w:val="auto"/>
              </w:rPr>
              <w:t>Nine Months Ended June 30,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1440" w:type="dxa"/>
            <w:vAlign w:val="bottom"/>
          </w:tcPr>
          <w:p>
            <w:pPr>
              <w:jc w:val="right"/>
              <w:ind w:right="26"/>
              <w:spacing w:after="0"/>
              <w:rPr>
                <w:sz w:val="20"/>
                <w:szCs w:val="20"/>
                <w:color w:val="auto"/>
              </w:rPr>
            </w:pPr>
            <w:r>
              <w:rPr>
                <w:rFonts w:ascii="Arial" w:cs="Arial" w:eastAsia="Arial" w:hAnsi="Arial"/>
                <w:sz w:val="35"/>
                <w:szCs w:val="35"/>
                <w:color w:val="auto"/>
                <w:vertAlign w:val="subscript"/>
              </w:rPr>
              <w:t>NM</w:t>
            </w:r>
            <w:r>
              <w:rPr>
                <w:rFonts w:ascii="Arial" w:cs="Arial" w:eastAsia="Arial" w:hAnsi="Arial"/>
                <w:sz w:val="13"/>
                <w:szCs w:val="13"/>
                <w:color w:val="auto"/>
              </w:rPr>
              <w:t>(a)</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Bookings yield represents the percentage of revenue recognized from bookings for the periods indicated.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Weighted-average term of bookings measures the average term over which bookings are expected to be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38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ind w:left="340" w:hanging="332"/>
        <w:spacing w:after="0" w:line="26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NM - Measure is not meaningful as our estimate of bookings is as of the end of the period in which a contract is signed, and we do not update our initial booking estimates in future periods for changes between estimated and actual results.</w:t>
      </w:r>
    </w:p>
    <w:p>
      <w:pPr>
        <w:spacing w:after="0" w:line="185"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Transactional and maintenance bookings were 49% and 48% of total bookings for the quarters ended June 30, 2020 and 2019, respectively. Professional services bookings were 39% and 37% of total bookings for the quarters ended June 30, 2020 and 2019, respectively. License bookings were 12% and 15% of total bookings for the quarters ended June 30, 2020 and 2019, respectively.</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Transactional and maintenance bookings were 44% and 46% of total bookings for the nine months ended June 30, 2020 and 2019, respectively. Professional services bookings were 38% and 40% of total bookings for the nine months ended June 30, 2020 and 2019, respectively. License bookings were 18% and 14% of total bookings for the nine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set forth certain summary information on a segment basis related to our revenues for the quarters and nine-month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Quarter Ended June 30,</w:t>
            </w:r>
          </w:p>
        </w:tc>
        <w:tc>
          <w:tcPr>
            <w:tcW w:w="244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Percentage of Revenues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Period-to-Period</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4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16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Change</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8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3"/>
              </w:rPr>
              <w:t>(In thousands)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141,460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165,637</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(24,177)</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Scores</w:t>
            </w:r>
          </w:p>
        </w:tc>
        <w:tc>
          <w:tcPr>
            <w:tcW w:w="34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131,550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115,146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16,404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40,721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33,466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7,255</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6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313,731</w:t>
            </w:r>
          </w:p>
        </w:tc>
        <w:tc>
          <w:tcPr>
            <w:tcW w:w="12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314,249</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Nine Months Ended June 30,</w:t>
            </w:r>
          </w:p>
        </w:tc>
        <w:tc>
          <w:tcPr>
            <w:tcW w:w="244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Percentage of Revenues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Period-to-Period</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4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16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Change</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3"/>
              </w:rPr>
              <w:t>(In thousands)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433,917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455,111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Scores</w:t>
            </w:r>
          </w:p>
        </w:tc>
        <w:tc>
          <w:tcPr>
            <w:tcW w:w="34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375,836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305,232</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70,604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110,453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94,396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16,057</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6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920,206</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854,739</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65,467</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June 30, 2020 Compared to Quarter Ended June 30, 2019</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Applications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Quarter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4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98,476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100,385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32,364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33,989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10,620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49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141,460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165,637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(24,177)</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Applications segment revenues decreased $24.2 million primarily due to a $28.5 million decrease in our fraud solutions and a $1.3 million decrease in our customer communication services, partially offset by a $5.5 million increase in our compliance solutions. The decrease in fraud solutions was primarily attributable to a decrease in license revenue, driven by a large multi-year license renewal recognized during the quarter ended June 30, 2019. The decrease in customer communication services was primarily attributable to a decrease in transactional revenue. The increase in compliance solutions was primarily attributable to an increase in license revenue.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Quarter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4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130,268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112,949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17,319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49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131,550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115,146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16,404</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Scores segment revenues increased $16.4 million due to an increase of $9.9 million in our business-to-business scores revenue and $6.5 million in our business-to-consumer services revenue. The increase in business-to-business scores was primarily attributable to a higher unit price in unsecured originations as well as an increase in mortgage volumes during the quarter ended June 30, 2020. The increase was partially offset by a decrease in unsecured originations volume. The increase in business-to-consumer services was primarily attributable to an increase in direct sales generated from the myFICO.com website.</w:t>
      </w:r>
    </w:p>
    <w:p>
      <w:pPr>
        <w:spacing w:after="0" w:line="1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During the quarters ended June 30, 2020 and 2019, revenues generated from our agreements with Experian accounted for 15% and 13%, respectively, of our total revenues, and revenues generated from our agreements with Equifax and TransUnion together accounted for 19% and 16%, respectively, of our total revenues. Revenues from these customers included amounts recorded in our other segments.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5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18,085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12,706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5,379</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11,211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10,213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502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40,721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33,466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7,255</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Decision Management Software segment revenues increased $7.3 million primarily attributable to an increase in our SaaS subscription revenue classified as transactional and maintenance revenue, and an increase in services and license revenue.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2020 Compared to Nine Months Ended June 30, 2019</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Applications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Nine Months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4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295,102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294,624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101,521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101,432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37,294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49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433,917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455,111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(21,194)</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Applications segment revenues decreased $21.2 million primarily attributable to a $27.4 million decrease in our fraud solutions, a $6.8 million decrease in our collections and recovery solutions, and a $2.2 million decrease in our customer communications services, partially offset by a $7.9 million increase in our compliance solutions and a $7.7 million increase in our originations solutions. The decrease in fraud solutions was primarily attributable to a decrease in license revenue, driven by a large multi-year license renewal recognized during the nine months ended June 30, 2019. The decrease in collections and recovery revenue was primarily attributable to a decrease in services and license revenues. The decrease in customer communication services was primarily attributable to a decrease in transactional revenue. The increase in compliance solutions was primarily attributable to an increase in services and license revenues. The increase in originations solutions was primarily due to an increase in SaaS subscription revenue classified as transactional and maintenance revenue and an increase in license revenue.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Nine Months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4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365,324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300,133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65,191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9,371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6,266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57"/>
        </w:trPr>
        <w:tc>
          <w:tcPr>
            <w:tcW w:w="49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375,836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305,232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70,604</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Scores segment revenues increased $70.6 million due to an increase of $56.6 million in our business-to-business scores revenue and $14.0 million in our business-to-consumer services revenue. The increase in business-to-business scores was primarily attributable to a higher unit price in auto and unsecured originations, an increase in mortgage volumes, as well as a large annual license deal recognized during the nine months ended June 30, 2020. The increase was partially offset by a decrease in unsecured originations volume. The increase in business-to-consumer services was attributable to an increase in both royalties derived from scores sold indirectly to consumers through credit reporting agencies and direct sales generated from the myFICO.com website.</w:t>
      </w:r>
    </w:p>
    <w:p>
      <w:pPr>
        <w:spacing w:after="0" w:line="1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During the nine months ended June 30, 2020 and 2019, revenues generated from our agreements with Experian accounted for 14% and 13%, respectively, of our total revenues, and revenues generated from our agreements with Equifax and TransUnion together accounted for 18% and 13%, respectively, of our total revenues. Revenues from these customers included amounts recorded in our other segments.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5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47,479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37,255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10,224</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32,901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32,531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30,073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5,463</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502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110,453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94,396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16,057</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Decision Management Software segment revenues increased $16.1 million primarily attributable to an increase in our SaaS subscription revenue classified as transactional and maintenance revenue and an increase in license revenue.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Income / Expenses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set forth certain summary information related to our condensed consolidated statements of income and comprehensive income for the quarters and nine-month periods ended June 30, 2020 and 2019:</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4"/>
              </w:rPr>
              <w:t>Quarter Ended June 30,</w:t>
            </w:r>
          </w:p>
        </w:tc>
        <w:tc>
          <w:tcPr>
            <w:tcW w:w="2740" w:type="dxa"/>
            <w:vAlign w:val="bottom"/>
            <w:gridSpan w:val="5"/>
          </w:tcPr>
          <w:p>
            <w:pPr>
              <w:jc w:val="right"/>
              <w:ind w:right="534"/>
              <w:spacing w:after="0"/>
              <w:rPr>
                <w:sz w:val="20"/>
                <w:szCs w:val="20"/>
                <w:color w:val="auto"/>
              </w:rPr>
            </w:pPr>
            <w:r>
              <w:rPr>
                <w:rFonts w:ascii="Arial" w:cs="Arial" w:eastAsia="Arial" w:hAnsi="Arial"/>
                <w:sz w:val="14"/>
                <w:szCs w:val="14"/>
                <w:b w:val="1"/>
                <w:bCs w:val="1"/>
                <w:color w:val="auto"/>
              </w:rPr>
              <w:t>Percentage of Revenues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2"/>
              </w:rPr>
              <w:t>Period-to-Period</w:t>
            </w:r>
          </w:p>
        </w:tc>
        <w:tc>
          <w:tcPr>
            <w:tcW w:w="13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65"/>
        </w:trPr>
        <w:tc>
          <w:tcPr>
            <w:tcW w:w="2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2"/>
            <w:vMerge w:val="restart"/>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gridSpan w:val="7"/>
          </w:tcPr>
          <w:p>
            <w:pPr>
              <w:jc w:val="center"/>
              <w:ind w:right="440"/>
              <w:spacing w:after="0" w:line="153" w:lineRule="exact"/>
              <w:rPr>
                <w:sz w:val="20"/>
                <w:szCs w:val="20"/>
                <w:color w:val="auto"/>
              </w:rPr>
            </w:pPr>
            <w:r>
              <w:rPr>
                <w:rFonts w:ascii="Arial" w:cs="Arial" w:eastAsia="Arial" w:hAnsi="Arial"/>
                <w:sz w:val="14"/>
                <w:szCs w:val="14"/>
                <w:b w:val="1"/>
                <w:bCs w:val="1"/>
                <w:color w:val="auto"/>
                <w:w w:val="91"/>
              </w:rPr>
              <w:t>(In thousands, except</w:t>
            </w: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4"/>
          </w:tcPr>
          <w:p>
            <w:pPr>
              <w:jc w:val="center"/>
              <w:ind w:left="494"/>
              <w:spacing w:after="0"/>
              <w:rPr>
                <w:sz w:val="20"/>
                <w:szCs w:val="20"/>
                <w:color w:val="auto"/>
              </w:rPr>
            </w:pPr>
            <w:r>
              <w:rPr>
                <w:rFonts w:ascii="Arial" w:cs="Arial" w:eastAsia="Arial" w:hAnsi="Arial"/>
                <w:sz w:val="14"/>
                <w:szCs w:val="14"/>
                <w:b w:val="1"/>
                <w:bCs w:val="1"/>
                <w:color w:val="auto"/>
                <w:w w:val="88"/>
              </w:rPr>
              <w:t>employees)</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except employees)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313,731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314,249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88,569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2380" w:type="dxa"/>
            <w:vAlign w:val="bottom"/>
          </w:tcPr>
          <w:p>
            <w:pPr>
              <w:ind w:left="380"/>
              <w:spacing w:after="0"/>
              <w:rPr>
                <w:sz w:val="20"/>
                <w:szCs w:val="20"/>
                <w:color w:val="auto"/>
              </w:rPr>
            </w:pPr>
            <w:r>
              <w:rPr>
                <w:rFonts w:ascii="Arial" w:cs="Arial" w:eastAsia="Arial" w:hAnsi="Arial"/>
                <w:sz w:val="18"/>
                <w:szCs w:val="18"/>
                <w:color w:val="auto"/>
                <w:w w:val="89"/>
              </w:rPr>
              <w:t>Research and development</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41,411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36,972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4,439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99,832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102,906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380" w:type="dxa"/>
            <w:vAlign w:val="bottom"/>
          </w:tcPr>
          <w:p>
            <w:pPr>
              <w:ind w:left="380"/>
              <w:spacing w:after="0"/>
              <w:rPr>
                <w:sz w:val="20"/>
                <w:szCs w:val="20"/>
                <w:color w:val="auto"/>
              </w:rPr>
            </w:pPr>
            <w:r>
              <w:rPr>
                <w:rFonts w:ascii="Arial" w:cs="Arial" w:eastAsia="Arial" w:hAnsi="Arial"/>
                <w:sz w:val="18"/>
                <w:szCs w:val="18"/>
                <w:color w:val="auto"/>
                <w:w w:val="97"/>
              </w:rPr>
              <w:t>Amortization of intangible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38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ind w:left="90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230,860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228,541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82,871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85,708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4,560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76,208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12,132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13,902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64,076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64,152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380" w:type="dxa"/>
            <w:vAlign w:val="bottom"/>
            <w:vMerge w:val="restart"/>
          </w:tcPr>
          <w:p>
            <w:pPr>
              <w:ind w:left="40"/>
              <w:spacing w:after="0"/>
              <w:rPr>
                <w:sz w:val="20"/>
                <w:szCs w:val="20"/>
                <w:color w:val="auto"/>
              </w:rPr>
            </w:pPr>
            <w:r>
              <w:rPr>
                <w:rFonts w:ascii="Arial" w:cs="Arial" w:eastAsia="Arial" w:hAnsi="Arial"/>
                <w:sz w:val="18"/>
                <w:szCs w:val="18"/>
                <w:color w:val="auto"/>
              </w:rPr>
              <w:t>Number of employees at</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40"/>
              <w:spacing w:after="0"/>
              <w:rPr>
                <w:sz w:val="20"/>
                <w:szCs w:val="20"/>
                <w:color w:val="auto"/>
              </w:rPr>
            </w:pPr>
            <w:r>
              <w:rPr>
                <w:rFonts w:ascii="Arial" w:cs="Arial" w:eastAsia="Arial" w:hAnsi="Arial"/>
                <w:sz w:val="18"/>
                <w:szCs w:val="18"/>
                <w:color w:val="auto"/>
              </w:rPr>
              <w:t>quarter end</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3,967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378"/>
        </w:trPr>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3"/>
              </w:rPr>
              <w:t>Nine Months Ended June 30,</w:t>
            </w:r>
          </w:p>
        </w:tc>
        <w:tc>
          <w:tcPr>
            <w:tcW w:w="2740" w:type="dxa"/>
            <w:vAlign w:val="bottom"/>
            <w:gridSpan w:val="5"/>
          </w:tcPr>
          <w:p>
            <w:pPr>
              <w:jc w:val="right"/>
              <w:ind w:right="534"/>
              <w:spacing w:after="0"/>
              <w:rPr>
                <w:sz w:val="20"/>
                <w:szCs w:val="20"/>
                <w:color w:val="auto"/>
              </w:rPr>
            </w:pPr>
            <w:r>
              <w:rPr>
                <w:rFonts w:ascii="Arial" w:cs="Arial" w:eastAsia="Arial" w:hAnsi="Arial"/>
                <w:sz w:val="14"/>
                <w:szCs w:val="14"/>
                <w:b w:val="1"/>
                <w:bCs w:val="1"/>
                <w:color w:val="auto"/>
              </w:rPr>
              <w:t>Percentage of Revenues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2"/>
              </w:rPr>
              <w:t>Period-to-Period</w:t>
            </w:r>
          </w:p>
        </w:tc>
        <w:tc>
          <w:tcPr>
            <w:tcW w:w="13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65"/>
        </w:trPr>
        <w:tc>
          <w:tcPr>
            <w:tcW w:w="2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44"/>
        </w:trPr>
        <w:tc>
          <w:tcPr>
            <w:tcW w:w="2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4"/>
          </w:tcPr>
          <w:p>
            <w:pPr>
              <w:jc w:val="center"/>
              <w:ind w:left="514"/>
              <w:spacing w:after="0"/>
              <w:rPr>
                <w:sz w:val="20"/>
                <w:szCs w:val="20"/>
                <w:color w:val="auto"/>
              </w:rPr>
            </w:pPr>
            <w:r>
              <w:rPr>
                <w:rFonts w:ascii="Arial" w:cs="Arial" w:eastAsia="Arial" w:hAnsi="Arial"/>
                <w:sz w:val="14"/>
                <w:szCs w:val="14"/>
                <w:b w:val="1"/>
                <w:bCs w:val="1"/>
                <w:color w:val="auto"/>
                <w:w w:val="93"/>
              </w:rPr>
              <w:t>(In thousands)</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3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920,206</w:t>
            </w:r>
          </w:p>
        </w:tc>
        <w:tc>
          <w:tcPr>
            <w:tcW w:w="100" w:type="dxa"/>
            <w:vAlign w:val="bottom"/>
          </w:tcPr>
          <w:p>
            <w:pPr>
              <w:spacing w:after="0"/>
              <w:rPr>
                <w:sz w:val="22"/>
                <w:szCs w:val="22"/>
                <w:color w:val="auto"/>
              </w:rPr>
            </w:pPr>
          </w:p>
        </w:tc>
        <w:tc>
          <w:tcPr>
            <w:tcW w:w="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854,739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65,467</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38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267,466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248,849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18,617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119,793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9,711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2380" w:type="dxa"/>
            <w:vAlign w:val="bottom"/>
          </w:tcPr>
          <w:p>
            <w:pPr>
              <w:ind w:left="380"/>
              <w:spacing w:after="0"/>
              <w:rPr>
                <w:sz w:val="20"/>
                <w:szCs w:val="20"/>
                <w:color w:val="auto"/>
              </w:rPr>
            </w:pPr>
            <w:r>
              <w:rPr>
                <w:rFonts w:ascii="Arial" w:cs="Arial" w:eastAsia="Arial" w:hAnsi="Arial"/>
                <w:sz w:val="18"/>
                <w:szCs w:val="18"/>
                <w:color w:val="auto"/>
              </w:rPr>
              <w:t>Selling, general and</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34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315,318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308,094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7,224</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Amortization of intangible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380" w:type="dxa"/>
            <w:vAlign w:val="bottom"/>
          </w:tcPr>
          <w:p>
            <w:pPr>
              <w:ind w:left="380"/>
              <w:spacing w:after="0"/>
              <w:rPr>
                <w:sz w:val="20"/>
                <w:szCs w:val="20"/>
                <w:color w:val="auto"/>
              </w:rPr>
            </w:pPr>
            <w:r>
              <w:rPr>
                <w:rFonts w:ascii="Arial" w:cs="Arial" w:eastAsia="Arial" w:hAnsi="Arial"/>
                <w:sz w:val="18"/>
                <w:szCs w:val="18"/>
                <w:color w:val="auto"/>
              </w:rPr>
              <w:t>Restructuring and</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380"/>
              <w:spacing w:after="0"/>
              <w:rPr>
                <w:sz w:val="20"/>
                <w:szCs w:val="20"/>
                <w:color w:val="auto"/>
              </w:rPr>
            </w:pPr>
            <w:r>
              <w:rPr>
                <w:rFonts w:ascii="Arial" w:cs="Arial" w:eastAsia="Arial" w:hAnsi="Arial"/>
                <w:sz w:val="18"/>
                <w:szCs w:val="18"/>
                <w:color w:val="auto"/>
              </w:rPr>
              <w:t>acquisition-related</w:t>
            </w:r>
          </w:p>
        </w:tc>
        <w:tc>
          <w:tcPr>
            <w:tcW w:w="34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709,727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671,478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38,249</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210,479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183,261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27,218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180,567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25,383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(14,362)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177,285</w:t>
            </w:r>
          </w:p>
        </w:tc>
        <w:tc>
          <w:tcPr>
            <w:tcW w:w="1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137,540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39,745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912"/>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Cost of revenues consists primarily of employee salaries and benefits for personnel directly involved in delivering software products, operating SaaS infrastructure, and providing support, implementation and consulting services; allocated overhead facilities and data center costs; software royalty fees; credit bureau data and processing services; third-party hosting fees related to our SaaS services; travel costs; and outside services.</w:t>
      </w:r>
    </w:p>
    <w:p>
      <w:pPr>
        <w:spacing w:after="0" w:line="1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quarter-over-prior year quarter increase in cost of revenues of $1.4 million was primarily attributable to an increase in cloud infrastructure costs, driven by increased resource requirements due to expansion in our cloud infrastructure operations, partially offset by a decrease in travel activity due to the COVID-19 outbreak. Cost of revenues as a percentage of revenues was 29% during the quarter ended June 30, 2020, materially consistent with that incurred during the quarter ended June 30, 2019.</w:t>
      </w:r>
    </w:p>
    <w:p>
      <w:pPr>
        <w:spacing w:after="0" w:line="18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year-to-date period over period increase in cost of revenues of $18.6 million was primarily attributable to a $15.1 million increase in allocated facilities and infrastructure costs and a $5.9 million increase in direct materials cost, partially offset by a $2.8 million decrease in travel costs. The increase in facilities and infrastructure costs was primarily attributable to increased resource requirements due to expansion in our cloud infrastructure operations. The increase in direct materials cost was primarily attributable to an increase in telecommunication cost, as well as an increase in license and Scores revenues that incur third-party royalties and data costs. The decrease in travel costs was primarily attributable to the COVID-19 outbreak. Cost of revenues as a percentage of revenues was 29% during the nine months ended June 30, 2020, consistent with that incurred during the nine months ended June 30, 2019.</w:t>
      </w: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Research and development expenses include personnel and related overhead costs incurred in the development of new products and services, including research of mathematical and statistical models and development of new versions of Applications and Decision Management Software products.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quarter-over-prior year quarter increase in research and development expenses of $4.4 million was primarily attributable to an increase in labor and personnel costs as a result of increased headcount and increased fringe benefit costs related to our supplemental retirement and savings plan. Research and development expenses as a percentage of revenues increased to 13% during the quarter ended June 30, 2020 from 12% during the quarter ended June 30, 2019.</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year-to-date period over period increase in research and development expenses of $9.7 million was primarily attributable to an increase in labor and personnel costs and an increase in allocated facilities and infrastructure costs, both driven by increased headcount and our continued investments in new product development. Research and development expenses as a percentage of revenues was 13% during the nine months ended June 30, 2020, consistent with that incurred during the nine months ended June 30, 2019.</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Selling, general and administrative expenses consist principally of employee salaries, commissions and benefits; travel costs; overhead costs; advertising and other promotional expenses; corporate facilities expenses; legal expenses; business development expenses; and the cost of operating computer systems.</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quarter-over-prior year quarter decrease in selling, general and administrative expenses of $3.1 million was primarily attributable to a $4.9 million decrease in travel activity due to the COVID-19 outbreak, partially offset by a $2.2 million increase in non-capitalizable commission cost. Selling, general and administrative expenses as a percentage of revenues decreased to 32% during the quarter ended June 30, 2020 from 33% during the quarter ended June 30, 2019.</w:t>
      </w:r>
    </w:p>
    <w:p>
      <w:pPr>
        <w:spacing w:after="0" w:line="1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year-to-date period over period increase in selling, general and administrative expenses of $7.2 million was primarily attributable to a $10.1 million increase in personnel and labor costs and a $2.3 million increase in bad debt expense, partially offset by a $3.2 million decrease in marketing and travel costs and a $2.2 million decrease in allocated facilities costs. The increase in personnel and labor costs was primarily attributable to an increase in headcount. The increase in bad debt expense was attributable to estimated losses reserved for customers and industries that are most impacted by COVID-</w:t>
      </w:r>
    </w:p>
    <w:p>
      <w:pPr>
        <w:spacing w:after="0" w:line="1" w:lineRule="exact"/>
        <w:rPr>
          <w:sz w:val="20"/>
          <w:szCs w:val="20"/>
          <w:color w:val="auto"/>
        </w:rPr>
      </w:pPr>
    </w:p>
    <w:p>
      <w:pPr>
        <w:jc w:val="both"/>
        <w:ind w:firstLine="8"/>
        <w:spacing w:after="0"/>
        <w:tabs>
          <w:tab w:leader="none" w:pos="28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decrease in marketing and travel costs was primarily attributable to a decrease in travel activity due to COVID-19 as well as our company-wide initiative to control travel spending prior to the COVID-19 outbreak, partially offset by a company-wide marketing event — FICO WORLD</w:t>
      </w:r>
      <w:r>
        <w:rPr>
          <w:rFonts w:ascii="Arial" w:cs="Arial" w:eastAsia="Arial" w:hAnsi="Arial"/>
          <w:sz w:val="24"/>
          <w:szCs w:val="24"/>
          <w:color w:val="auto"/>
          <w:vertAlign w:val="superscript"/>
        </w:rPr>
        <w:t>19</w:t>
      </w:r>
      <w:r>
        <w:rPr>
          <w:rFonts w:ascii="Arial" w:cs="Arial" w:eastAsia="Arial" w:hAnsi="Arial"/>
          <w:sz w:val="17"/>
          <w:szCs w:val="17"/>
          <w:color w:val="auto"/>
        </w:rPr>
        <w:t xml:space="preserve"> — held during the first quarter of our fiscal 2020. Selling, general and administrative expenses as a percentage of revenues decreased to 34% during the nine months ended June 30, 2020 from 36% during the nine months ended June 30, 2019 primarily due to increased revenues.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Amortization of intangible assets consists of amortization expense related to intangible assets recorded in connection with acquisitions accounted for by the acquisition method of accounting. Our finite-lived intangible assets, consisting primarily of completed technology and customer contracts and relationships, are being amortized using the straight-line method over periods ranging from four to fifteen years.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Amortization expense was $1.0 million during the quarter ended June 30, 2020 versus $1.4 million during the quarter ended June 30, 2019.</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Amortization expense was $4.0 million during the nine months ended June 30, 2020 versus $4.5 million during the nine months ended June 30, 2020.</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and Acquisition-Related</w:t>
      </w:r>
    </w:p>
    <w:p>
      <w:pPr>
        <w:spacing w:after="0" w:line="117" w:lineRule="exact"/>
        <w:rPr>
          <w:sz w:val="20"/>
          <w:szCs w:val="20"/>
          <w:color w:val="auto"/>
        </w:rPr>
      </w:pPr>
    </w:p>
    <w:p>
      <w:pPr>
        <w:jc w:val="both"/>
        <w:ind w:firstLine="391"/>
        <w:spacing w:after="0" w:line="263" w:lineRule="auto"/>
        <w:rPr>
          <w:sz w:val="20"/>
          <w:szCs w:val="20"/>
          <w:color w:val="auto"/>
        </w:rPr>
      </w:pPr>
      <w:r>
        <w:rPr>
          <w:rFonts w:ascii="Arial" w:cs="Arial" w:eastAsia="Arial" w:hAnsi="Arial"/>
          <w:sz w:val="18"/>
          <w:szCs w:val="18"/>
          <w:color w:val="auto"/>
        </w:rPr>
        <w:t>There was no restructuring activity during the quarter ended June 30, 2020. During the nine months ended June 30, 2020, we incurred employee separation costs of $3.1 million due to the elimination of 69 positions throughout the Company. We expect that cash payment for all the employee separation costs will be paid by the end of our fiscal 2020.</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was no acquisition-related expense during the quarter and nine months ended June 30, 2020.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restructuring or acquisition-related expenses during the quarter and nine months ended June 30, 2019.</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Interest expense includes primarily interest on the senior notes issued in July 2010, May 2018, and December 2019, as well as interest and credit facility fees on the revolving line of credit. Our consolidated statements of income and comprehensive income include interest expense netted with interest income, which is derived primarily from the investment of funds in excess of our immediate operating requirements.</w:t>
      </w:r>
    </w:p>
    <w:p>
      <w:pPr>
        <w:spacing w:after="0" w:line="1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quarter-over-prior year quarter increase in interest expense, net of $1.1 million was primarily attributable to a higher average outstanding debt balance during the quarter ended June 30, 2020.</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year-to-date period over period increase in interest expense, net of $2.5 million was primarily attributable to a higher average outstanding debt balance during the nine months ended June 30, 2020.</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Other income, net consists primarily of realized investment gains/losses, exchange rate gains/losses resulting from remeasurement of foreign-currency-denominated receivable and cash balances into their respective functional currencies at period-end market rates, net of the impact of offsetting foreign currency forward contracts and other non-operating items.</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quarter-over-prior year quarter increase in other income, net of $2.1 million was primarily attributable to an increase in net unrealized gains on our supplemental retirement and savings plan, partially offset by an increase in foreign currency exchange losses.</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year-to-date other income, net was $2.3 million during the nine months ended June 30, 2020 versus $1.7 million during the nine months ended June 30, 2019.</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effective income tax rate was 15.9% and 17.8% during the quarters ended June 30, 2020 and 2019, respectively, and 1.8% and 11.4% during the nine months ended June 30, 2020 and 2019,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 The effective tax rates for the nine months ended June 30, 2020 and 2019 were both impacted by the recording of excess tax benefits relating to stock awards. Stock exercises during the nine months ended June 30, 2020 resulted in an additional increase in excess tax benefits.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certain summary information on a segment basis related to our operating income (loss) for the quarters and nine-month periods ended June 30, 2020 and 2019:</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Quarter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360" w:type="dxa"/>
            <w:vAlign w:val="bottom"/>
          </w:tcPr>
          <w:p>
            <w:pPr>
              <w:spacing w:after="0"/>
              <w:rPr>
                <w:sz w:val="6"/>
                <w:szCs w:val="6"/>
                <w:color w:val="auto"/>
              </w:rPr>
            </w:pPr>
          </w:p>
        </w:tc>
        <w:tc>
          <w:tcPr>
            <w:tcW w:w="11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9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Change</w:t>
            </w:r>
          </w:p>
        </w:tc>
        <w:tc>
          <w:tcPr>
            <w:tcW w:w="158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30,399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52,237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Scores</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110,217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99,296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10,921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5,645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segment 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106,183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106,751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Unallocated share-based compensation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82,871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85,708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89" w:lineRule="exact"/>
        <w:rPr>
          <w:sz w:val="20"/>
          <w:szCs w:val="20"/>
          <w:color w:val="auto"/>
        </w:rPr>
      </w:pPr>
    </w:p>
    <w:tbl>
      <w:tblPr>
        <w:tblLayout w:type="fixed"/>
        <w:tblInd w:w="4960" w:type="dxa"/>
        <w:tblCellMar>
          <w:top w:w="0" w:type="dxa"/>
          <w:left w:w="0" w:type="dxa"/>
          <w:bottom w:w="0" w:type="dxa"/>
          <w:right w:w="0" w:type="dxa"/>
        </w:tblCellMar>
      </w:tblPr>
      <w:tr>
        <w:trPr>
          <w:trHeight w:val="161"/>
        </w:trPr>
        <w:tc>
          <w:tcPr>
            <w:tcW w:w="30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Nine Months Ended June 30,</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Period-to-Period</w:t>
            </w:r>
          </w:p>
        </w:tc>
        <w:tc>
          <w:tcPr>
            <w:tcW w:w="144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16"/>
        </w:trPr>
        <w:tc>
          <w:tcPr>
            <w:tcW w:w="3020" w:type="dxa"/>
            <w:vAlign w:val="bottom"/>
            <w:tcBorders>
              <w:bottom w:val="single" w:sz="8" w:color="auto"/>
            </w:tcBorders>
            <w:vMerge w:val="continue"/>
          </w:tcPr>
          <w:p>
            <w:pPr>
              <w:spacing w:after="0"/>
              <w:rPr>
                <w:sz w:val="9"/>
                <w:szCs w:val="9"/>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44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55"/>
        </w:trPr>
        <w:tc>
          <w:tcPr>
            <w:tcW w:w="30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type w:val="continuous"/>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(In thousands)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95,390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122,470</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(27,080)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Scores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321,131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259,733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61,398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(27,779)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(99,310)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(104,779)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5,469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Total segment 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285,826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249,645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36,181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8"/>
                <w:szCs w:val="18"/>
                <w:color w:val="auto"/>
                <w:w w:val="95"/>
              </w:rPr>
              <w:t>Unallocated share-based compensation</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(61,931)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(6,266)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8"/>
          </w:tcPr>
          <w:p>
            <w:pPr>
              <w:spacing w:after="0"/>
              <w:rPr>
                <w:sz w:val="20"/>
                <w:szCs w:val="20"/>
                <w:color w:val="auto"/>
              </w:rPr>
            </w:pPr>
            <w:r>
              <w:rPr>
                <w:rFonts w:ascii="Arial" w:cs="Arial" w:eastAsia="Arial" w:hAnsi="Arial"/>
                <w:sz w:val="18"/>
                <w:szCs w:val="18"/>
                <w:color w:val="auto"/>
              </w:rPr>
              <w:t>Unallocated restructuring and acquisition-related</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(3,104)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210,479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183,261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27,218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i w:val="1"/>
                <w:iCs w:val="1"/>
                <w:color w:val="auto"/>
              </w:rPr>
              <w:t>Applications</w:t>
            </w: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17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2"/>
              </w:rPr>
              <w:t>Percentage of</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40" w:type="dxa"/>
            <w:vAlign w:val="bottom"/>
            <w:gridSpan w:val="9"/>
          </w:tcPr>
          <w:p>
            <w:pPr>
              <w:jc w:val="center"/>
              <w:ind w:right="860"/>
              <w:spacing w:after="0"/>
              <w:rPr>
                <w:sz w:val="20"/>
                <w:szCs w:val="20"/>
                <w:color w:val="auto"/>
              </w:rPr>
            </w:pPr>
            <w:r>
              <w:rPr>
                <w:rFonts w:ascii="Arial" w:cs="Arial" w:eastAsia="Arial" w:hAnsi="Arial"/>
                <w:sz w:val="14"/>
                <w:szCs w:val="14"/>
                <w:b w:val="1"/>
                <w:bCs w:val="1"/>
                <w:color w:val="auto"/>
                <w:w w:val="94"/>
              </w:rPr>
              <w:t>Nine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center"/>
              <w:ind w:right="371"/>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Revenues</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gridSpan w:val="6"/>
          </w:tcPr>
          <w:p>
            <w:pPr>
              <w:jc w:val="center"/>
              <w:ind w:left="315"/>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141,460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165,637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433,917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455,111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Segment operating</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(111,061)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(113,400)</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(338,527)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0"/>
              </w:rPr>
              <w:t>(332,641)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30,399</w:t>
            </w:r>
          </w:p>
        </w:tc>
        <w:tc>
          <w:tcPr>
            <w:tcW w:w="12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52,237</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95,390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w w:val="98"/>
              </w:rPr>
              <w:t>122,470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28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gridSpan w:val="3"/>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613"/>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8"/>
              </w:rPr>
              <w:t>Percentage of</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3"/>
              </w:rPr>
              <w:t>Nine Months Ended</w:t>
            </w:r>
          </w:p>
        </w:tc>
        <w:tc>
          <w:tcPr>
            <w:tcW w:w="2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1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left="44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5"/>
          </w:tcPr>
          <w:p>
            <w:pPr>
              <w:jc w:val="center"/>
              <w:ind w:left="619"/>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bottom w:val="single" w:sz="8" w:color="auto"/>
            </w:tcBorders>
            <w:gridSpan w:val="4"/>
          </w:tcPr>
          <w:p>
            <w:pPr>
              <w:jc w:val="center"/>
              <w:ind w:left="619"/>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4"/>
          </w:tcPr>
          <w:p>
            <w:pPr>
              <w:jc w:val="center"/>
              <w:ind w:left="400"/>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131,550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5"/>
              </w:rPr>
              <w:t>115,146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375,836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305,232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1760" w:type="dxa"/>
            <w:vAlign w:val="bottom"/>
          </w:tcPr>
          <w:p>
            <w:pPr>
              <w:ind w:left="40"/>
              <w:spacing w:after="0"/>
              <w:rPr>
                <w:sz w:val="20"/>
                <w:szCs w:val="20"/>
                <w:color w:val="auto"/>
              </w:rPr>
            </w:pPr>
            <w:r>
              <w:rPr>
                <w:rFonts w:ascii="Arial" w:cs="Arial" w:eastAsia="Arial" w:hAnsi="Arial"/>
                <w:sz w:val="18"/>
                <w:szCs w:val="18"/>
                <w:color w:val="auto"/>
              </w:rPr>
              <w:t>Segment operating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40"/>
              <w:spacing w:after="0"/>
              <w:rPr>
                <w:sz w:val="20"/>
                <w:szCs w:val="20"/>
                <w:color w:val="auto"/>
              </w:rPr>
            </w:pPr>
            <w:r>
              <w:rPr>
                <w:rFonts w:ascii="Arial" w:cs="Arial" w:eastAsia="Arial" w:hAnsi="Arial"/>
                <w:sz w:val="18"/>
                <w:szCs w:val="18"/>
                <w:color w:val="auto"/>
              </w:rPr>
              <w:t>expense</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(54,705)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operating</w:t>
            </w:r>
          </w:p>
        </w:tc>
        <w:tc>
          <w:tcPr>
            <w:tcW w:w="30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110,217</w:t>
            </w:r>
          </w:p>
        </w:tc>
        <w:tc>
          <w:tcPr>
            <w:tcW w:w="100" w:type="dxa"/>
            <w:vAlign w:val="bottom"/>
            <w:shd w:val="clear" w:color="auto" w:fill="CCEEFF"/>
          </w:tcPr>
          <w:p>
            <w:pPr>
              <w:spacing w:after="0"/>
              <w:rPr>
                <w:sz w:val="18"/>
                <w:szCs w:val="18"/>
                <w:color w:val="auto"/>
              </w:rPr>
            </w:pPr>
          </w:p>
        </w:tc>
        <w:tc>
          <w:tcPr>
            <w:tcW w:w="440" w:type="dxa"/>
            <w:vAlign w:val="bottom"/>
            <w:gridSpan w:val="2"/>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99,296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8"/>
                <w:szCs w:val="18"/>
                <w:color w:val="auto"/>
              </w:rPr>
            </w:pPr>
          </w:p>
        </w:tc>
        <w:tc>
          <w:tcPr>
            <w:tcW w:w="30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321,131</w:t>
            </w:r>
          </w:p>
        </w:tc>
        <w:tc>
          <w:tcPr>
            <w:tcW w:w="12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w w:val="98"/>
              </w:rPr>
              <w:t>259,733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300" w:type="dxa"/>
            <w:vAlign w:val="bottom"/>
            <w:tcBorders>
              <w:bottom w:val="single" w:sz="8" w:color="auto"/>
            </w:tcBorders>
            <w:gridSpan w:val="2"/>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060" w:type="dxa"/>
            <w:vAlign w:val="bottom"/>
            <w:gridSpan w:val="5"/>
          </w:tcPr>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4"/>
          </w:tcPr>
          <w:p>
            <w:pPr>
              <w:jc w:val="center"/>
              <w:ind w:left="380"/>
              <w:spacing w:after="0"/>
              <w:rPr>
                <w:sz w:val="20"/>
                <w:szCs w:val="20"/>
                <w:color w:val="auto"/>
              </w:rPr>
            </w:pPr>
            <w:r>
              <w:rPr>
                <w:rFonts w:ascii="Arial" w:cs="Arial" w:eastAsia="Arial" w:hAnsi="Arial"/>
                <w:sz w:val="14"/>
                <w:szCs w:val="14"/>
                <w:b w:val="1"/>
                <w:bCs w:val="1"/>
                <w:color w:val="auto"/>
                <w:w w:val="96"/>
              </w:rPr>
              <w:t>Quarter Ended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0"/>
              </w:rPr>
              <w:t>Percentage of</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3"/>
              </w:rPr>
              <w:t>Nine Months Ended</w:t>
            </w:r>
          </w:p>
        </w:tc>
        <w:tc>
          <w:tcPr>
            <w:tcW w:w="2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92"/>
        </w:trPr>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left="460"/>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5"/>
          </w:tcPr>
          <w:p>
            <w:pPr>
              <w:jc w:val="center"/>
              <w:ind w:left="639"/>
              <w:spacing w:after="0"/>
              <w:rPr>
                <w:sz w:val="20"/>
                <w:szCs w:val="20"/>
                <w:color w:val="auto"/>
              </w:rPr>
            </w:pPr>
            <w:r>
              <w:rPr>
                <w:rFonts w:ascii="Arial" w:cs="Arial" w:eastAsia="Arial" w:hAnsi="Arial"/>
                <w:sz w:val="14"/>
                <w:szCs w:val="14"/>
                <w:b w:val="1"/>
                <w:bCs w:val="1"/>
                <w:color w:val="auto"/>
                <w:w w:val="90"/>
              </w:rPr>
              <w:t>Revenues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left="619"/>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44"/>
        </w:trPr>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4"/>
          </w:tcPr>
          <w:p>
            <w:pPr>
              <w:jc w:val="center"/>
              <w:ind w:left="420"/>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760" w:type="dxa"/>
            <w:vAlign w:val="bottom"/>
          </w:tcPr>
          <w:p>
            <w:pPr>
              <w:ind w:left="40"/>
              <w:spacing w:after="0"/>
              <w:rPr>
                <w:sz w:val="20"/>
                <w:szCs w:val="20"/>
                <w:color w:val="auto"/>
              </w:rPr>
            </w:pPr>
            <w:r>
              <w:rPr>
                <w:rFonts w:ascii="Arial" w:cs="Arial" w:eastAsia="Arial" w:hAnsi="Arial"/>
                <w:sz w:val="18"/>
                <w:szCs w:val="18"/>
                <w:color w:val="auto"/>
              </w:rPr>
              <w:t>Segment revenues</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40,721</w:t>
            </w:r>
          </w:p>
        </w:tc>
        <w:tc>
          <w:tcPr>
            <w:tcW w:w="100" w:type="dxa"/>
            <w:vAlign w:val="bottom"/>
          </w:tcPr>
          <w:p>
            <w:pPr>
              <w:spacing w:after="0"/>
              <w:rPr>
                <w:sz w:val="22"/>
                <w:szCs w:val="22"/>
                <w:color w:val="auto"/>
              </w:rPr>
            </w:pP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33,466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2"/>
                <w:szCs w:val="22"/>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110,453</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94,396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operating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(43,839)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(42,229)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(141,838)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(122,175)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1760" w:type="dxa"/>
            <w:vAlign w:val="bottom"/>
          </w:tcPr>
          <w:p>
            <w:pPr>
              <w:ind w:left="40"/>
              <w:spacing w:after="0"/>
              <w:rPr>
                <w:sz w:val="20"/>
                <w:szCs w:val="20"/>
                <w:color w:val="auto"/>
              </w:rPr>
            </w:pPr>
            <w:r>
              <w:rPr>
                <w:rFonts w:ascii="Arial" w:cs="Arial" w:eastAsia="Arial" w:hAnsi="Arial"/>
                <w:sz w:val="18"/>
                <w:szCs w:val="18"/>
                <w:color w:val="auto"/>
                <w:w w:val="89"/>
              </w:rPr>
              <w:t>Segment operating loss</w:t>
            </w:r>
          </w:p>
        </w:tc>
        <w:tc>
          <w:tcPr>
            <w:tcW w:w="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quarter-over-prior year quarter $2.8 million decrease in operating income was primarily attributable to a $4.8 million increase in segment operating expenses, a $2.7 million increase in share-based compensation cost and a $0.5 million decrease in segment revenues, partially offset by a $4.7 million decrease in corporate expenses.</w:t>
      </w:r>
    </w:p>
    <w:p>
      <w:pPr>
        <w:spacing w:after="0" w:line="18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the segment level, the quarter-over-prior year quarter $0.6 million decrease in segment operating income was the result of a $21.8 million decrease in our Applications segment operating income, partially offset by a $10.9 million increase in our Scores segment operating income, a $5.6 million decrease in our Decision Management Software segment operating loss, and a $4.7 million decrease in corporate expenses.</w:t>
      </w:r>
    </w:p>
    <w:p>
      <w:pPr>
        <w:spacing w:after="0" w:line="1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quarter-over-prior year quarter $21.8 million decrease in Applications segment operating income was due to a $24.1 million decrease in segment revenue, driven primarily by a large multi-year license renewal recognized during the quarter ended June 30, 2019, partially offset by a $2.3 million decrease in segment operating expenses. Segment operating margin for Applications decreased to 21% from 32%, mainly due to a decrease in sales of our higher-margin software products.</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quarter-over-prior year quarter $10.9 million increase in Scores segment operating income was due to a $16.4 million increase in segment revenue, partially offset by a $5.5 million increase in segment operating expenses, primarily attributable to an increase in fringe benefit costs related to our supplemental retirement and savings plan. Segment operating margin for Scores during the quarter ended June 30, 2020 was 84%, materially consistent with the quarter ended June 30, 2019.</w:t>
      </w:r>
    </w:p>
    <w:p>
      <w:pPr>
        <w:spacing w:after="0" w:line="1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quarter-over-prior year quarter $5.6 million decrease in Decision Management Software segment operating loss was due to a $7.2 million increase in segment revenue, partially offset by a $1.6 million increase in segment operating expenses. Segment operating margin for Decision Management Software improved to negative 8% from negative 26%, primarily due to an increase in sales of our higher-margin products.</w:t>
      </w:r>
    </w:p>
    <w:p>
      <w:pPr>
        <w:spacing w:after="0" w:line="16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year-to-date period over period increase of $27.2 million in operating income was primarily attributable to a $65.5 million increase in segment revenues and a $5.5 million decrease in corporate expenses, partially offset by a $34.8 million increase in segment operating expenses, a $6.3 million increase in share-based compensation cost, and a $3.1 million increase in restructuring and acquisition-related cost.</w:t>
      </w:r>
    </w:p>
    <w:p>
      <w:pPr>
        <w:spacing w:after="0" w:line="18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the segment level, the year-to-date period over period increase of $36.2 million in segment operating income was the result of a $61.4 million increase in our Scores segment operating income and a $5.5 million decrease in corporate expenses, partially offset by a $27.1 million decrease in our Applications segment operating income and a $3.6 million increase in our Decision Management Software segment operating loss.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year-to-date period over period $27.1 million decrease in Applications segment operating income was due to a $21.2 million decrease in segment revenue and a $5.9 million increase in segment operating expenses. Segment operating margin for Applications decreased to 22% from 27%, mainly due to a decrease in sales of our higher-margin software products.</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year-to-date period over period $61.4 million increase in Scores segment operating income was attributable to a $70.6 million increase in segment revenue, partially offset by a $9.2 million increase in segment operating expenses. Segment operating margin for Scores during the nine months ended June 30, 2020 was 85%, consistent with the nine months ended June 30, 2019.</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year-to-date period over period $3.6 million increase in Decision Management Software segment operating loss was attributable to a $19.7 million increase in segment operating expenses, partially offset by a $16.1 million increase in segment revenue. Segment operating margin for Decision Management Software was negative 28%, materially consistent with the nine months ended June 30, 2019.</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As of June 30, 2020, we had $125.7 million in cash and cash equivalents, which included $100.3 million held off-shore by our foreign subsidiaries. Subsequently, we utilized our revolving line of credit to repay $85.0 million in principal due in July 2020 on our senior notes issued in July 2010. Our cash position could be affected by various risks and uncertainties, including, but not limited to, the effects of the COVID-19 pandemic and other risks detailed in Part II, Item 1A titled “Risk Factors” of this Quarterly Report on Form 10-Q. However, based on our current business plan and revenue prospects, we believe our cash and cash equivalents balances, as well as available borrowings from our $400 million revolving line of credit and anticipated cash flows from operating activities, will be sufficient to fund our working and other capital requirements. Under our current financing arrangements, we have no other significant debt obligations maturing over the next twelve months. Our undistributed earnings outside the U.S. are deemed to be permanently reinvested in foreign jurisdictions. We currently do not foresee a need to repatriate cash and cash equivalents held by our foreign subsidiaries. If these funds are needed for our operations in the U.S., we may be required to accrue for state income or foreign withholding taxes on the distributed foreign earnings, which we expect to be immaterial.</w:t>
      </w:r>
    </w:p>
    <w:p>
      <w:pPr>
        <w:spacing w:after="0" w:line="185"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 June 30,</w:t>
            </w:r>
          </w:p>
        </w:tc>
        <w:tc>
          <w:tcPr>
            <w:tcW w:w="260" w:type="dxa"/>
            <w:vAlign w:val="bottom"/>
          </w:tcPr>
          <w:p>
            <w:pPr>
              <w:spacing w:after="0"/>
              <w:rPr>
                <w:sz w:val="16"/>
                <w:szCs w:val="16"/>
                <w:color w:val="auto"/>
              </w:rPr>
            </w:pPr>
          </w:p>
        </w:tc>
        <w:tc>
          <w:tcPr>
            <w:tcW w:w="13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6"/>
              </w:rPr>
              <w:t>Period-to-Period</w:t>
            </w:r>
          </w:p>
        </w:tc>
        <w:tc>
          <w:tcPr>
            <w:tcW w:w="0" w:type="dxa"/>
            <w:vAlign w:val="bottom"/>
          </w:tcPr>
          <w:p>
            <w:pPr>
              <w:spacing w:after="0"/>
              <w:rPr>
                <w:sz w:val="1"/>
                <w:szCs w:val="1"/>
                <w:color w:val="auto"/>
              </w:rPr>
            </w:pPr>
          </w:p>
        </w:tc>
      </w:tr>
      <w:tr>
        <w:trPr>
          <w:trHeight w:val="71"/>
        </w:trPr>
        <w:tc>
          <w:tcPr>
            <w:tcW w:w="45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95"/>
              <w:spacing w:after="0"/>
              <w:rPr>
                <w:sz w:val="20"/>
                <w:szCs w:val="20"/>
                <w:color w:val="auto"/>
              </w:rPr>
            </w:pPr>
            <w:r>
              <w:rPr>
                <w:rFonts w:ascii="Arial" w:cs="Arial" w:eastAsia="Arial" w:hAnsi="Arial"/>
                <w:sz w:val="14"/>
                <w:szCs w:val="14"/>
                <w:b w:val="1"/>
                <w:bCs w:val="1"/>
                <w:color w:val="auto"/>
                <w:w w:val="99"/>
              </w:rPr>
              <w:t>(In thousands)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2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2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228,730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164,936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63,794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2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2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(183,483)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(156,061)</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(27,422)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710</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19,247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(11,215)</w:t>
            </w:r>
          </w:p>
        </w:tc>
        <w:tc>
          <w:tcPr>
            <w:tcW w:w="2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30,462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120" w:type="dxa"/>
            <w:vAlign w:val="bottom"/>
            <w:vMerge w:val="restart"/>
          </w:tcPr>
          <w:p>
            <w:pPr>
              <w:jc w:val="right"/>
              <w:ind w:right="830"/>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45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primary method for funding operations and growth has been through cash flows generated from operating activities. Net cash provided by operating activities increased to $228.7 million during the nine months ended June 30, 2020 from $164.9 million during the nine months ended June 30, 2019. The $63.8 million increase was attributable to a $39.7 million increase in net income, a $20.3 million increase in non-cash items, including a $15.0 million increase in operating lease costs and a $6.3 million increase in share-based compensation expense, and a $3.8 million increase that resulted from timing of receipts and payments in our ordinary course of business.</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Net cash used in investing activities increased to $23.3 million for the nine months ended June 30, 2020 from $20.8 million for the nine months ended June 30, 2019. The $2.5 million increase was primarily attributable to a $2.9 million increase in purchases of property and equipment.</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Net cash used in financing activities increased to $183.5 million for the nine months ended June 30, 2020 from $156.1 million for the nine months ended June 30, 2019. The $27.4 million increase was primarily attributable to a $300.0 million increase in payments, net of proceeds, on our revolving line of credit, a $48.9 million increase in taxes paid related to net share settlement of equity awards, a $31.1 million increase in repurchases of common stock, and a $6.8 million increase in debt issuance cost, partially offset by a $350.0 million increase in proceeds from issuance of senior notes and a $10.2 million increase in proceeds from issuance of treasury stock under employee stock plans.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July 2019, our Board of Directors approved a stock repurchase program following the completion of our previous program. This program was open-ended and authorized repurchases of shares of our common stock up to an aggregate cost of $250.0 million in the open market or in negotiated transactions.</w:t>
      </w:r>
    </w:p>
    <w:p>
      <w:pPr>
        <w:spacing w:after="0" w:line="7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Pursuant to the July 2019 program, we repurchased 157,477 shares of our common stock at a total repurchase price of $54.0 million and 615,456 shares of our common stock at a total repurchase price of $210.0 million during the quarter and nine months ended June 30, 2020, respectively.</w:t>
      </w:r>
    </w:p>
    <w:p>
      <w:pPr>
        <w:spacing w:after="0" w:line="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July 2020, our Board of Directors approved a new stock repurchase program following the completion of the July 2019 program. The new program is open-ended and authorizes repurchases of shares of our common stock up to an aggregate cost of $250.0 million in the open market or in negotiated transactions.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 of Credit</w:t>
      </w:r>
    </w:p>
    <w:p>
      <w:pPr>
        <w:spacing w:after="0" w:line="12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have a $400 million unsecured revolving line of credit with a syndicate of banks that expires on May 8, 2023.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maximum consolidated leverage ratio of 3.25 on an average trailing four-quarter basis, subject to a step up to 3.75 following certain permitted acquisitions; and a minimum fixed charge ratio of 2.5 through the maturity of our 2010 Senior Notes in July 2020, upon which maintaining a minimum interest coverage ratio of 3.00. The credit agreement also contains other covenants typical of unsecured facilities. As of June 30, 2020, we had $103.0 million in borrowings outstanding at a weighted average interest rate of 1.313% and were in compliance with all financial covenants under this credit facility, and do not believe we are at material risk of not meeting these covenants due to COVID-19.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July 14, 2010, we issued $245 million of senior notes in a private placement to a group of institutional investors (the “2010 Senior Notes”). The 2010 Senior Notes were issued in four series with maturities ranging from 6 to 10 years. The outstanding 2010 Senior Notes’ weighted average interest rate is 5.6% and the weighted average maturity is 10.0 years. The 2010 Senior Notes required interest payments semi-annually and contained certain restrictive covenants, including the maintenance of a maximum consolidated net debt to consolidated EBITDA ratio of 3.00 and a minimum fixed charge coverage ratio of 2.50. In July 2020, we repaid the final principal amount of the 2010 Senior Notes at maturity. 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and along with the 2010 Senior Notes and 2018 Senior Notes, the “Senior Notes”). The 2019 Senior Notes require interest payments semi-annually at a rate of 4.00% per annum and will mature on June 15, 2028. The purchase agreements for the 2010 Senior Notes, as well as the indenture for the 2018 Senior Notes and the 2019 Senior Notes, contain certain covenants typical of unsecured obligations. As of June 30, 2020, the carrying value of the Senior Notes was $824.0 million and we were in compliance with all financial covenants under these obligations, and do not believe we are at material risk of not meeting these covenants due to COVID-19.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do not have any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prepare our consolidated financial statements in conformity with U.S. generally accepted accounting principles.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intangible assets resulting from business acquisitions,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w:t>
      </w:r>
    </w:p>
    <w:p>
      <w:pPr>
        <w:spacing w:after="0" w:line="2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the following critical accounting policies involve the most significant judgments and estimates used in the preparation of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Contracts with Customers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revenue is primarily derived from term-based or perpetual licensing of software and scoring products and solutions, and associated maintenance; SaaS subscription services; scoring and credit monitoring services for consumers; and professional services. For contracts with customers that contain various combinations of products and services, we evaluate whether the products or services are distinct—distinct products or services will be accounted for as separate performance obligations, while non-distinct products or services are combined with others to form a single performance obligation. For contracts with multiple performance obligations, the transaction price is allocated to each performance obligation on a relative standalone selling price basis. Revenue is recognized when control of the promised goods or services is transferred to our customers.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License revenue is derived from contracts in which we grant our direct customers or distributors the right to deploy or resell our software and scoring products and solutions on-premises. Our software offerings often include a perpetual or term-based license and post-contract support or maintenance, both of which generally represent distinct performance obligations and are accounted for separately. The transaction price is either in the form of a fixed consideration with separate stated prices for license and maintenance, or a usage-based royalty—sometimes subject to a guaranteed minimum—for the license and maintenance bundle. When the amount is in the form of a fixed consideration, including the guaranteed minimum in usage-based royalty, license revenue from distinct on-premises license is recognized at the point in time when the software or scoring solution is made available to the customer or distributor. Any royalties not subject to the guaranteed minimum or earned in excess of the minimum amount are recognized as transactional revenue when the subsequent sales or usage occurs. Revenue allocated to maintenance is generally recognized ratably over the contract period as customers simultaneously consume and receive benefits.</w:t>
      </w:r>
    </w:p>
    <w:p>
      <w:pPr>
        <w:spacing w:after="0" w:line="12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In addition to usage-based royalty on our software and scoring products, transactional revenue is also derived from SaaS contracts in which we provide customers with access to and standard support for our software application either in the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Analytic Cloud or AWS, our primary cloud infrastructure provider, on a subscription basis. The transaction price typically includes a fixed consideration in the form of a guaranteed minimum that allows up to a certain level of usage and a variable consideration in the form of usage or transaction-based fees in excess of the minimum threshold; or usage or transaction-based variable amount not subject to a minimum threshold. We determined the nature of our SaaS arrangements is to provide continuous access to our hosted application in the cloud, i.e., a stand-ready obligation that comprises a series of distinct service periods (e.g., a series of distinct daily, monthly or annual periods of service). We estimate the total variable consideration at contract inception—subject to any constraints that may apply—and update the estimates as new information becomes available and recognize the amount ratably over the SaaS service period, unless we determine it is appropriate to allocate the variable amount to each distinct service period and recognize revenue in the period during which it is earned.</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derive transactional revenue from credit scoring and monitoring services that provide consumers access to their credit reports and enable them to monitor their credit. These are provided as either a one-time or ongoing subscription service renewed monthly or annually, all with a fixed consideration. We determined the nature of the subscription service is a stand-ready obligation to generate credit reports, provide credit monitoring and other services for our customers, which comprises a series of distinct service periods (e.g., a series of distinct daily, monthly or annual periods of service). Revenue from one-time or monthly subscription services is recognized during the period when service is performed. Revenue from annual subscription services is recognized ratably over the subscription period.</w:t>
      </w:r>
    </w:p>
    <w:p>
      <w:pPr>
        <w:spacing w:after="0" w:line="13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Professional services include software or SaaS implementation, consulting, model development, training services and premium cloud support. They are sold either standalone, or together with other products or services and generally represent distinct performance obligations. The transaction price can be a fixed amount or on a time and materials basis. Revenue on fixed-price services is recognized using an input method based on labor hours expended which we believe provides a faithful depiction of the transfer of services. Revenue on services provided on a time and materials basis is recognized applying the “right-to-invoice” practical expedient as the amount to which we have a right to invoice the customer corresponds directly with the value of our performance to the customer. In addition, we sell premium cloud support on a subscription basis for a fixed amount, and revenue is recognized ratably over the contract term.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Accounting for our acquisitions requires us to recognize, separately from goodwill, the assets acquired and the liabilities assumed at their acquisition-date fair values. Goodwill as of the acquisition date is measured as the excess of consideration transferred and the net of the acquisition-date fair values of the assets acquired and the liabilities assumed.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and comprehensive income.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If we cannot reasonably determine the fair value of a pre-acquisition contingency (non-income tax related) by the end of the measurement period, we will recognize an asset or a liability for such pre-acquisition contingency if: (i) it is probable that an asset existed or a liability had been incurred at the acquisition date and (ii) the amount of the asset or liability can be reasonably estimated. Although we believe the assumptions and estimates we have made in the past have been reasonable and appropriate, they are based in part on historical experience and information obtained from the management of the acquired companies and are inherently uncertain. Subsequent to the measurement period, changes in our estimates of such contingencies will affect earnings and could have a material effect on our consolidated results of operations and financial position.</w:t>
      </w:r>
    </w:p>
    <w:p>
      <w:pPr>
        <w:spacing w:after="0" w:line="11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Examples of critical estimates in valuing certain of the intangible assets we have acquired include but are not limited to: (i) future expected cash flows from software license sales, support agreements, consulting contracts, other customer contracts and acquired developed technologies and patents; (ii) expected costs to develop the in-process research and development into commercially viable products and estimated cash flows from the projects when completed; and (iii) the acquired company’s brand and competitive position, as well as assumptions about the period of time the acquired brand will continue to be used in the combined company’s product portfolio. Unanticipated events and circumstances may occur that may affect the accuracy or validity of such assumptions, estimates or actual results. Historically, there have been no significant changes in our estimates or assumptions. To the extent a significant acquisition is made during a fiscal year, as appropriate we will expand the discussion to include specific assumptions and inputs used to determine the fair value of our acquired intangible assets.</w:t>
      </w:r>
    </w:p>
    <w:p>
      <w:pPr>
        <w:spacing w:after="0" w:line="1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uncertain tax positions and tax-related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provided that we are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statements of income and comprehensive income and could have a material impact on our consolidated results of operations and financial position. Historically, there have been no significant changes in our valuation allowances or uncertain tax positions as it relates to business combinations. We do not believe there is a reasonable likelihood there will be a material change in the future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Acquisition Intangibles and Other Long-Lived Assets - Impairment Assessment</w:t>
      </w:r>
    </w:p>
    <w:p>
      <w:pPr>
        <w:spacing w:after="0" w:line="9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Goodwill represents the excess of cost over the fair value of identifiable assets acquired and liabilities assumed in business combinations. We assess goodwill for impairment for each of our reporting units on an annual basis during the fourth quarter using a July 1 measurement date unless circumstances require a more frequent measurement. We have determined that our reporting units are the same as our reportable segments.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the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Using assumptions that are different from those used in our estimates, but in each case reasonable, could produce significantly different results and materially affect the determination of fair value and/or goodwill impairment for each reporting unit. For example, if the economic environment impacts our forecasts beyond what we have anticipated, it could cause the fair value of a reporting unit to fall below its respective carrying value.</w:t>
      </w:r>
    </w:p>
    <w:p>
      <w:pPr>
        <w:spacing w:after="0" w:line="12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For fiscal 2017, we elected to proceed directly to the step one quantitative analysis for all of our reporting units, as three years had elapsed since the date of our previous quantitative valuation. There was a substantial excess of fair value over carrying value for each of our reporting units and we determined goodwill was not impaired for any of our reporting units for fiscal 2017. For fiscal 2018 and 2019, we performed a step zero qualitative analysis for our annual assessment of goodwill impairment. After evaluating and weighing all relevant events and circumstances, we concluded that it is not more likely than not that the fair value of any of our reporting units was less their carrying amounts. Consequently, we did not perform a step one quantitative analysis and determined goodwill was not impaired for any of our reporting units for fiscal 2018 and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intangible assets that have finite useful lives and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our intangible assets or other long-lived assets could occur. We review the estimated remaining useful lives of our acquired intangible assets at each reporting period. A reduction in our estimate of remaining useful lives, if any, could result in increased annual amortization expense in future periods.</w:t>
      </w:r>
    </w:p>
    <w:p>
      <w:pPr>
        <w:spacing w:after="0" w:line="11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discussed above, while we believe that the assumptions and estimates utilized were appropriate based on the information available to management, different assumptions, judgments and estimates could materially affect our impairment assessments for our goodwill, acquired intangibles with finite lives and other long-lived assets. Historically, there have been no significant changes in our estimates or assumptions that would have had a material impact for our goodwill or intangible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measure stock-based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the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Historically, there have been no material changes in our estimates or assumptions. We do not believe there is a reasonable likelihood there will be a material change in the future estimates or assumptions.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balance sheet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11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accounting policies associated with tax-related contingencies and valuation allowances assumed as part of a business combination is provided under “Business Combinations”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9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various proceedings, lawsuits and claims relating to products and services, technology, labor, stockholder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Historically, there have been no material changes in our estimates or assumptions. We do not believe there is a reasonable likelihood there will be a material change in the future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2016, the FASB issued Topic 842, which requires the recognition of operating lease assets and lease liabilities on the balance sheet. Leases will be classified as either finance or operating, with classification affecting the pattern of expense recognition in the income statement. Under the new standard, disclosures are required to enable users of financial statements to assess the amount, timing and uncertainty of cash flows arising from leases.</w:t>
      </w:r>
    </w:p>
    <w:p>
      <w:pPr>
        <w:spacing w:after="0" w:line="30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the first quarter of fiscal 2020, we adopted Topic 842 using the “Comparatives Under 840 Option” approach to transition. In accordance with the standard, the comparative information has not been restated and continues to be reported under the accounting standards in effect for those periods. Topic 842 provides a package of practical expedients that allow us to not reassess (1) whether any expired or existing contracts contain a lease, (2) the lease classification of any expired or existing lease, and (3) initial direct costs for any existing leases. We elected to apply the package of practical expedients, and did not elect the hindsight practical expedient in determining the lease term for existing leases as of October 1, 2019.</w:t>
      </w:r>
    </w:p>
    <w:p>
      <w:pPr>
        <w:spacing w:after="0" w:line="29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Adoption of Topic 842 did not result in the recognition of a cumulative-effect adjustment to the opening balance of retained earnings in the period of adoption. The most significant impact of adoption was the recognition of operating lease assets and operating lease liabilities of $89.8 million and $98.9 million, respectively, while our accounting for existing capital leases (now referred to as finance leases) remained substantially unchanged. We expect the impact of adoption to be immaterial to our consolidated statements of income and comprehensive income and consolidated statements of cash flows on an ongoing basis. As part of our adoption, we also modified our control procedures and processes, none of which materially affected our internal control over financial reporting. See Note 13 to the accompanying condensed consolidated financial statements for additional information regarding our accounting policy for leases and additional disclosures.</w:t>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August 2018, the FASB issued ASU No. 2018-15, “</w:t>
      </w:r>
      <w:r>
        <w:rPr>
          <w:rFonts w:ascii="Arial" w:cs="Arial" w:eastAsia="Arial" w:hAnsi="Arial"/>
          <w:sz w:val="16"/>
          <w:szCs w:val="16"/>
          <w:i w:val="1"/>
          <w:iCs w:val="1"/>
          <w:color w:val="auto"/>
        </w:rPr>
        <w:t>Intangibles—Goodwill and Other (Topic 350): Internal-Use Software</w:t>
      </w:r>
      <w:r>
        <w:rPr>
          <w:rFonts w:ascii="Arial" w:cs="Arial" w:eastAsia="Arial" w:hAnsi="Arial"/>
          <w:sz w:val="16"/>
          <w:szCs w:val="16"/>
          <w:color w:val="auto"/>
        </w:rPr>
        <w:t>” (“ASU 2018-15”). ASU 2018-15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and interim periods within those fiscal years beginning after December 15, 2019, which means that it will be effective for our fiscal year beginning October 1, 2020. Early adoption is permitted. We do not believe that adoption of ASU 2018-15 will have a significant impact on our consolidated financial statements.</w:t>
      </w:r>
    </w:p>
    <w:p>
      <w:pPr>
        <w:spacing w:after="0" w:line="10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and subsequent amendments to the initial guidance: ASU 2018-19, ASU 2019-04, ASU 2019-05 and ASU 2019-11 (collectively, “Topic</w:t>
      </w:r>
      <w:r>
        <w:rPr>
          <w:rFonts w:ascii="Arial" w:cs="Arial" w:eastAsia="Arial" w:hAnsi="Arial"/>
          <w:sz w:val="16"/>
          <w:szCs w:val="16"/>
          <w:i w:val="1"/>
          <w:iCs w:val="1"/>
          <w:color w:val="auto"/>
        </w:rPr>
        <w:t xml:space="preserve"> </w:t>
      </w:r>
      <w:r>
        <w:rPr>
          <w:rFonts w:ascii="Arial" w:cs="Arial" w:eastAsia="Arial" w:hAnsi="Arial"/>
          <w:sz w:val="16"/>
          <w:szCs w:val="16"/>
          <w:color w:val="auto"/>
        </w:rPr>
        <w:t>326”). Topic 326 requires measurement and recognition of expected credit losses for financial assets held. Topic 326 is effective for fiscal years and interim periods within those fiscal years beginning after December 15, 2019, which means it will be effective for our fiscal year beginning October 1, 2020. Early adoption is permitted. We do not believe that adoption of Topic 326 will have a significant impact on our consolidated financial statements.</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expect that any other recently issued accounting pronouncements will have a significant effect on our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exposed to market risk related to changes in interest rates and foreign exchange rates. We do not use derivative financial instruments for speculative or trading purposes.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June 30, 2020 and September 30,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June 30, 2020</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w w:val="93"/>
              </w:rPr>
              <w:t>September 30, 2019</w:t>
            </w:r>
          </w:p>
        </w:tc>
        <w:tc>
          <w:tcPr>
            <w:tcW w:w="1340" w:type="dxa"/>
            <w:vAlign w:val="bottom"/>
            <w:tcBorders>
              <w:bottom w:val="single" w:sz="8" w:color="auto"/>
            </w:tcBorders>
          </w:tcPr>
          <w:p>
            <w:pPr>
              <w:spacing w:after="0"/>
              <w:rPr>
                <w:sz w:val="16"/>
                <w:szCs w:val="16"/>
                <w:color w:val="auto"/>
              </w:rPr>
            </w:pPr>
          </w:p>
        </w:tc>
      </w:tr>
      <w:tr>
        <w:trPr>
          <w:trHeight w:val="152"/>
        </w:trPr>
        <w:tc>
          <w:tcPr>
            <w:tcW w:w="1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ind w:left="240"/>
              <w:spacing w:after="0" w:line="153" w:lineRule="exact"/>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3"/>
                <w:szCs w:val="13"/>
                <w:color w:val="auto"/>
              </w:rPr>
            </w:pPr>
          </w:p>
        </w:tc>
        <w:tc>
          <w:tcPr>
            <w:tcW w:w="1460" w:type="dxa"/>
            <w:vAlign w:val="bottom"/>
          </w:tcPr>
          <w:p>
            <w:pPr>
              <w:jc w:val="center"/>
              <w:ind w:right="424"/>
              <w:spacing w:after="0" w:line="153" w:lineRule="exact"/>
              <w:rPr>
                <w:sz w:val="20"/>
                <w:szCs w:val="20"/>
                <w:color w:val="auto"/>
              </w:rPr>
            </w:pPr>
            <w:r>
              <w:rPr>
                <w:rFonts w:ascii="Arial" w:cs="Arial" w:eastAsia="Arial" w:hAnsi="Arial"/>
                <w:sz w:val="14"/>
                <w:szCs w:val="14"/>
                <w:b w:val="1"/>
                <w:bCs w:val="1"/>
                <w:color w:val="auto"/>
                <w:w w:val="97"/>
              </w:rPr>
              <w:t>Carrying</w:t>
            </w:r>
          </w:p>
        </w:tc>
        <w:tc>
          <w:tcPr>
            <w:tcW w:w="1800" w:type="dxa"/>
            <w:vAlign w:val="bottom"/>
            <w:gridSpan w:val="3"/>
          </w:tcPr>
          <w:p>
            <w:pPr>
              <w:jc w:val="center"/>
              <w:ind w:right="58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3"/>
                <w:szCs w:val="13"/>
                <w:color w:val="auto"/>
              </w:rPr>
            </w:pPr>
          </w:p>
        </w:tc>
        <w:tc>
          <w:tcPr>
            <w:tcW w:w="1580" w:type="dxa"/>
            <w:vAlign w:val="bottom"/>
          </w:tcPr>
          <w:p>
            <w:pPr>
              <w:jc w:val="center"/>
              <w:ind w:right="344"/>
              <w:spacing w:after="0" w:line="153" w:lineRule="exact"/>
              <w:rPr>
                <w:sz w:val="20"/>
                <w:szCs w:val="20"/>
                <w:color w:val="auto"/>
              </w:rPr>
            </w:pPr>
            <w:r>
              <w:rPr>
                <w:rFonts w:ascii="Arial" w:cs="Arial" w:eastAsia="Arial" w:hAnsi="Arial"/>
                <w:sz w:val="14"/>
                <w:szCs w:val="14"/>
                <w:b w:val="1"/>
                <w:bCs w:val="1"/>
                <w:color w:val="auto"/>
                <w:w w:val="97"/>
              </w:rPr>
              <w:t>Carrying</w:t>
            </w:r>
          </w:p>
        </w:tc>
        <w:tc>
          <w:tcPr>
            <w:tcW w:w="134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0"/>
              </w:rPr>
              <w:t>Average</w:t>
            </w:r>
          </w:p>
        </w:tc>
      </w:tr>
      <w:tr>
        <w:trPr>
          <w:trHeight w:val="192"/>
        </w:trPr>
        <w:tc>
          <w:tcPr>
            <w:tcW w:w="1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Basis</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24"/>
              <w:spacing w:after="0"/>
              <w:rPr>
                <w:sz w:val="20"/>
                <w:szCs w:val="20"/>
                <w:color w:val="auto"/>
              </w:rPr>
            </w:pPr>
            <w:r>
              <w:rPr>
                <w:rFonts w:ascii="Arial" w:cs="Arial" w:eastAsia="Arial" w:hAnsi="Arial"/>
                <w:sz w:val="14"/>
                <w:szCs w:val="14"/>
                <w:b w:val="1"/>
                <w:bCs w:val="1"/>
                <w:color w:val="auto"/>
                <w:w w:val="98"/>
              </w:rPr>
              <w:t>Amount</w:t>
            </w:r>
          </w:p>
        </w:tc>
        <w:tc>
          <w:tcPr>
            <w:tcW w:w="180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5"/>
              </w:rPr>
              <w:t>Yield</w:t>
            </w: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Basis</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Yield</w:t>
            </w:r>
          </w:p>
        </w:tc>
      </w:tr>
      <w:tr>
        <w:trPr>
          <w:trHeight w:val="196"/>
        </w:trPr>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920" w:type="dxa"/>
            <w:vAlign w:val="bottom"/>
            <w:gridSpan w:val="4"/>
          </w:tcPr>
          <w:p>
            <w:pPr>
              <w:jc w:val="right"/>
              <w:ind w:right="742"/>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5"/>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125,673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125,673</w:t>
            </w:r>
          </w:p>
        </w:tc>
        <w:tc>
          <w:tcPr>
            <w:tcW w:w="1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0.07%  $</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106,426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4"/>
              <w:spacing w:after="0"/>
              <w:rPr>
                <w:sz w:val="20"/>
                <w:szCs w:val="20"/>
                <w:color w:val="auto"/>
              </w:rPr>
            </w:pPr>
            <w:r>
              <w:rPr>
                <w:rFonts w:ascii="Arial" w:cs="Arial" w:eastAsia="Arial" w:hAnsi="Arial"/>
                <w:sz w:val="18"/>
                <w:szCs w:val="18"/>
                <w:color w:val="auto"/>
              </w:rPr>
              <w:t>106,426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7"/>
        </w:trPr>
        <w:tc>
          <w:tcPr>
            <w:tcW w:w="1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July 14, 2010, we issued $245 million of senior notes in a private placement to a group of institutional investors (the “2010 Senior Notes”). On May 8, 2018, we issued $400 million of senior notes in a private placement to a group of institutional investors (the “2018 Senior Notes”). On December 6, 2019, we issued $350 million of senior notes in a private offering to qualified institutional investors (the “2019 Senior Notes,” and along with the 2010 Senior Notes and 2018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June 30, 2020 and September 30, 2019: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 2020</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300" w:type="dxa"/>
            <w:vAlign w:val="bottom"/>
            <w:tcBorders>
              <w:bottom w:val="single" w:sz="8" w:color="auto"/>
            </w:tcBorders>
          </w:tcPr>
          <w:p>
            <w:pPr>
              <w:spacing w:after="0"/>
              <w:rPr>
                <w:sz w:val="16"/>
                <w:szCs w:val="16"/>
                <w:color w:val="auto"/>
              </w:rPr>
            </w:pPr>
          </w:p>
        </w:tc>
      </w:tr>
      <w:tr>
        <w:trPr>
          <w:trHeight w:val="263"/>
        </w:trPr>
        <w:tc>
          <w:tcPr>
            <w:tcW w:w="3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Face Value (*)</w:t>
            </w:r>
          </w:p>
        </w:tc>
        <w:tc>
          <w:tcPr>
            <w:tcW w:w="4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Face Value (*)</w:t>
            </w:r>
          </w:p>
        </w:tc>
        <w:tc>
          <w:tcPr>
            <w:tcW w:w="6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98"/>
              </w:rPr>
              <w:t>Fair Value</w:t>
            </w:r>
          </w:p>
        </w:tc>
      </w:tr>
      <w:tr>
        <w:trPr>
          <w:trHeight w:val="196"/>
        </w:trPr>
        <w:tc>
          <w:tcPr>
            <w:tcW w:w="3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6"/>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2010 Senior Notes</w:t>
            </w:r>
          </w:p>
        </w:tc>
        <w:tc>
          <w:tcPr>
            <w:tcW w:w="3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85,085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86,121</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The 2018 Senior Notes</w:t>
            </w:r>
          </w:p>
        </w:tc>
        <w:tc>
          <w:tcPr>
            <w:tcW w:w="3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438,000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428,000</w:t>
            </w:r>
          </w:p>
        </w:tc>
      </w:tr>
      <w:tr>
        <w:trPr>
          <w:trHeight w:val="27"/>
        </w:trPr>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2019 Senior Notes</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3280" w:type="dxa"/>
            <w:vAlign w:val="bottom"/>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835,000</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873,085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485,000</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514,121</w:t>
            </w:r>
          </w:p>
        </w:tc>
      </w:tr>
      <w:tr>
        <w:trPr>
          <w:trHeight w:val="20"/>
        </w:trPr>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13"/>
        <w:spacing w:after="0" w:line="277" w:lineRule="auto"/>
        <w:tabs>
          <w:tab w:leader="none" w:pos="667" w:val="left"/>
        </w:tabs>
        <w:numPr>
          <w:ilvl w:val="0"/>
          <w:numId w:val="21"/>
        </w:numPr>
        <w:rPr>
          <w:rFonts w:ascii="Arial" w:cs="Arial" w:eastAsia="Arial" w:hAnsi="Arial"/>
          <w:sz w:val="16"/>
          <w:szCs w:val="16"/>
          <w:color w:val="auto"/>
        </w:rPr>
      </w:pPr>
      <w:r>
        <w:rPr>
          <w:rFonts w:ascii="Arial" w:cs="Arial" w:eastAsia="Arial" w:hAnsi="Arial"/>
          <w:sz w:val="18"/>
          <w:szCs w:val="18"/>
          <w:color w:val="auto"/>
        </w:rPr>
        <w:t>The carrying value of the Senior Notes was reduced by the net debt issuance costs of $11.0 million and $5.2 million at June 30, 2020 and September 30, 2019, respectively.</w:t>
      </w:r>
    </w:p>
    <w:p>
      <w:pPr>
        <w:spacing w:after="0" w:line="17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have a $400 million unsecured revolving line of credit with a syndicate of banks that expires on May 8, 2023.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A change in interest rates on this variable rate debt impacts the interest incurred and cash flows, but does not impact the fair value of the instrument. We had $103.0 million in borrowings outstanding at a weighted average interest rate of 1.313% under the credit facility as of June 30, 2020.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June 30, 2020 and September 30, 2019:</w:t>
      </w:r>
    </w:p>
    <w:p>
      <w:pPr>
        <w:spacing w:after="0" w:line="174"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03" w:lineRule="exact"/>
        <w:rPr>
          <w:sz w:val="20"/>
          <w:szCs w:val="20"/>
          <w:color w:val="auto"/>
        </w:rPr>
      </w:pPr>
    </w:p>
    <w:tbl>
      <w:tblPr>
        <w:tblLayout w:type="fixed"/>
        <w:tblInd w:w="5960" w:type="dxa"/>
        <w:tblCellMar>
          <w:top w:w="0" w:type="dxa"/>
          <w:left w:w="0" w:type="dxa"/>
          <w:bottom w:w="0" w:type="dxa"/>
          <w:right w:w="0" w:type="dxa"/>
        </w:tblCellMar>
      </w:tblPr>
      <w:tr>
        <w:trPr>
          <w:trHeight w:val="192"/>
        </w:trPr>
        <w:tc>
          <w:tcPr>
            <w:tcW w:w="262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Contract Amount</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2620" w:type="dxa"/>
            <w:vAlign w:val="bottom"/>
          </w:tcPr>
          <w:p>
            <w:pPr>
              <w:jc w:val="center"/>
              <w:ind w:right="388"/>
              <w:spacing w:after="0" w:line="153" w:lineRule="exact"/>
              <w:rPr>
                <w:sz w:val="20"/>
                <w:szCs w:val="20"/>
                <w:color w:val="auto"/>
              </w:rPr>
            </w:pPr>
            <w:r>
              <w:rPr>
                <w:rFonts w:ascii="Arial" w:cs="Arial" w:eastAsia="Arial" w:hAnsi="Arial"/>
                <w:sz w:val="14"/>
                <w:szCs w:val="14"/>
                <w:b w:val="1"/>
                <w:bCs w:val="1"/>
                <w:color w:val="auto"/>
                <w:w w:val="93"/>
              </w:rPr>
              <w:t>Foreign</w:t>
            </w: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USD</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186"/>
        </w:trPr>
        <w:tc>
          <w:tcPr>
            <w:tcW w:w="2620" w:type="dxa"/>
            <w:vAlign w:val="bottom"/>
          </w:tcPr>
          <w:p>
            <w:pPr>
              <w:jc w:val="center"/>
              <w:ind w:right="408"/>
              <w:spacing w:after="0"/>
              <w:rPr>
                <w:sz w:val="20"/>
                <w:szCs w:val="20"/>
                <w:color w:val="auto"/>
              </w:rPr>
            </w:pPr>
            <w:r>
              <w:rPr>
                <w:rFonts w:ascii="Arial" w:cs="Arial" w:eastAsia="Arial" w:hAnsi="Arial"/>
                <w:sz w:val="14"/>
                <w:szCs w:val="14"/>
                <w:b w:val="1"/>
                <w:bCs w:val="1"/>
                <w:color w:val="auto"/>
                <w:w w:val="94"/>
              </w:rPr>
              <w:t>Currency</w:t>
            </w:r>
          </w:p>
        </w:tc>
        <w:tc>
          <w:tcPr>
            <w:tcW w:w="120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7620</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 foreign currency: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380"/>
              <w:spacing w:after="0"/>
              <w:rPr>
                <w:sz w:val="20"/>
                <w:szCs w:val="20"/>
                <w:color w:val="auto"/>
              </w:rPr>
            </w:pPr>
            <w:r>
              <w:rPr>
                <w:rFonts w:ascii="Arial" w:cs="Arial" w:eastAsia="Arial" w:hAnsi="Arial"/>
                <w:sz w:val="18"/>
                <w:szCs w:val="18"/>
                <w:color w:val="auto"/>
              </w:rPr>
              <w:t>Euro (EUR)</w:t>
            </w:r>
          </w:p>
        </w:tc>
        <w:tc>
          <w:tcPr>
            <w:tcW w:w="2880" w:type="dxa"/>
            <w:vAlign w:val="bottom"/>
          </w:tcPr>
          <w:p>
            <w:pPr>
              <w:ind w:left="1940"/>
              <w:spacing w:after="0"/>
              <w:rPr>
                <w:sz w:val="20"/>
                <w:szCs w:val="20"/>
                <w:color w:val="auto"/>
              </w:rPr>
            </w:pPr>
            <w:r>
              <w:rPr>
                <w:rFonts w:ascii="Arial" w:cs="Arial" w:eastAsia="Arial" w:hAnsi="Arial"/>
                <w:sz w:val="18"/>
                <w:szCs w:val="18"/>
                <w:color w:val="auto"/>
              </w:rPr>
              <w:t>EUR</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10,400</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11,629</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foreign currency:</w:t>
            </w:r>
          </w:p>
        </w:tc>
        <w:tc>
          <w:tcPr>
            <w:tcW w:w="2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380"/>
              <w:spacing w:after="0"/>
              <w:rPr>
                <w:sz w:val="20"/>
                <w:szCs w:val="20"/>
                <w:color w:val="auto"/>
              </w:rPr>
            </w:pPr>
            <w:r>
              <w:rPr>
                <w:rFonts w:ascii="Arial" w:cs="Arial" w:eastAsia="Arial" w:hAnsi="Arial"/>
                <w:sz w:val="18"/>
                <w:szCs w:val="18"/>
                <w:color w:val="auto"/>
              </w:rPr>
              <w:t>British pound (GBP)</w:t>
            </w:r>
          </w:p>
        </w:tc>
        <w:tc>
          <w:tcPr>
            <w:tcW w:w="2880" w:type="dxa"/>
            <w:vAlign w:val="bottom"/>
          </w:tcPr>
          <w:p>
            <w:pPr>
              <w:ind w:left="1940"/>
              <w:spacing w:after="0"/>
              <w:rPr>
                <w:sz w:val="20"/>
                <w:szCs w:val="20"/>
                <w:color w:val="auto"/>
              </w:rPr>
            </w:pPr>
            <w:r>
              <w:rPr>
                <w:rFonts w:ascii="Arial" w:cs="Arial" w:eastAsia="Arial" w:hAnsi="Arial"/>
                <w:sz w:val="18"/>
                <w:szCs w:val="18"/>
                <w:color w:val="auto"/>
              </w:rPr>
              <w:t>GBP</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19,434</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23,900</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Singapore dollar (SGD)</w:t>
            </w:r>
          </w:p>
        </w:tc>
        <w:tc>
          <w:tcPr>
            <w:tcW w:w="288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SGD</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9,895</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7,100</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3" w:lineRule="exact"/>
        <w:rPr>
          <w:sz w:val="20"/>
          <w:szCs w:val="20"/>
          <w:color w:val="auto"/>
        </w:rPr>
      </w:pPr>
    </w:p>
    <w:tbl>
      <w:tblPr>
        <w:tblLayout w:type="fixed"/>
        <w:tblInd w:w="5960" w:type="dxa"/>
        <w:tblCellMar>
          <w:top w:w="0" w:type="dxa"/>
          <w:left w:w="0" w:type="dxa"/>
          <w:bottom w:w="0" w:type="dxa"/>
          <w:right w:w="0" w:type="dxa"/>
        </w:tblCellMar>
      </w:tblPr>
      <w:tr>
        <w:trPr>
          <w:trHeight w:val="192"/>
        </w:trPr>
        <w:tc>
          <w:tcPr>
            <w:tcW w:w="262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Contract Amount</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2620" w:type="dxa"/>
            <w:vAlign w:val="bottom"/>
          </w:tcPr>
          <w:p>
            <w:pPr>
              <w:jc w:val="center"/>
              <w:ind w:right="388"/>
              <w:spacing w:after="0" w:line="153" w:lineRule="exact"/>
              <w:rPr>
                <w:sz w:val="20"/>
                <w:szCs w:val="20"/>
                <w:color w:val="auto"/>
              </w:rPr>
            </w:pPr>
            <w:r>
              <w:rPr>
                <w:rFonts w:ascii="Arial" w:cs="Arial" w:eastAsia="Arial" w:hAnsi="Arial"/>
                <w:sz w:val="14"/>
                <w:szCs w:val="14"/>
                <w:b w:val="1"/>
                <w:bCs w:val="1"/>
                <w:color w:val="auto"/>
                <w:w w:val="93"/>
              </w:rPr>
              <w:t>Foreign</w:t>
            </w: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USD</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186"/>
        </w:trPr>
        <w:tc>
          <w:tcPr>
            <w:tcW w:w="2620" w:type="dxa"/>
            <w:vAlign w:val="bottom"/>
          </w:tcPr>
          <w:p>
            <w:pPr>
              <w:jc w:val="center"/>
              <w:ind w:right="408"/>
              <w:spacing w:after="0"/>
              <w:rPr>
                <w:sz w:val="20"/>
                <w:szCs w:val="20"/>
                <w:color w:val="auto"/>
              </w:rPr>
            </w:pPr>
            <w:r>
              <w:rPr>
                <w:rFonts w:ascii="Arial" w:cs="Arial" w:eastAsia="Arial" w:hAnsi="Arial"/>
                <w:sz w:val="14"/>
                <w:szCs w:val="14"/>
                <w:b w:val="1"/>
                <w:bCs w:val="1"/>
                <w:color w:val="auto"/>
                <w:w w:val="94"/>
              </w:rPr>
              <w:t>Currency</w:t>
            </w:r>
          </w:p>
        </w:tc>
        <w:tc>
          <w:tcPr>
            <w:tcW w:w="120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7620</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 foreign currency: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380"/>
              <w:spacing w:after="0"/>
              <w:rPr>
                <w:sz w:val="20"/>
                <w:szCs w:val="20"/>
                <w:color w:val="auto"/>
              </w:rPr>
            </w:pPr>
            <w:r>
              <w:rPr>
                <w:rFonts w:ascii="Arial" w:cs="Arial" w:eastAsia="Arial" w:hAnsi="Arial"/>
                <w:sz w:val="18"/>
                <w:szCs w:val="18"/>
                <w:color w:val="auto"/>
              </w:rPr>
              <w:t>Euro (EUR)</w:t>
            </w:r>
          </w:p>
        </w:tc>
        <w:tc>
          <w:tcPr>
            <w:tcW w:w="2880" w:type="dxa"/>
            <w:vAlign w:val="bottom"/>
          </w:tcPr>
          <w:p>
            <w:pPr>
              <w:ind w:left="1940"/>
              <w:spacing w:after="0"/>
              <w:rPr>
                <w:sz w:val="20"/>
                <w:szCs w:val="20"/>
                <w:color w:val="auto"/>
              </w:rPr>
            </w:pPr>
            <w:r>
              <w:rPr>
                <w:rFonts w:ascii="Arial" w:cs="Arial" w:eastAsia="Arial" w:hAnsi="Arial"/>
                <w:sz w:val="18"/>
                <w:szCs w:val="18"/>
                <w:color w:val="auto"/>
              </w:rPr>
              <w:t>EUR</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10,800</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11,723</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foreign currency:</w:t>
            </w:r>
          </w:p>
        </w:tc>
        <w:tc>
          <w:tcPr>
            <w:tcW w:w="2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380"/>
              <w:spacing w:after="0"/>
              <w:rPr>
                <w:sz w:val="20"/>
                <w:szCs w:val="20"/>
                <w:color w:val="auto"/>
              </w:rPr>
            </w:pPr>
            <w:r>
              <w:rPr>
                <w:rFonts w:ascii="Arial" w:cs="Arial" w:eastAsia="Arial" w:hAnsi="Arial"/>
                <w:sz w:val="18"/>
                <w:szCs w:val="18"/>
                <w:color w:val="auto"/>
              </w:rPr>
              <w:t>British pound (GBP)</w:t>
            </w:r>
          </w:p>
        </w:tc>
        <w:tc>
          <w:tcPr>
            <w:tcW w:w="2880" w:type="dxa"/>
            <w:vAlign w:val="bottom"/>
          </w:tcPr>
          <w:p>
            <w:pPr>
              <w:ind w:left="1940"/>
              <w:spacing w:after="0"/>
              <w:rPr>
                <w:sz w:val="20"/>
                <w:szCs w:val="20"/>
                <w:color w:val="auto"/>
              </w:rPr>
            </w:pPr>
            <w:r>
              <w:rPr>
                <w:rFonts w:ascii="Arial" w:cs="Arial" w:eastAsia="Arial" w:hAnsi="Arial"/>
                <w:sz w:val="18"/>
                <w:szCs w:val="18"/>
                <w:color w:val="auto"/>
              </w:rPr>
              <w:t>GBP</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5,200</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6,400</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Singapore dollar (SGD)</w:t>
            </w:r>
          </w:p>
        </w:tc>
        <w:tc>
          <w:tcPr>
            <w:tcW w:w="288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SGD</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5,798</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foreign currency forward contracts were entered into on June 30, 2020 and September 30, 2019, respectively; therefore, their fair value was $0 on each of these 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FICO’s management, including the Chief Executive Officer and Chief Financial Officer,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Chief Executive Officer and Chief Financial Officer have concluded that FICO’s disclosure controls and procedures are effective to ensure that information required to be disclosed by FICO in reports that it files or submits under the Exchange Act is (i) recorded, processed, summarized and reported within the time periods specified in SEC rules and forms and (ii) accumulated and communicated to the Chief Executive Officer and Chief Financial Officer to allow timely decisions regarding required disclosure.</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No change in FICO’s internal control over financial reporting was identified in connection with the evaluation required by Rules_13a-15 or 15d-15 of the Exchange Act that occurred during the period covered by this quarterly report and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March 13, 2020, we received a letter from the Antitrust Division of the U.S. Department of Justice (“DOJ”) informing us that the DOJ had opened a civil investigation into potential exclusionary conduct by the Company. We are cooperating with the DOJ in its investigation.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57" w:lineRule="exact"/>
        <w:rPr>
          <w:sz w:val="20"/>
          <w:szCs w:val="20"/>
          <w:color w:val="auto"/>
        </w:rPr>
      </w:pPr>
    </w:p>
    <w:p>
      <w:pPr>
        <w:ind w:left="180" w:right="20"/>
        <w:spacing w:after="0" w:line="342" w:lineRule="auto"/>
        <w:rPr>
          <w:sz w:val="20"/>
          <w:szCs w:val="20"/>
          <w:color w:val="auto"/>
        </w:rPr>
      </w:pPr>
      <w:r>
        <w:rPr>
          <w:rFonts w:ascii="Arial" w:cs="Arial" w:eastAsia="Arial" w:hAnsi="Arial"/>
          <w:sz w:val="16"/>
          <w:szCs w:val="16"/>
          <w:b w:val="1"/>
          <w:bCs w:val="1"/>
          <w:i w:val="1"/>
          <w:iCs w:val="1"/>
          <w:color w:val="auto"/>
        </w:rPr>
        <w:t>The effects of the COVID-19 pandemic have negatively affected how we and our customers are operating our businesses. The duration of these effects, and the extent to which they will impact our future revenues, results of operations and overall financial performance, remain uncertain.</w:t>
      </w:r>
    </w:p>
    <w:p>
      <w:pPr>
        <w:spacing w:after="0" w:line="70" w:lineRule="exact"/>
        <w:rPr>
          <w:sz w:val="20"/>
          <w:szCs w:val="20"/>
          <w:color w:val="auto"/>
        </w:rPr>
      </w:pPr>
    </w:p>
    <w:p>
      <w:pPr>
        <w:jc w:val="both"/>
        <w:ind w:firstLine="229"/>
        <w:spacing w:after="0" w:line="259" w:lineRule="auto"/>
        <w:rPr>
          <w:sz w:val="20"/>
          <w:szCs w:val="20"/>
          <w:color w:val="auto"/>
        </w:rPr>
      </w:pPr>
      <w:r>
        <w:rPr>
          <w:rFonts w:ascii="Arial" w:cs="Arial" w:eastAsia="Arial" w:hAnsi="Arial"/>
          <w:sz w:val="18"/>
          <w:szCs w:val="18"/>
          <w:color w:val="auto"/>
        </w:rPr>
        <w:t>In March 2020, the World Health Organization declared the outbreak of COVID-19, which continues to spread throughout the U.S. and the world, to be a pandemic. As is possible with any significant outbreak of epidemic, pandemic, or contagious diseases, the COVID-19 outbreak has resulted in a widespread health crisis that has adversely affected broader economies and financial markets. COVID-19 has caused shutdowns to businesses and cities worldwide and has disrupted supply chains, business operations, travel, and consumer confidence.</w:t>
      </w:r>
    </w:p>
    <w:p>
      <w:pPr>
        <w:spacing w:after="0" w:line="133" w:lineRule="exact"/>
        <w:rPr>
          <w:sz w:val="20"/>
          <w:szCs w:val="20"/>
          <w:color w:val="auto"/>
        </w:rPr>
      </w:pPr>
    </w:p>
    <w:p>
      <w:pPr>
        <w:jc w:val="both"/>
        <w:ind w:firstLine="229"/>
        <w:spacing w:after="0" w:line="272" w:lineRule="auto"/>
        <w:rPr>
          <w:sz w:val="20"/>
          <w:szCs w:val="20"/>
          <w:color w:val="auto"/>
        </w:rPr>
      </w:pPr>
      <w:r>
        <w:rPr>
          <w:rFonts w:ascii="Arial" w:cs="Arial" w:eastAsia="Arial" w:hAnsi="Arial"/>
          <w:sz w:val="17"/>
          <w:szCs w:val="17"/>
          <w:color w:val="auto"/>
        </w:rPr>
        <w:t>As a result of the COVID-19 pandemic, we have temporarily closed the majority of our offices (including our corporate headquarters in the United States) and implemented travel restrictions, both of which have begun to disrupt how we operate our business. Our operations may be further negatively affected by a range of external factors related to the COVID-19 pandemic that are not within our control. For example, many cities, counties, states, and countries have imposed or may impose a wide range of restrictions on our employees’, partners’ and customers’ physical movement to limit the spread of COVID-19. We have postponed, canceled or shifted certain of our customer, employee or industry events to virtual-only experiences and may continue to do so in the future. If the COVID-19 pandemic has a substantial impact on our employees’, partners’ or customers’ productivity or ability to collaborate, our results of operations and overall financial performance will be harmed.</w:t>
      </w:r>
    </w:p>
    <w:p>
      <w:pPr>
        <w:spacing w:after="0" w:line="123" w:lineRule="exact"/>
        <w:rPr>
          <w:sz w:val="20"/>
          <w:szCs w:val="20"/>
          <w:color w:val="auto"/>
        </w:rPr>
      </w:pPr>
    </w:p>
    <w:p>
      <w:pPr>
        <w:jc w:val="both"/>
        <w:ind w:firstLine="229"/>
        <w:spacing w:after="0" w:line="273" w:lineRule="auto"/>
        <w:rPr>
          <w:sz w:val="20"/>
          <w:szCs w:val="20"/>
          <w:color w:val="auto"/>
        </w:rPr>
      </w:pPr>
      <w:r>
        <w:rPr>
          <w:rFonts w:ascii="Arial" w:cs="Arial" w:eastAsia="Arial" w:hAnsi="Arial"/>
          <w:sz w:val="17"/>
          <w:szCs w:val="17"/>
          <w:color w:val="auto"/>
        </w:rPr>
        <w:t>Our customers, and therefore our business and revenues, are sensitive to negative changes in general economic conditions and lending activities. The COVID-19 pandemic may affect the rate of spending on our solutions and could adversely affect our customers’ ability or willingness to purchase our products and services, cause prospective customers to delay or cancel their purchasing decisions, extend sales cycles, and potentially increase payment defaults, all of which could adversely affect our future revenues, results of operations and overall financial performance. We have seen evidence that COVID-19 has adversely affected certain purchasing decisions by our customers in our Applications and Decision Management Software segments, and, in our Scores segment, COVID-19 and general economic conditions and lending activity have had an adverse impact.</w:t>
      </w:r>
    </w:p>
    <w:p>
      <w:pPr>
        <w:spacing w:after="0" w:line="124" w:lineRule="exact"/>
        <w:rPr>
          <w:sz w:val="20"/>
          <w:szCs w:val="20"/>
          <w:color w:val="auto"/>
        </w:rPr>
      </w:pPr>
    </w:p>
    <w:p>
      <w:pPr>
        <w:jc w:val="both"/>
        <w:ind w:firstLine="229"/>
        <w:spacing w:after="0" w:line="296" w:lineRule="auto"/>
        <w:rPr>
          <w:sz w:val="20"/>
          <w:szCs w:val="20"/>
          <w:color w:val="auto"/>
        </w:rPr>
      </w:pPr>
      <w:r>
        <w:rPr>
          <w:rFonts w:ascii="Arial" w:cs="Arial" w:eastAsia="Arial" w:hAnsi="Arial"/>
          <w:sz w:val="16"/>
          <w:szCs w:val="16"/>
          <w:color w:val="auto"/>
        </w:rPr>
        <w:t>While we have not experienced significant disruptions thus far from the COVID-19 outbreak beyond those described above, the situation is constantly evolving and both the short-term and long-term effects remain unknown. We are unable to accurately predict the complete impact that COVID-19 will have due to numerous uncertainties, including the severity and transmission rate of the virus, the duration of the outbreak, the extent and effectiveness of containment actions, and the impact of these and other factors on our employees, customers, partners and vendors, and on worldwide and U.S. economic conditions. If we are not able to respond to and manage the impact of such events effectively, our business may be harmed to a material extent.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continue to expand the pursuit of our Decision Management strategy, and we may not be successful, which could cause our growth prospects and results of operations to suffer.</w:t>
      </w:r>
    </w:p>
    <w:p>
      <w:pPr>
        <w:spacing w:after="0" w:line="170" w:lineRule="exact"/>
        <w:rPr>
          <w:sz w:val="20"/>
          <w:szCs w:val="20"/>
          <w:color w:val="auto"/>
        </w:rPr>
      </w:pPr>
    </w:p>
    <w:p>
      <w:pPr>
        <w:jc w:val="both"/>
        <w:ind w:firstLine="229"/>
        <w:spacing w:after="0" w:line="269" w:lineRule="auto"/>
        <w:rPr>
          <w:sz w:val="20"/>
          <w:szCs w:val="20"/>
          <w:color w:val="auto"/>
        </w:rPr>
      </w:pPr>
      <w:r>
        <w:rPr>
          <w:rFonts w:ascii="Arial" w:cs="Arial" w:eastAsia="Arial" w:hAnsi="Arial"/>
          <w:sz w:val="17"/>
          <w:szCs w:val="17"/>
          <w:color w:val="auto"/>
        </w:rPr>
        <w:t>We continue to expand the pursuit of our business objective to become a leader in helping businesses automate and improve decisions across their enterprises, an approach that we commonly refer to as Decision Management, or “DM.” Our DM strategy is designed to enable us to increase our business by selling multiple products to clients, as well as to enable the development of custom client solutions that may lead to opportunities to develop new proprietary scores or other new proprietary products. Our DM strategy is also increasingly focused on the delivery of our products through cloud-based deployments. The market may be unreceptive to our general DM business approach, including being unreceptive to purchasing multiple products from us, unreceptive to our customized solutions, or unreceptive to our cloud-based offerings. As we continue to pursue our DM strategy, we may experience volatility in our revenues and operating results caused by various factors, including differences in revenue recognition treatment between our cloud-based offerings and on-premise software licenses, the timing of investments and other expenditures necessary to develop and operate our cloud-based offerings, and the adoption of new sales and delivery methods. If our DM strategy is not successful, we may not be able to grow our business, growth may occur more slowly than we anticipate, or our revenues and profits may decline.</w:t>
      </w:r>
    </w:p>
    <w:p>
      <w:pPr>
        <w:spacing w:after="0" w:line="18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revenues from a small number of products and services, and if the market does not continue to accept these products and services, our revenues will decline.</w:t>
      </w:r>
    </w:p>
    <w:p>
      <w:pPr>
        <w:spacing w:after="0" w:line="170" w:lineRule="exact"/>
        <w:rPr>
          <w:sz w:val="20"/>
          <w:szCs w:val="20"/>
          <w:color w:val="auto"/>
        </w:rPr>
      </w:pPr>
    </w:p>
    <w:p>
      <w:pPr>
        <w:jc w:val="both"/>
        <w:ind w:firstLine="229"/>
        <w:spacing w:after="0" w:line="259" w:lineRule="auto"/>
        <w:rPr>
          <w:sz w:val="20"/>
          <w:szCs w:val="20"/>
          <w:color w:val="auto"/>
        </w:rPr>
      </w:pPr>
      <w:r>
        <w:rPr>
          <w:rFonts w:ascii="Arial" w:cs="Arial" w:eastAsia="Arial" w:hAnsi="Arial"/>
          <w:sz w:val="18"/>
          <w:szCs w:val="18"/>
          <w:color w:val="auto"/>
        </w:rPr>
        <w:t>We expect that revenues derived from our scoring solutions, fraud solutions, customer communication services, customer management solutions and decision management software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18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business analytics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obtain or use key data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saturation or contraction of market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industry consolidation;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successfully adopt cloud-based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execute our selling approach;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successfully sell our products in new vertical markets.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unable to access new markets or develop new distribution channels, our business and growth prospects could suffer.</w:t>
      </w:r>
    </w:p>
    <w:p>
      <w:pPr>
        <w:spacing w:after="0" w:line="225" w:lineRule="exact"/>
        <w:rPr>
          <w:sz w:val="20"/>
          <w:szCs w:val="20"/>
          <w:color w:val="auto"/>
        </w:rPr>
      </w:pPr>
    </w:p>
    <w:p>
      <w:pPr>
        <w:jc w:val="both"/>
        <w:ind w:firstLine="229"/>
        <w:spacing w:after="0" w:line="301" w:lineRule="auto"/>
        <w:rPr>
          <w:sz w:val="20"/>
          <w:szCs w:val="20"/>
          <w:color w:val="auto"/>
        </w:rPr>
      </w:pPr>
      <w:r>
        <w:rPr>
          <w:rFonts w:ascii="Arial" w:cs="Arial" w:eastAsia="Arial" w:hAnsi="Arial"/>
          <w:sz w:val="16"/>
          <w:szCs w:val="16"/>
          <w:color w:val="auto"/>
        </w:rPr>
        <w:t>We expect that part of the growth that we seek to achieve through our DM strategy will be derived from the sale of DM products and service solutions in industries and markets we do not currently serve. We also expect to grow our business by delivering our DM solutions through additional distribution channels. If we fail to penetrate these industries and markets to the degree we anticipate utilizing our DM strategy, or if we fail to develop additional distribution channels, we may not be able to grow our business, growth may occur more slowly than we anticipate, or our revenues and profits may decline.</w:t>
      </w:r>
    </w:p>
    <w:p>
      <w:pPr>
        <w:spacing w:after="0" w:line="157"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If we are unable to develop successful new products or if we experience defects, failures and delays associated with the introduction of new products, our business could suffer serious harm.</w:t>
      </w:r>
    </w:p>
    <w:p>
      <w:pPr>
        <w:spacing w:after="0" w:line="170" w:lineRule="exact"/>
        <w:rPr>
          <w:sz w:val="20"/>
          <w:szCs w:val="20"/>
          <w:color w:val="auto"/>
        </w:rPr>
      </w:pPr>
    </w:p>
    <w:p>
      <w:pPr>
        <w:jc w:val="both"/>
        <w:ind w:firstLine="229"/>
        <w:spacing w:after="0" w:line="269" w:lineRule="auto"/>
        <w:rPr>
          <w:sz w:val="20"/>
          <w:szCs w:val="20"/>
          <w:color w:val="auto"/>
        </w:rPr>
      </w:pPr>
      <w:r>
        <w:rPr>
          <w:rFonts w:ascii="Arial" w:cs="Arial" w:eastAsia="Arial" w:hAnsi="Arial"/>
          <w:sz w:val="17"/>
          <w:szCs w:val="17"/>
          <w:color w:val="auto"/>
        </w:rPr>
        <w:t>Our growth and the success of our DM strategy depend upon our ability to develop and sell new products or suites of products, including the development and sale of our cloud-based product offerings. If we are unable to develop new products, or if we are not successful in introducing new products,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operating environments or certain client or other systems.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80"/>
        <w:spacing w:after="0" w:line="327" w:lineRule="auto"/>
        <w:rPr>
          <w:sz w:val="20"/>
          <w:szCs w:val="20"/>
          <w:color w:val="auto"/>
        </w:rPr>
      </w:pPr>
      <w:r>
        <w:rPr>
          <w:rFonts w:ascii="Arial" w:cs="Arial" w:eastAsia="Arial" w:hAnsi="Arial"/>
          <w:sz w:val="15"/>
          <w:szCs w:val="15"/>
          <w:b w:val="1"/>
          <w:bCs w:val="1"/>
          <w:i w:val="1"/>
          <w:iCs w:val="1"/>
          <w:color w:val="auto"/>
        </w:rPr>
        <w:t>We rely on relatively few customers, as well as our contracts with the three major credit reporting agencies, for a significant portion of our revenues and profits. Many of our customers are significantly larger than we are and may have greater bargaining power. The businesses of our largest customers depend, in large part, on favorable macroeconomic conditions. If these customers are negatively impacted by weak global economic conditions, global economic volatility or the terms of these relationships otherwise change, our revenues and operating results could decline.</w:t>
      </w:r>
    </w:p>
    <w:p>
      <w:pPr>
        <w:spacing w:after="0" w:line="140"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Most of our customers are relatively large enterprises, such as banks, payment card processors, insurance companies, healthcare firms, telecommunications providers, retailers and public agencies. As a result, many of our customers and potential customers are significantly larger than we are and may have sufficient bargaining power to demand reduced prices and favorable nonstandard terms.</w:t>
      </w:r>
    </w:p>
    <w:p>
      <w:pPr>
        <w:spacing w:after="0" w:line="184" w:lineRule="exact"/>
        <w:rPr>
          <w:sz w:val="20"/>
          <w:szCs w:val="20"/>
          <w:color w:val="auto"/>
        </w:rPr>
      </w:pPr>
    </w:p>
    <w:p>
      <w:pPr>
        <w:jc w:val="both"/>
        <w:ind w:firstLine="229"/>
        <w:spacing w:after="0" w:line="255" w:lineRule="auto"/>
        <w:rPr>
          <w:sz w:val="20"/>
          <w:szCs w:val="20"/>
          <w:color w:val="auto"/>
        </w:rPr>
      </w:pPr>
      <w:r>
        <w:rPr>
          <w:rFonts w:ascii="Arial" w:cs="Arial" w:eastAsia="Arial" w:hAnsi="Arial"/>
          <w:sz w:val="18"/>
          <w:szCs w:val="18"/>
          <w:color w:val="auto"/>
        </w:rPr>
        <w:t>In addition, the U.S. and other key international economies are experiencing and have experienced in the past a downturn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 potential for economic disruption presents considerable risks to our business, including potential bankruptcies or credit deterioration of financial institutions with which we have substantial relationships. Such disruption</w:t>
      </w:r>
      <w:r>
        <w:rPr>
          <w:rFonts w:ascii="Arial" w:cs="Arial" w:eastAsia="Arial" w:hAnsi="Arial"/>
          <w:sz w:val="18"/>
          <w:szCs w:val="18"/>
          <w:color w:val="212529"/>
        </w:rPr>
        <w:t>, whether arising in connection with the current COVID-19 pandemic or otherwise, could</w:t>
      </w:r>
      <w:r>
        <w:rPr>
          <w:rFonts w:ascii="Arial" w:cs="Arial" w:eastAsia="Arial" w:hAnsi="Arial"/>
          <w:sz w:val="18"/>
          <w:szCs w:val="18"/>
          <w:color w:val="auto"/>
        </w:rPr>
        <w:t xml:space="preserve"> result in a decline in the volume of transactions that we execute for our customers.</w:t>
      </w:r>
    </w:p>
    <w:p>
      <w:pPr>
        <w:spacing w:after="0" w:line="192" w:lineRule="exact"/>
        <w:rPr>
          <w:sz w:val="20"/>
          <w:szCs w:val="20"/>
          <w:color w:val="auto"/>
        </w:rPr>
      </w:pPr>
    </w:p>
    <w:p>
      <w:pPr>
        <w:jc w:val="both"/>
        <w:ind w:firstLine="229"/>
        <w:spacing w:after="0" w:line="237" w:lineRule="auto"/>
        <w:rPr>
          <w:sz w:val="20"/>
          <w:szCs w:val="20"/>
          <w:color w:val="auto"/>
        </w:rPr>
      </w:pPr>
      <w:r>
        <w:rPr>
          <w:rFonts w:ascii="Arial" w:cs="Arial" w:eastAsia="Arial" w:hAnsi="Arial"/>
          <w:sz w:val="18"/>
          <w:szCs w:val="18"/>
          <w:color w:val="auto"/>
        </w:rPr>
        <w:t>We also derive a substantial portion of our revenues and operating income from our contracts with the three major credit reporting agencies, Experian, TransUnion and Equifax, and other parties that distribute our products to certain markets. The loss of or a significant change in a relationship with one of these credit reporting agencies with respect to their distribution of our products or with respect to our myFICO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offerings, the loss of or a significant change in a relationship with a major customer, the loss of or a significant change in a relationship with a significant third-party distributor (including payment card processors), or the delay of significant revenues from these sources, could have a material adverse effect on our revenues and results of operations.</w:t>
      </w:r>
    </w:p>
    <w:p>
      <w:pPr>
        <w:spacing w:after="0" w:line="206"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We rely on relationships with third parties for marketing, distribution and certain services. If we experience difficulties in these relationships, our future revenues may be adversely affected.</w:t>
      </w:r>
    </w:p>
    <w:p>
      <w:pPr>
        <w:spacing w:after="0" w:line="170" w:lineRule="exact"/>
        <w:rPr>
          <w:sz w:val="20"/>
          <w:szCs w:val="20"/>
          <w:color w:val="auto"/>
        </w:rPr>
      </w:pPr>
    </w:p>
    <w:p>
      <w:pPr>
        <w:jc w:val="both"/>
        <w:ind w:firstLine="229"/>
        <w:spacing w:after="0" w:line="271" w:lineRule="auto"/>
        <w:rPr>
          <w:sz w:val="20"/>
          <w:szCs w:val="20"/>
          <w:color w:val="auto"/>
        </w:rPr>
      </w:pPr>
      <w:r>
        <w:rPr>
          <w:rFonts w:ascii="Arial" w:cs="Arial" w:eastAsia="Arial" w:hAnsi="Arial"/>
          <w:sz w:val="17"/>
          <w:szCs w:val="17"/>
          <w:color w:val="auto"/>
        </w:rPr>
        <w:t>Most of our products rely on distributors, and we intend to continue to market and distribute our products through existing and future distributor relationships. Our Scores segment relies on, among others, Experian, TransUnion and Equifax. Failure of our existing and future distributors to generate significant revenues or otherwise perform their expected services or functions, demands by such distributors to change the terms on which they offer our products, or our failure to establish additional distribution or sales and marketing alliances, could have a material adverse effect on our business, operating results and financial condition. In addition, certain of our distributors presently compete with us and may compete with us in the future, either by developing competitive products themselves or by distributing competitive offerings. For example, Experian, TransUnion and Equifax have developed a credit scoring product to compete directly with our products and are collectively attempting to sell the product. Competition from distributors or other sales and marketing partners could significantly harm sales of our products and services.</w:t>
      </w:r>
    </w:p>
    <w:p>
      <w:pPr>
        <w:spacing w:after="0" w:line="178"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acquisition and divestiture activities may disrupt our ongoing business and may involve increased expenses, and we may not realize the financial and strategic goals contemplated at the time of a transaction.</w:t>
      </w:r>
    </w:p>
    <w:p>
      <w:pPr>
        <w:spacing w:after="0" w:line="170" w:lineRule="exact"/>
        <w:rPr>
          <w:sz w:val="20"/>
          <w:szCs w:val="20"/>
          <w:color w:val="auto"/>
        </w:rPr>
      </w:pPr>
    </w:p>
    <w:p>
      <w:pPr>
        <w:ind w:right="20" w:firstLine="229"/>
        <w:spacing w:after="0" w:line="277" w:lineRule="auto"/>
        <w:rPr>
          <w:sz w:val="20"/>
          <w:szCs w:val="20"/>
          <w:color w:val="auto"/>
        </w:rPr>
      </w:pPr>
      <w:r>
        <w:rPr>
          <w:rFonts w:ascii="Arial" w:cs="Arial" w:eastAsia="Arial" w:hAnsi="Arial"/>
          <w:sz w:val="18"/>
          <w:szCs w:val="18"/>
          <w:color w:val="auto"/>
        </w:rPr>
        <w:t>We have acquired and expect to continue to acquire companies, businesses, products, services and technologies. Acquisitions involve significant risks and uncertainties, including:</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ongoing business may be disrupted and our management’s attention may be diverted by acquisition, transition or integration activities;</w:t>
      </w:r>
    </w:p>
    <w:p>
      <w:pPr>
        <w:spacing w:after="0" w:line="34"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acquisition may not further our business strategy as we expected, we may not integrate acquired operations or technology as successfully as we expected or we may overpay for our investments, or otherwise not realize the expected return, which could adversely affect our business or operating results;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retain the key employees, customers and other business partners of the acquired operation;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have difficulties entering new markets where we have no or limited direct prior experience or where competitors may have stronger market positions;</w:t>
      </w:r>
    </w:p>
    <w:p>
      <w:pPr>
        <w:jc w:val="both"/>
        <w:ind w:left="660" w:hanging="328"/>
        <w:spacing w:after="0" w:line="295"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operating results or financial condition may be adversely impacted by claims or liabilities we assume from an acquired company, business, product or technology, including claims by government agencies, terminated employees, current or former customers, former stockholders or other third parties; pre-existing contractual relationships of an acquired company we would not have otherwise entered into; unfavorable revenue recognition or other accounting treatment as a result of an acquired company’s practices; and intellectual property claims or disputes;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hanging="328"/>
        <w:spacing w:after="0" w:line="271"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fail to identify or assess the magnitude of certain liabilities or other circumstances prior to acquiring a company, business, product or technology, which could result in unexpected litigation or regulatory exposure, unfavorable accounting treatment, unexpected increases in taxes due, a loss of anticipated tax benefits or other adverse effects on our business, operating results or financial condition;</w:t>
      </w: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realize the anticipated increase in our revenues from an acquisition for a number of reasons, including if a larger than predicted number of customers decline to renew their contracts, if we are unable to sell the acquired products to our customer base or if contract models of an acquired company do not allow us to recognize revenues on a timely basis;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difficulty incorporating acquired technologies or products with our existing product lines and maintaining uniform standards, architecture, controls, procedures and policies;</w:t>
      </w: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use of cash to pay for acquisitions may limit other potential uses of our cash, including stock repurchases, dividend payments and retirement of outstanding indebtedness;</w:t>
      </w: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we issue a significant amount of equity securities in connection with future acquisitions, existing stockholders may be diluted and earnings per share may decrease; and</w:t>
      </w:r>
    </w:p>
    <w:p>
      <w:pPr>
        <w:ind w:left="660" w:hanging="328"/>
        <w:spacing w:after="0" w:line="26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additional or unexpected changes in how we are required to account for our acquisitions pursuant to U.S. generally accepted accounting principles, including arrangements we assume from an acquisition.</w:t>
      </w:r>
    </w:p>
    <w:p>
      <w:pPr>
        <w:spacing w:after="0" w:line="185" w:lineRule="exact"/>
        <w:rPr>
          <w:sz w:val="20"/>
          <w:szCs w:val="20"/>
          <w:color w:val="auto"/>
        </w:rPr>
      </w:pPr>
    </w:p>
    <w:p>
      <w:pPr>
        <w:ind w:firstLine="229"/>
        <w:spacing w:after="0" w:line="277" w:lineRule="auto"/>
        <w:rPr>
          <w:sz w:val="20"/>
          <w:szCs w:val="20"/>
          <w:color w:val="auto"/>
        </w:rPr>
      </w:pPr>
      <w:r>
        <w:rPr>
          <w:rFonts w:ascii="Arial" w:cs="Arial" w:eastAsia="Arial" w:hAnsi="Arial"/>
          <w:sz w:val="18"/>
          <w:szCs w:val="18"/>
          <w:color w:val="auto"/>
        </w:rPr>
        <w:t>We have also divested ourselves of businesses in the past and may do so again in the future. Divestitures involve significant risks and uncertainties, including:</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 of our ongoing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reductions of our revenues or earnings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liabilities, legal risks and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loss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distraction of management from our ongoing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 of relationships with employees and customers as a result of migrating a business to new owners.</w:t>
      </w:r>
    </w:p>
    <w:p>
      <w:pPr>
        <w:spacing w:after="0" w:line="211"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Because acquisitions and divestitures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Charges to earnings resulting from acquisitions may adversely affect our operating results.</w:t>
      </w:r>
    </w:p>
    <w:p>
      <w:pPr>
        <w:spacing w:after="0" w:line="225" w:lineRule="exact"/>
        <w:rPr>
          <w:sz w:val="20"/>
          <w:szCs w:val="20"/>
          <w:color w:val="auto"/>
        </w:rPr>
      </w:pPr>
    </w:p>
    <w:p>
      <w:pPr>
        <w:jc w:val="both"/>
        <w:ind w:firstLine="229"/>
        <w:spacing w:after="0" w:line="296" w:lineRule="auto"/>
        <w:rPr>
          <w:sz w:val="20"/>
          <w:szCs w:val="20"/>
          <w:color w:val="auto"/>
        </w:rPr>
      </w:pPr>
      <w:r>
        <w:rPr>
          <w:rFonts w:ascii="Arial" w:cs="Arial" w:eastAsia="Arial" w:hAnsi="Arial"/>
          <w:sz w:val="16"/>
          <w:szCs w:val="16"/>
          <w:color w:val="auto"/>
        </w:rPr>
        <w:t>Under business combination accounting standards, we recognize the identifiable assets acquired and the liabilities assumed in acquired companies generally at their acquisition-date fair values and separately from goodwill. Goodwill is measured as the excess amount of consideration transferred, which is also generally measured at fair value, and the net of the amounts of the identifiable assets acquired and the liabilities assumed as of the acquisition date.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spacing w:after="0" w:line="16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of goodwill or intangible assets, or a reduction in the useful lives of intangible assets acquired;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amortization of intangible assets acquired;</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identification of, or changes to, assumed contingent liabilities, both income tax and non-income tax related, after our final determination of the amounts for these contingencies or the conclusion of the measurement period (generally up to one year from the acquisition date), whichever comes first;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redeployment or relocation expenses;</w:t>
      </w: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charges to our operating results to maintain certain duplicative pre-merger activities for an extended period of time or to maintain these activities for a period of time that is longer than we had anticipated, charges to eliminate certain duplicative pre-merger activities, and charges to restructure our operations or to reduce our cost structure;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charges to our operating results resulting from expenses incurred to effect the acquisition.</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Substantially all of these costs will be accounted for as expenses that will decrease our net income and earnings per share for the periods in which those costs are incurred. Charges to our operating results in any given period could differ substantially from other periods based on the timing and size of our future acquisitions and the extent of integration activities. A more detailed discussion of our accounting for business combinations and other items is presented in the “Critical Accounting Policies and Estimates” section of Management’s Discussion and Analysis of Financial Condition and Results of Operations (Item 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reengineering efforts may cause our growth prospects and profitability to suffer.</w:t>
      </w:r>
    </w:p>
    <w:p>
      <w:pPr>
        <w:spacing w:after="0" w:line="225" w:lineRule="exact"/>
        <w:rPr>
          <w:sz w:val="20"/>
          <w:szCs w:val="20"/>
          <w:color w:val="auto"/>
        </w:rPr>
      </w:pPr>
    </w:p>
    <w:p>
      <w:pPr>
        <w:jc w:val="both"/>
        <w:ind w:firstLine="229"/>
        <w:spacing w:after="0" w:line="259" w:lineRule="auto"/>
        <w:rPr>
          <w:sz w:val="20"/>
          <w:szCs w:val="20"/>
          <w:color w:val="auto"/>
        </w:rPr>
      </w:pPr>
      <w:r>
        <w:rPr>
          <w:rFonts w:ascii="Arial" w:cs="Arial" w:eastAsia="Arial" w:hAnsi="Arial"/>
          <w:sz w:val="18"/>
          <w:szCs w:val="18"/>
          <w:color w:val="auto"/>
        </w:rPr>
        <w:t>As part of our management approach, we pursue ongoing reengineering efforts designed to grow revenues through strategic resource allocation and improve profitability through cost reductions. Our reengineering efforts may not be successful over the long term as a result of our failure to reduce expenses at the anticipated level, or a lower, or no, positive impact on revenues from strategic resource allocation. If our reengineering efforts are not successful over the long term, our revenues, results of operations and business may suffer.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occurrence of certain negative events may cause fluctuations in our stock price.</w:t>
      </w:r>
    </w:p>
    <w:p>
      <w:pPr>
        <w:spacing w:after="0" w:line="225" w:lineRule="exact"/>
        <w:rPr>
          <w:sz w:val="20"/>
          <w:szCs w:val="20"/>
          <w:color w:val="auto"/>
        </w:rPr>
      </w:pPr>
    </w:p>
    <w:p>
      <w:pPr>
        <w:jc w:val="both"/>
        <w:ind w:firstLine="229"/>
        <w:spacing w:after="0" w:line="279" w:lineRule="auto"/>
        <w:rPr>
          <w:sz w:val="20"/>
          <w:szCs w:val="20"/>
          <w:color w:val="auto"/>
        </w:rPr>
      </w:pPr>
      <w:r>
        <w:rPr>
          <w:rFonts w:ascii="Arial" w:cs="Arial" w:eastAsia="Arial" w:hAnsi="Arial"/>
          <w:sz w:val="17"/>
          <w:szCs w:val="17"/>
          <w:color w:val="auto"/>
        </w:rPr>
        <w:t>The market price of our common stock may be volatile and could be subject to wide fluctuations due to a number of factors, including variations in our revenues and operating results. We believe that you should not rely on period-to-period comparisons of financial results as an indication of future performance. Because many of our operating expenses are fixed and will not be affected by short-term fluctuations in revenues, short-term fluctuations in revenues may significantly impact operating results. Additional factors that may cause our stock price to fluctuate include the following:</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variability in demand from our existing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meet the expectations of market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recommendations by market analysts;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lengthy and variable sales cycle of many products, combined with the relatively large size of orders for our products, increases the likelihood of short-term fluctuation in revenues;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consumer or customer dissatisfaction with, or problems caused by, the performance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new product announcements and introductions in comparison with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our operating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competitive and other conditions in the consumer credit, banking and insurance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fluctuations in domestic and international economic conditions</w:t>
      </w:r>
      <w:r>
        <w:rPr>
          <w:rFonts w:ascii="Arial" w:cs="Arial" w:eastAsia="Arial" w:hAnsi="Arial"/>
          <w:sz w:val="17"/>
          <w:szCs w:val="17"/>
          <w:color w:val="212529"/>
        </w:rPr>
        <w:t>, such as those which have occurred as a result of the COVID-19 pandemic;</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complete large installations, and to adopt and configure cloud-based deployments, on schedule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acquisition-related expenses and charges;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orders for and deliveries of software systems.</w:t>
      </w:r>
    </w:p>
    <w:p>
      <w:pPr>
        <w:spacing w:after="0" w:line="211" w:lineRule="exact"/>
        <w:rPr>
          <w:sz w:val="20"/>
          <w:szCs w:val="20"/>
          <w:color w:val="auto"/>
        </w:rPr>
      </w:pPr>
    </w:p>
    <w:p>
      <w:pPr>
        <w:jc w:val="both"/>
        <w:ind w:firstLine="229"/>
        <w:spacing w:after="0" w:line="301" w:lineRule="auto"/>
        <w:rPr>
          <w:sz w:val="20"/>
          <w:szCs w:val="20"/>
          <w:color w:val="auto"/>
        </w:rPr>
      </w:pPr>
      <w:r>
        <w:rPr>
          <w:rFonts w:ascii="Arial" w:cs="Arial" w:eastAsia="Arial" w:hAnsi="Arial"/>
          <w:sz w:val="16"/>
          <w:szCs w:val="16"/>
          <w:color w:val="auto"/>
        </w:rPr>
        <w:t>In addition, the financial markets have at various times experienced significant price and volume fluctuations that have particularly affected the stock prices of many technology companies and financial services companies, and these fluctuations sometimes have been unrelated to the operating performance of these companies. Broad market fluctuations, as well as industry-specific and general economic conditions, may negatively affect our business and require us to record an impairment charge related to goodwill, which could adversely affect our results of operations, stock price and business.</w:t>
      </w:r>
    </w:p>
    <w:p>
      <w:pPr>
        <w:spacing w:after="0" w:line="15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170" w:lineRule="exact"/>
        <w:rPr>
          <w:sz w:val="20"/>
          <w:szCs w:val="20"/>
          <w:color w:val="auto"/>
        </w:rPr>
      </w:pPr>
    </w:p>
    <w:p>
      <w:pPr>
        <w:jc w:val="both"/>
        <w:ind w:firstLine="229"/>
        <w:spacing w:after="0" w:line="288" w:lineRule="auto"/>
        <w:rPr>
          <w:sz w:val="20"/>
          <w:szCs w:val="20"/>
          <w:color w:val="auto"/>
        </w:rPr>
      </w:pPr>
      <w:r>
        <w:rPr>
          <w:rFonts w:ascii="Arial" w:cs="Arial" w:eastAsia="Arial" w:hAnsi="Arial"/>
          <w:sz w:val="16"/>
          <w:szCs w:val="16"/>
          <w:color w:val="auto"/>
        </w:rPr>
        <w:t>We experience difficulty in forecasting our revenues accurately because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As a result of our sales approach and lengthening sales cycles, revenues and operating results may vary significantly from period to period. For example, the sales cycle for our products typically ranges from 60 days to 18 months, which may be further extended as a result of COVID-19. 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 If we are unable to accurately forecast our revenues, our stock price could be adversely affected.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right="520"/>
        <w:spacing w:after="0" w:line="277" w:lineRule="auto"/>
        <w:rPr>
          <w:sz w:val="20"/>
          <w:szCs w:val="20"/>
          <w:color w:val="auto"/>
        </w:rPr>
      </w:pPr>
      <w:r>
        <w:rPr>
          <w:rFonts w:ascii="Arial" w:cs="Arial" w:eastAsia="Arial" w:hAnsi="Arial"/>
          <w:sz w:val="18"/>
          <w:szCs w:val="18"/>
          <w:b w:val="1"/>
          <w:bCs w:val="1"/>
          <w:i w:val="1"/>
          <w:iCs w:val="1"/>
          <w:color w:val="auto"/>
        </w:rPr>
        <w:t>We typically have revenue-generating transactions concentrated in the final weeks of a quarter, which may prevent accurate forecasting of our financial results and cause our stock price to decline.</w:t>
      </w:r>
    </w:p>
    <w:p>
      <w:pPr>
        <w:spacing w:after="0" w:line="170" w:lineRule="exact"/>
        <w:rPr>
          <w:sz w:val="20"/>
          <w:szCs w:val="20"/>
          <w:color w:val="auto"/>
        </w:rPr>
      </w:pPr>
    </w:p>
    <w:p>
      <w:pPr>
        <w:jc w:val="both"/>
        <w:ind w:firstLine="229"/>
        <w:spacing w:after="0" w:line="257" w:lineRule="auto"/>
        <w:rPr>
          <w:sz w:val="20"/>
          <w:szCs w:val="20"/>
          <w:color w:val="auto"/>
        </w:rPr>
      </w:pPr>
      <w:r>
        <w:rPr>
          <w:rFonts w:ascii="Arial" w:cs="Arial" w:eastAsia="Arial" w:hAnsi="Arial"/>
          <w:sz w:val="18"/>
          <w:szCs w:val="18"/>
          <w:color w:val="auto"/>
        </w:rPr>
        <w:t>Large portions of our customer agreements are consummated in the weeks immediately preceding quarter end. Before these agreements are consummated,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recruit and retain additional qualified personnel could hinder our ability to successfully manage our business.</w:t>
      </w:r>
    </w:p>
    <w:p>
      <w:pPr>
        <w:spacing w:after="0" w:line="225" w:lineRule="exact"/>
        <w:rPr>
          <w:sz w:val="20"/>
          <w:szCs w:val="20"/>
          <w:color w:val="auto"/>
        </w:rPr>
      </w:pPr>
    </w:p>
    <w:p>
      <w:pPr>
        <w:jc w:val="both"/>
        <w:ind w:firstLine="229"/>
        <w:spacing w:after="0" w:line="268" w:lineRule="auto"/>
        <w:rPr>
          <w:sz w:val="20"/>
          <w:szCs w:val="20"/>
          <w:color w:val="auto"/>
        </w:rPr>
      </w:pPr>
      <w:r>
        <w:rPr>
          <w:rFonts w:ascii="Arial" w:cs="Arial" w:eastAsia="Arial" w:hAnsi="Arial"/>
          <w:sz w:val="17"/>
          <w:szCs w:val="17"/>
          <w:color w:val="auto"/>
        </w:rPr>
        <w:t>Our DM strategy and our future success will depend in large part on our ability to attract and retain experienced sales, consulting, research and development, marketing, technical support and management personnel. The complexity of our products requires highly trained personnel for research and development and to assist customers with product installation, deployment, maintenance and support. The labor market for these individuals is very competitive due to the limited number of people available with the necessary technical skills and understanding and may become more competitive with general market and economic improvement. We cannot be certain that our compensation strategies will be perceived as competitive by current or prospective employees. This could impair our ability to recruit and retain personnel. We have experienced difficulty in recruiting qualified personnel, especially technical, sales and consulting personnel, and we may need additional staff to support new customers and/or increased customer needs. We may also recruit skilled technical professionals from other countries to work in the U.S., and from the U.S. and other countries to work abroad. Limitations imposed by immigration laws in the U.S. and abroad and the availability of visas in the countries where we do business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equity-based incentive plans to attract and retain personnel, and may require us to use alternative and more expensive forms of compensation for this purpose.</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obtain certain forms of model construction data from our customers or others could harm our business.</w:t>
      </w:r>
    </w:p>
    <w:p>
      <w:pPr>
        <w:spacing w:after="0" w:line="225" w:lineRule="exact"/>
        <w:rPr>
          <w:sz w:val="20"/>
          <w:szCs w:val="20"/>
          <w:color w:val="auto"/>
        </w:rPr>
      </w:pPr>
    </w:p>
    <w:p>
      <w:pPr>
        <w:jc w:val="both"/>
        <w:ind w:firstLine="229"/>
        <w:spacing w:after="0" w:line="269" w:lineRule="auto"/>
        <w:rPr>
          <w:sz w:val="20"/>
          <w:szCs w:val="20"/>
          <w:color w:val="auto"/>
        </w:rPr>
      </w:pPr>
      <w:r>
        <w:rPr>
          <w:rFonts w:ascii="Arial" w:cs="Arial" w:eastAsia="Arial" w:hAnsi="Arial"/>
          <w:sz w:val="17"/>
          <w:szCs w:val="17"/>
          <w:color w:val="auto"/>
        </w:rPr>
        <w:t>Our business requires that we develop or obtain a reliable source of sufficient amounts of current and statistically relevant data to analyze transactions and update our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partners provide us with the data we require to analyze transactions, report results and build new models. Our DM strategy depends in part upon our ability to access new forms of data to develop custom and proprietary analytic tools. If we fail to maintain sufficient data sourcing relationships with our customers and business partners, or if they decline to provide such data due to privacy concerns, competition concerns, prohibitions or a lack of permission from their customers or partners, we could lose access to required data and our products, and the development of new products, might become less effective. Third parties have asserted copyright and other intellectual property interests in these data, and these assertions, if successful, could prevent us from using these data. Any interruption of our supply of data could seriously harm our business, financial condition or results of operations.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will continue to rely upon proprietary technology rights, and if we are unable to protect them, our business could be harmed.</w:t>
      </w:r>
    </w:p>
    <w:p>
      <w:pPr>
        <w:spacing w:after="0" w:line="225" w:lineRule="exact"/>
        <w:rPr>
          <w:sz w:val="20"/>
          <w:szCs w:val="20"/>
          <w:color w:val="auto"/>
        </w:rPr>
      </w:pPr>
    </w:p>
    <w:p>
      <w:pPr>
        <w:jc w:val="both"/>
        <w:ind w:firstLine="229"/>
        <w:spacing w:after="0" w:line="289" w:lineRule="auto"/>
        <w:rPr>
          <w:sz w:val="20"/>
          <w:szCs w:val="20"/>
          <w:color w:val="auto"/>
        </w:rPr>
      </w:pPr>
      <w:r>
        <w:rPr>
          <w:rFonts w:ascii="Arial" w:cs="Arial" w:eastAsia="Arial" w:hAnsi="Arial"/>
          <w:sz w:val="16"/>
          <w:szCs w:val="16"/>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229"/>
        <w:spacing w:after="0" w:line="257" w:lineRule="auto"/>
        <w:rPr>
          <w:sz w:val="20"/>
          <w:szCs w:val="20"/>
          <w:color w:val="auto"/>
        </w:rPr>
      </w:pPr>
      <w:r>
        <w:rPr>
          <w:rFonts w:ascii="Arial" w:cs="Arial" w:eastAsia="Arial" w:hAnsi="Arial"/>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subject to infringement claims, it could harm our business.</w:t>
      </w:r>
    </w:p>
    <w:p>
      <w:pPr>
        <w:spacing w:after="0" w:line="225"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We expect that products in the industry segments in which we compete, including software products, will increasingly be subject to claims of patent and other intellectual property infringement as the number of products and competitors in our industry segments grow. We may need to defend claims that our products infringe intellectual property rights, and as a result we may:</w:t>
      </w:r>
    </w:p>
    <w:p>
      <w:pPr>
        <w:spacing w:after="0" w:line="18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significant defense costs or substantial damages;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required to cease the use or sale of infringing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expend significant resources to develop or license a substitute non-infringing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discontinue the use of some technology; or</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required to obtain a license under the intellectual property rights of the third party claiming infringement, which license may not be available or might require substantial royalties or license fees that would reduce our margins.</w:t>
      </w:r>
    </w:p>
    <w:p>
      <w:pPr>
        <w:spacing w:after="0" w:line="185" w:lineRule="exact"/>
        <w:rPr>
          <w:sz w:val="20"/>
          <w:szCs w:val="20"/>
          <w:color w:val="auto"/>
        </w:rPr>
      </w:pPr>
    </w:p>
    <w:p>
      <w:pPr>
        <w:jc w:val="both"/>
        <w:ind w:firstLine="229"/>
        <w:spacing w:after="0" w:line="257" w:lineRule="auto"/>
        <w:rPr>
          <w:sz w:val="20"/>
          <w:szCs w:val="20"/>
          <w:color w:val="auto"/>
        </w:rPr>
      </w:pPr>
      <w:r>
        <w:rPr>
          <w:rFonts w:ascii="Arial" w:cs="Arial" w:eastAsia="Arial" w:hAnsi="Arial"/>
          <w:sz w:val="18"/>
          <w:szCs w:val="18"/>
          <w:color w:val="auto"/>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w:t>
      </w:r>
    </w:p>
    <w:p>
      <w:pPr>
        <w:spacing w:after="0" w:line="188"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b w:val="1"/>
          <w:bCs w:val="1"/>
          <w:i w:val="1"/>
          <w:iCs w:val="1"/>
          <w:color w:val="auto"/>
        </w:rPr>
        <w:t>If our cybersecurity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spacing w:after="0" w:line="184" w:lineRule="exact"/>
        <w:rPr>
          <w:sz w:val="20"/>
          <w:szCs w:val="20"/>
          <w:color w:val="auto"/>
        </w:rPr>
      </w:pPr>
    </w:p>
    <w:p>
      <w:pPr>
        <w:jc w:val="both"/>
        <w:ind w:firstLine="229"/>
        <w:spacing w:after="0" w:line="286" w:lineRule="auto"/>
        <w:rPr>
          <w:sz w:val="20"/>
          <w:szCs w:val="20"/>
          <w:color w:val="auto"/>
        </w:rPr>
      </w:pPr>
      <w:r>
        <w:rPr>
          <w:rFonts w:ascii="Arial" w:cs="Arial" w:eastAsia="Arial" w:hAnsi="Arial"/>
          <w:sz w:val="16"/>
          <w:szCs w:val="16"/>
          <w:color w:val="auto"/>
        </w:rPr>
        <w:t>Our business requires the storage, transmission and utilization of sensitive consumer and customer information. Many of our products are provided by us through the Internet. Cybersecurity breaches could expose us to a risk of loss, the unauthorized disclosure of consumer or customer information, litigation, indemnity obligations and other liability. If our cybersecurity measures are breached as a result of third-party action, employee error, malfeasance or otherwise, and as a result, someone obtains unauthorized access to our systems or to consumer or customer information, our reputation may be damaged, our business may suffer and we could incur significant liability. Because the techniques used to obtain unauthorized access, or to sabotage systems, change frequently and generally are not recognized until launched against a target, we may be unable to anticipate these techniques or to implement adequate preventative measures. Malicious third parties may also conduct attacks designed to temporarily deny customers access to our services. Cybersecurity compromises experienced by our competitors, by our distributors, by our customers or by us may lead to public disclosures, which may lead to widespread negative publicity. Any cybersecurity compromise in our industry, whether actual or perceived, could harm our reputation, erode customer confidence in the effectiveness of our security measures, negatively impact our ability to attract new customers, cause existing customers to curtail or cease their use of our products and services, cause regulatory or industry changes that impact our products and services, or subject us to third-party lawsuits, regulatory fines or other action or liability, all of which could materially and adversely affect our business and operating results. In addition, the COVID-19 pandemic may cause increased cybersecurity risk, as cybercriminals attempt to capitalize from the disruption.</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Protection from system interruptions is important to our business. If we experience system interruptions, it could harm our business.</w:t>
      </w:r>
    </w:p>
    <w:p>
      <w:pPr>
        <w:spacing w:after="0" w:line="237" w:lineRule="exact"/>
        <w:rPr>
          <w:sz w:val="20"/>
          <w:szCs w:val="20"/>
          <w:color w:val="auto"/>
        </w:rPr>
      </w:pPr>
    </w:p>
    <w:p>
      <w:pPr>
        <w:jc w:val="both"/>
        <w:ind w:firstLine="229"/>
        <w:spacing w:after="0" w:line="257" w:lineRule="auto"/>
        <w:rPr>
          <w:sz w:val="20"/>
          <w:szCs w:val="20"/>
          <w:color w:val="auto"/>
        </w:rPr>
      </w:pPr>
      <w:r>
        <w:rPr>
          <w:rFonts w:ascii="Arial" w:cs="Arial" w:eastAsia="Arial" w:hAnsi="Arial"/>
          <w:sz w:val="18"/>
          <w:szCs w:val="18"/>
          <w:color w:val="auto"/>
        </w:rPr>
        <w:t xml:space="preserve">Systems or network interruptions, including interruptions experienced in connection with our cloud-based and other product offerings, could delay and disrupt our ability to develop, deliver or maintain our products and services, causing harm to our business and reputation and resulting in loss of customers or revenue. These interruptions can include software or hardware malfunctions, communication failures, outages or other failures of third party environments or service providers, fires, floods, earthquakes, </w:t>
      </w:r>
      <w:r>
        <w:rPr>
          <w:rFonts w:ascii="Arial" w:cs="Arial" w:eastAsia="Arial" w:hAnsi="Arial"/>
          <w:sz w:val="18"/>
          <w:szCs w:val="18"/>
          <w:color w:val="212529"/>
        </w:rPr>
        <w:t>pandemics (including the COVID-19 pandemic)</w:t>
      </w:r>
      <w:r>
        <w:rPr>
          <w:rFonts w:ascii="Arial" w:cs="Arial" w:eastAsia="Arial" w:hAnsi="Arial"/>
          <w:sz w:val="18"/>
          <w:szCs w:val="18"/>
          <w:b w:val="1"/>
          <w:bCs w:val="1"/>
          <w:color w:val="212529"/>
        </w:rPr>
        <w:t>,</w:t>
      </w:r>
      <w:r>
        <w:rPr>
          <w:rFonts w:ascii="Arial" w:cs="Arial" w:eastAsia="Arial" w:hAnsi="Arial"/>
          <w:sz w:val="18"/>
          <w:szCs w:val="18"/>
          <w:color w:val="auto"/>
        </w:rPr>
        <w:t xml:space="preserve"> power losses, equipment failures and other events beyond our control.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ability to increase our revenues will depend to some extent upon introducing new products and services. If the marketplace does not accept these new products and services, our revenues may decline.</w:t>
      </w:r>
    </w:p>
    <w:p>
      <w:pPr>
        <w:spacing w:after="0" w:line="170" w:lineRule="exact"/>
        <w:rPr>
          <w:sz w:val="20"/>
          <w:szCs w:val="20"/>
          <w:color w:val="auto"/>
        </w:rPr>
      </w:pPr>
    </w:p>
    <w:p>
      <w:pPr>
        <w:jc w:val="both"/>
        <w:ind w:firstLine="229"/>
        <w:spacing w:after="0" w:line="270" w:lineRule="auto"/>
        <w:rPr>
          <w:sz w:val="20"/>
          <w:szCs w:val="20"/>
          <w:color w:val="auto"/>
        </w:rPr>
      </w:pPr>
      <w:r>
        <w:rPr>
          <w:rFonts w:ascii="Arial" w:cs="Arial" w:eastAsia="Arial" w:hAnsi="Arial"/>
          <w:sz w:val="17"/>
          <w:szCs w:val="17"/>
          <w:color w:val="auto"/>
        </w:rPr>
        <w:t>We have a significant share of the available market in portions of our Scores segment and for certain services in our Applications segment, specifically, the markets for account management services at payment card processors and payment card fraud detection software. To increase our revenues, we must enhance and improve existing products and continue to introduce new products and new versions of existing products that keep pace with technological developments, satisfy increasingly sophisticated customer requirements and achieve market acceptance. We believe much of the future growth of our business and the success of our DM strategy will rest on our ability to continue to expand into newer markets for our products and services. Such areas are relatively new to our product development and sales and marketing personnel. Products that we plan to market in the future are in various stages of development. We cannot assure you that the marketplace will accept these products. If our current or potential customers are not willing to switch to or adopt our new products and services, either as a result of the quality of these products and services or due to other factors, such as economic conditions, our revenues will decrease.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fail to keep up with rapidly changing technologies, our products could become less competitive or obsolete.</w:t>
      </w:r>
    </w:p>
    <w:p>
      <w:pPr>
        <w:spacing w:after="0" w:line="225" w:lineRule="exact"/>
        <w:rPr>
          <w:sz w:val="20"/>
          <w:szCs w:val="20"/>
          <w:color w:val="auto"/>
        </w:rPr>
      </w:pPr>
    </w:p>
    <w:p>
      <w:pPr>
        <w:jc w:val="both"/>
        <w:ind w:firstLine="229"/>
        <w:spacing w:after="0" w:line="257" w:lineRule="auto"/>
        <w:rPr>
          <w:sz w:val="20"/>
          <w:szCs w:val="20"/>
          <w:color w:val="auto"/>
        </w:rPr>
      </w:pPr>
      <w:r>
        <w:rPr>
          <w:rFonts w:ascii="Arial" w:cs="Arial" w:eastAsia="Arial" w:hAnsi="Arial"/>
          <w:sz w:val="18"/>
          <w:szCs w:val="18"/>
          <w:color w:val="auto"/>
        </w:rPr>
        <w:t>In our markets, technology changes rapidly, and there are continuous improvements in computer hardware, network operating systems, programming tools, programming languages, operating systems, database technologies, cloud-based technologies and the use of the Internet.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18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innovate by internally developing new and competitive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develop our technical expertise;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anticipate and effectively respond to changing customer needs;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new product introductions in a way that minimizes the impact of customers delaying purchases of existing products in anticipation of new product releases; and</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influence and respond to emerging industry standards and other technological changes.</w:t>
      </w:r>
    </w:p>
    <w:p>
      <w:pPr>
        <w:spacing w:after="0" w:line="211"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b w:val="1"/>
          <w:bCs w:val="1"/>
          <w:i w:val="1"/>
          <w:iCs w:val="1"/>
          <w:color w:val="auto"/>
        </w:rPr>
        <w:t>Our product and pricing strategies may not be successful. If our competitors introduce new products and pricing strategies, it could decrease our product sales and market share, or could pressure us to reduce our product prices in a manner that reduces our margins.</w:t>
      </w:r>
    </w:p>
    <w:p>
      <w:pPr>
        <w:spacing w:after="0" w:line="146" w:lineRule="exact"/>
        <w:rPr>
          <w:sz w:val="20"/>
          <w:szCs w:val="20"/>
          <w:color w:val="auto"/>
        </w:rPr>
      </w:pPr>
    </w:p>
    <w:p>
      <w:pPr>
        <w:jc w:val="both"/>
        <w:ind w:firstLine="229"/>
        <w:spacing w:after="0" w:line="275" w:lineRule="auto"/>
        <w:rPr>
          <w:sz w:val="20"/>
          <w:szCs w:val="20"/>
          <w:color w:val="auto"/>
        </w:rPr>
      </w:pPr>
      <w:r>
        <w:rPr>
          <w:rFonts w:ascii="Arial" w:cs="Arial" w:eastAsia="Arial" w:hAnsi="Arial"/>
          <w:sz w:val="17"/>
          <w:szCs w:val="17"/>
          <w:color w:val="auto"/>
        </w:rPr>
        <w:t>Demand for our products and services may be sensitive to product and pricing changes we implement, and our product and pricing strategies may not be accepted by the market. If our customers fail to accept our product and pricing strategies, our revenues, results of operations and business may suffer. In addition, we may not be able to compete successfully against our competitors, and this inability could impair our capacity to sell our products. The market for business analytics is rapidly evolving and highly competitive, and we expect competition in this market to persist and intensify. Our regional and global competitors vary in size and in the scope of the products and services they offer, and include:</w:t>
      </w:r>
    </w:p>
    <w:p>
      <w:pPr>
        <w:spacing w:after="0" w:line="17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in-house analytic and systems developers;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scoring model 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fraud and security management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enterprise resource planning, customer relationship management, and customer communication and mobility solution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intelligence solutions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credit report and credit score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process management and decision rules management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process modeling tools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automated application processing services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data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neural network developers and artificial intelligence system 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third-party professional services and consulting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account/workflow management software providers;</w:t>
      </w:r>
    </w:p>
    <w:p>
      <w:pPr>
        <w:spacing w:after="0" w:line="9" w:lineRule="exact"/>
        <w:rPr>
          <w:rFonts w:ascii="Arial" w:cs="Arial" w:eastAsia="Arial" w:hAnsi="Arial"/>
          <w:sz w:val="18"/>
          <w:szCs w:val="18"/>
          <w:color w:val="auto"/>
        </w:rPr>
      </w:pPr>
    </w:p>
    <w:p>
      <w:pPr>
        <w:ind w:left="660" w:right="80" w:hanging="328"/>
        <w:spacing w:after="0" w:line="26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software tools companies supplying modeling, rules, or analytic development tools; collections and recovery solutions providers; entity resolution and social network analysis solutions providers;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cloud-based customer engagement and risk management solutions providers.</w:t>
      </w:r>
    </w:p>
    <w:p>
      <w:pPr>
        <w:spacing w:after="0" w:line="22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We expect to experience additional competition from other established and emerging companies, as well as from other technologies. For example, certain of our fraud solutions products compete against other methods of preventing payment card fraud, such as payment cards that contain the cardholder’s photograph; smart cards; cardholder verification and authentication solutions; biometric measures on devices including fingerprint and face matching; and other card authorization techniques and user verification techniques. Many of our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Furthermore, new competitors or alliances among competitors may emerge and rapidly gain significant market share. For example, Experian, TransUnion and Equifax have formed an alliance that has developed a credit scoring product competitive with our products. If we are unable to respond as quickly or effectively to changes in customer requirements as our competition, our ability to expand our business and sell our products will be negatively affected.</w:t>
      </w:r>
    </w:p>
    <w:p>
      <w:pPr>
        <w:spacing w:after="0" w:line="18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competitors may be able to sell products competitive to ours at lower prices individually or as part of integrated suites of several related products. This ability may cause our customers to purchase products that directly compete with our products from our competitors. Price reductions by our competitors could negatively impact our margins, and could also harm our ability to obtain new long-term contracts and renewals of existing long-term contracts on favorable terms.</w:t>
      </w:r>
    </w:p>
    <w:p>
      <w:pPr>
        <w:spacing w:after="0" w:line="187" w:lineRule="exact"/>
        <w:rPr>
          <w:sz w:val="20"/>
          <w:szCs w:val="20"/>
          <w:color w:val="auto"/>
        </w:rPr>
      </w:pPr>
    </w:p>
    <w:p>
      <w:pPr>
        <w:jc w:val="both"/>
        <w:ind w:left="180"/>
        <w:spacing w:after="0" w:line="327" w:lineRule="auto"/>
        <w:rPr>
          <w:sz w:val="20"/>
          <w:szCs w:val="20"/>
          <w:color w:val="auto"/>
        </w:rPr>
      </w:pPr>
      <w:r>
        <w:rPr>
          <w:rFonts w:ascii="Arial" w:cs="Arial" w:eastAsia="Arial" w:hAnsi="Arial"/>
          <w:sz w:val="15"/>
          <w:szCs w:val="15"/>
          <w:b w:val="1"/>
          <w:bCs w:val="1"/>
          <w:i w:val="1"/>
          <w:iCs w:val="1"/>
          <w:color w:val="auto"/>
        </w:rPr>
        <w:t>Laws and regulations in the U.S. and abroad that apply to us or to our customers may expose us to liability, cause us to incur significant expense, affect our ability to compete in certain markets, limit the profitability of or demand for our products, or render our products obsolete. If these laws and regulations require us to change our products and services, it could adversely affect our business and results of operations. New legislation or regulations, or changes to existing laws and regulations, may also negatively impact our business and increase our costs of doing business.</w:t>
      </w:r>
    </w:p>
    <w:p>
      <w:pPr>
        <w:spacing w:after="0" w:line="140" w:lineRule="exact"/>
        <w:rPr>
          <w:sz w:val="20"/>
          <w:szCs w:val="20"/>
          <w:color w:val="auto"/>
        </w:rPr>
      </w:pPr>
    </w:p>
    <w:p>
      <w:pPr>
        <w:jc w:val="both"/>
        <w:ind w:firstLine="229"/>
        <w:spacing w:after="0" w:line="279" w:lineRule="auto"/>
        <w:rPr>
          <w:sz w:val="20"/>
          <w:szCs w:val="20"/>
          <w:color w:val="auto"/>
        </w:rPr>
      </w:pPr>
      <w:r>
        <w:rPr>
          <w:rFonts w:ascii="Arial" w:cs="Arial" w:eastAsia="Arial" w:hAnsi="Arial"/>
          <w:sz w:val="17"/>
          <w:szCs w:val="17"/>
          <w:color w:val="auto"/>
        </w:rPr>
        <w:t>Laws and governmental regulation affect how our business is conducted and, in some cases, subject us to the possibility of government supervision and future lawsuits arising from our products and services. Laws and governmental regulation also influence our current and prospective customers’ activities, as well as their expectations and needs in relation to our products and services. Laws and regulations that may affect our business and our current and prospective customers’ activities include, but are not limited to, those in the following significant regulatory areas:</w:t>
      </w:r>
    </w:p>
    <w:p>
      <w:pPr>
        <w:spacing w:after="0" w:line="171" w:lineRule="exact"/>
        <w:rPr>
          <w:sz w:val="20"/>
          <w:szCs w:val="20"/>
          <w:color w:val="auto"/>
        </w:rPr>
      </w:pPr>
    </w:p>
    <w:p>
      <w:pPr>
        <w:ind w:left="560" w:hanging="323"/>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 of data by creditors and consumer reporting agencies (e.g., the U.S. Fair Credit Reporting Act);</w:t>
      </w:r>
    </w:p>
    <w:p>
      <w:pPr>
        <w:spacing w:after="0" w:line="23" w:lineRule="exact"/>
        <w:rPr>
          <w:rFonts w:ascii="Arial" w:cs="Arial" w:eastAsia="Arial" w:hAnsi="Arial"/>
          <w:sz w:val="18"/>
          <w:szCs w:val="18"/>
          <w:color w:val="auto"/>
        </w:rPr>
      </w:pPr>
    </w:p>
    <w:p>
      <w:pPr>
        <w:ind w:left="560" w:hanging="323"/>
        <w:spacing w:after="0" w:line="250"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Laws and regulations that limit the use of credit scoring models (e.g., state “mortgage trigger” or “inquiries” laws, state insurance restrictions on the use of credit-based insurance scores, and the E.U. Consumer Credit Directive);</w:t>
      </w:r>
    </w:p>
    <w:p>
      <w:pPr>
        <w:ind w:left="560" w:hanging="323"/>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Fair lending laws (e.g., the Equal Credit Opportunity Act and Regulation B, and the Fair Housing Act);</w:t>
      </w:r>
    </w:p>
    <w:p>
      <w:pPr>
        <w:spacing w:after="0" w:line="9" w:lineRule="exact"/>
        <w:rPr>
          <w:rFonts w:ascii="Arial" w:cs="Arial" w:eastAsia="Arial" w:hAnsi="Arial"/>
          <w:sz w:val="18"/>
          <w:szCs w:val="18"/>
          <w:color w:val="auto"/>
        </w:rPr>
      </w:pPr>
    </w:p>
    <w:p>
      <w:pPr>
        <w:jc w:val="both"/>
        <w:ind w:left="560" w:hanging="323"/>
        <w:spacing w:after="0" w:line="250"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Privacy and security laws and regulations that limit the use and disclosure of personally identifiable information, require security procedures, or otherwise apply to the collection, processing, storage, use and transfer of protected data (e.g., the U.S. Financial Services Modernization Act of 1999, also known as the Gramm Leach Bliley Act; the General Data Protection Regulation (the “GDPR”) and country-specific data protection laws enacted to supplement the GDPR; the U.S. Health Insurance Portability and Accountability Act of 1996, as amended by the Health Information Technology for Economic and Clinical Health Act; the Cybersecurity Act of 2015; the U.S. Department of Commerce’s National Institute of Standards and Technology’s Cybersecurity Framework; the Clarifying Lawful Overseas Use of Data Act; and identity theft, file freezing, security breach notification and similar state privacy laws);</w:t>
      </w:r>
    </w:p>
    <w:p>
      <w:pPr>
        <w:spacing w:after="0" w:line="2" w:lineRule="exact"/>
        <w:rPr>
          <w:rFonts w:ascii="Arial" w:cs="Arial" w:eastAsia="Arial" w:hAnsi="Arial"/>
          <w:sz w:val="18"/>
          <w:szCs w:val="18"/>
          <w:color w:val="auto"/>
        </w:rPr>
      </w:pPr>
    </w:p>
    <w:p>
      <w:pPr>
        <w:ind w:left="560" w:right="20" w:hanging="323"/>
        <w:spacing w:after="0" w:line="216" w:lineRule="exact"/>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Extension of credit to consumers through the Electronic Fund Transfers Act and Regulation E, as well as non</w:t>
      </w:r>
      <w:r>
        <w:rPr>
          <w:rFonts w:ascii="MS PGothic" w:cs="MS PGothic" w:eastAsia="MS PGothic" w:hAnsi="MS PGothic"/>
          <w:sz w:val="18"/>
          <w:szCs w:val="18"/>
          <w:color w:val="auto"/>
        </w:rPr>
        <w:t>‑</w:t>
      </w:r>
      <w:r>
        <w:rPr>
          <w:rFonts w:ascii="Arial" w:cs="Arial" w:eastAsia="Arial" w:hAnsi="Arial"/>
          <w:sz w:val="18"/>
          <w:szCs w:val="18"/>
          <w:color w:val="auto"/>
        </w:rPr>
        <w:t>governmental VISA and MasterCard electronic payment standards;</w:t>
      </w:r>
    </w:p>
    <w:p>
      <w:pPr>
        <w:jc w:val="both"/>
        <w:ind w:left="560" w:hanging="323"/>
        <w:spacing w:after="0" w:line="250"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Laws and regulations applicable to secondary market participants (e.g., Fannie Mae and Freddie Mac) that could have an impact on our scoring products and revenues, including 12 CFR Part 1254 (Validation and Approval of Credit Score Models) issued by the Federal Housing Finance Agency in accordance with Section 310 of the Economic Growth, Regulatory Relief, and Consumer Protection Act (Public Law 115-174), and any regulations, standards or criteria established pursuant to such laws or regulations;</w:t>
      </w:r>
    </w:p>
    <w:p>
      <w:pPr>
        <w:spacing w:after="0" w:line="1" w:lineRule="exact"/>
        <w:rPr>
          <w:rFonts w:ascii="Arial" w:cs="Arial" w:eastAsia="Arial" w:hAnsi="Arial"/>
          <w:sz w:val="18"/>
          <w:szCs w:val="18"/>
          <w:color w:val="auto"/>
        </w:rPr>
      </w:pPr>
    </w:p>
    <w:p>
      <w:pPr>
        <w:ind w:left="560" w:hanging="323"/>
        <w:spacing w:after="0" w:line="250"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Laws and regulations applicable to our customer communication clients and their use of our products and services (e.g., the Telemarketing Sales Rule, Telephone Consumer Protection Act and regulations promulgated thereunder);</w:t>
      </w:r>
    </w:p>
    <w:p>
      <w:pPr>
        <w:ind w:left="560" w:hanging="323"/>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Laws and regulations applicable to our insurance clients and their use of our insurance products and services;</w:t>
      </w:r>
    </w:p>
    <w:p>
      <w:pPr>
        <w:spacing w:after="0" w:line="9" w:lineRule="exact"/>
        <w:rPr>
          <w:rFonts w:ascii="Arial" w:cs="Arial" w:eastAsia="Arial" w:hAnsi="Arial"/>
          <w:sz w:val="18"/>
          <w:szCs w:val="18"/>
          <w:color w:val="auto"/>
        </w:rPr>
      </w:pPr>
    </w:p>
    <w:p>
      <w:pPr>
        <w:jc w:val="both"/>
        <w:ind w:left="560" w:hanging="323"/>
        <w:spacing w:after="0" w:line="255"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application or extension of consumer protection laws, including implementing regulations (e.g., the Consumer Financial Protection Act, the Federal Trade Commission Act, the Truth In Lending Act and Regulation Z, the Fair Debt Collection Practices Act, the Servicemembers Civil Relief Act, the Military Lending Act, and the Credit Repair Organizations Act);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60" w:hanging="323"/>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Laws and regulations governing the use of the Internet and social media, telemarketing, advertising, endorsements and testimonials;</w:t>
      </w:r>
    </w:p>
    <w:p>
      <w:pPr>
        <w:spacing w:after="0" w:line="23" w:lineRule="exact"/>
        <w:rPr>
          <w:rFonts w:ascii="Arial" w:cs="Arial" w:eastAsia="Arial" w:hAnsi="Arial"/>
          <w:sz w:val="18"/>
          <w:szCs w:val="18"/>
          <w:color w:val="auto"/>
        </w:rPr>
      </w:pPr>
    </w:p>
    <w:p>
      <w:pPr>
        <w:ind w:left="560" w:hanging="323"/>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Anti-bribery and corruption laws and regulations (e.g., the Foreign Corrupt Practices Act and the UK Bribery Act 2010);</w:t>
      </w:r>
    </w:p>
    <w:p>
      <w:pPr>
        <w:spacing w:after="0" w:line="9" w:lineRule="exact"/>
        <w:rPr>
          <w:rFonts w:ascii="Arial" w:cs="Arial" w:eastAsia="Arial" w:hAnsi="Arial"/>
          <w:sz w:val="18"/>
          <w:szCs w:val="18"/>
          <w:color w:val="auto"/>
        </w:rPr>
      </w:pPr>
    </w:p>
    <w:p>
      <w:pPr>
        <w:ind w:left="560" w:hanging="323"/>
        <w:spacing w:after="0" w:line="250"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regulatory standards (e.g., Sarbanes-Oxley Act requirements to maintain and verify internal process controls, including controls for material event awareness and notification);</w:t>
      </w:r>
    </w:p>
    <w:p>
      <w:pPr>
        <w:ind w:left="560" w:hanging="323"/>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requirements for managing third parties (e.g., vendors, contractors, suppliers and distributors);</w:t>
      </w:r>
    </w:p>
    <w:p>
      <w:pPr>
        <w:spacing w:after="0" w:line="9" w:lineRule="exact"/>
        <w:rPr>
          <w:rFonts w:ascii="Arial" w:cs="Arial" w:eastAsia="Arial" w:hAnsi="Arial"/>
          <w:sz w:val="18"/>
          <w:szCs w:val="18"/>
          <w:color w:val="auto"/>
        </w:rPr>
      </w:pPr>
    </w:p>
    <w:p>
      <w:pPr>
        <w:ind w:left="560" w:hanging="323"/>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Anti-money laundering laws and regulations (e.g., the Bank Secrecy Act and the USA PATRIOT Act);</w:t>
      </w:r>
    </w:p>
    <w:p>
      <w:pPr>
        <w:spacing w:after="0" w:line="9" w:lineRule="exact"/>
        <w:rPr>
          <w:rFonts w:ascii="Arial" w:cs="Arial" w:eastAsia="Arial" w:hAnsi="Arial"/>
          <w:sz w:val="18"/>
          <w:szCs w:val="18"/>
          <w:color w:val="auto"/>
        </w:rPr>
      </w:pPr>
    </w:p>
    <w:p>
      <w:pPr>
        <w:ind w:left="560" w:hanging="323"/>
        <w:spacing w:after="0" w:line="281" w:lineRule="auto"/>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Financial regulatory reform stemming from the Dodd-Frank Wall Street Reform and Consumer Protection Act and the many regulations mandated by that Act, including regulations issued by, and the supervisory and investigative authority of, the Consumer Financial Protection Bureau; and</w:t>
      </w:r>
    </w:p>
    <w:p>
      <w:pPr>
        <w:spacing w:after="0" w:line="1" w:lineRule="exact"/>
        <w:rPr>
          <w:rFonts w:ascii="Arial" w:cs="Arial" w:eastAsia="Arial" w:hAnsi="Arial"/>
          <w:sz w:val="16"/>
          <w:szCs w:val="16"/>
          <w:color w:val="auto"/>
        </w:rPr>
      </w:pPr>
    </w:p>
    <w:p>
      <w:pPr>
        <w:ind w:left="560" w:right="520" w:hanging="323"/>
        <w:spacing w:after="0" w:line="260"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Laws and regulations regarding export controls as they apply to FICO products delivered in non-U.S. countries (e.g., Office of Foreign Asset Control sanctions, and Export Administration Regulations).</w:t>
      </w:r>
    </w:p>
    <w:p>
      <w:pPr>
        <w:spacing w:after="0" w:line="185" w:lineRule="exact"/>
        <w:rPr>
          <w:sz w:val="20"/>
          <w:szCs w:val="20"/>
          <w:color w:val="auto"/>
        </w:rPr>
      </w:pPr>
    </w:p>
    <w:p>
      <w:pPr>
        <w:jc w:val="both"/>
        <w:ind w:firstLine="229"/>
        <w:spacing w:after="0" w:line="287" w:lineRule="auto"/>
        <w:rPr>
          <w:sz w:val="20"/>
          <w:szCs w:val="20"/>
          <w:color w:val="auto"/>
        </w:rPr>
      </w:pPr>
      <w:r>
        <w:rPr>
          <w:rFonts w:ascii="Arial" w:cs="Arial" w:eastAsia="Arial" w:hAnsi="Arial"/>
          <w:sz w:val="16"/>
          <w:szCs w:val="16"/>
          <w:color w:val="auto"/>
        </w:rPr>
        <w:t>In addition, many U.S. and foreign jurisdictions have passed, or are currently contemplating, a variety of consumer protection, privacy, and data security laws and regulations that may relate to our business or affect the demand for our products and services. For example, the GDPR became effective on May 25, 2018 and imposes more stringent operational requirements for entities processing personal information and greater penalties for noncompliance. Brazil, India, South Africa, Japan, China, Israel, Canada, and several other countries have introduced and, in some cases, enacted, similar privacy laws. The California Consumer Privacy Act of 2018, which was enacted on June 28, 2018 and became effective on January 1, 2020, gives California residents certain privacy rights in the collection and disclosure of their personal information and requires businesses to make certain disclosures and take certain other acts in furtherance of those rights. The costs and other burdens of compliance with privacy and data security laws and regulations could negatively impact the use and adoption of our solutions and reduce overall demand for them. Additionally, concerns regarding data privacy may cause our customers, or their customers and potential customers, to resist providing the data necessary to allow us to deliver our solutions effectively. Even the perception that the privacy of personal information is not satisfactorily protected or does not meet regulatory requirements could inhibit sales of our solutions and any failure to comply with such laws and regulations could lead to significant fines, penalties or other liabilities. Any such decrease in demand or incurred fines, penalties or other liabilities could have a material adverse effect on our business, results of operations, and financial condition.</w:t>
      </w:r>
    </w:p>
    <w:p>
      <w:pPr>
        <w:spacing w:after="0" w:line="168" w:lineRule="exact"/>
        <w:rPr>
          <w:sz w:val="20"/>
          <w:szCs w:val="20"/>
          <w:color w:val="auto"/>
        </w:rPr>
      </w:pPr>
    </w:p>
    <w:p>
      <w:pPr>
        <w:jc w:val="both"/>
        <w:ind w:firstLine="229"/>
        <w:spacing w:after="0" w:line="259" w:lineRule="auto"/>
        <w:rPr>
          <w:sz w:val="20"/>
          <w:szCs w:val="20"/>
          <w:color w:val="auto"/>
        </w:rPr>
      </w:pPr>
      <w:r>
        <w:rPr>
          <w:rFonts w:ascii="Arial" w:cs="Arial" w:eastAsia="Arial" w:hAnsi="Arial"/>
          <w:sz w:val="18"/>
          <w:szCs w:val="18"/>
          <w:color w:val="auto"/>
        </w:rPr>
        <w:t>In addition to existing laws and regulations, changes in the U.S. or foreign legislative, judicial, regulatory or consumer environments could harm our business, financial condition or results of operations. The laws and regulations above, and changes to them, could affect the demand for or profitability of our products, including scoring and consumer products. New laws and regulations pertaining to our customers could cause them to pursue new strategies, reducing the demand for our products.</w:t>
      </w:r>
    </w:p>
    <w:p>
      <w:pPr>
        <w:spacing w:after="0" w:line="18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revenues depend, to a great extent, upon conditions in the banking (including consumer credit) and insurance industries. If our clients’ industries experience uncertainty, it will likely harm our business, financial condition or results of operations.</w:t>
      </w:r>
    </w:p>
    <w:p>
      <w:pPr>
        <w:spacing w:after="0" w:line="170" w:lineRule="exact"/>
        <w:rPr>
          <w:sz w:val="20"/>
          <w:szCs w:val="20"/>
          <w:color w:val="auto"/>
        </w:rPr>
      </w:pPr>
    </w:p>
    <w:p>
      <w:pPr>
        <w:jc w:val="both"/>
        <w:ind w:firstLine="229"/>
        <w:spacing w:after="0" w:line="255" w:lineRule="auto"/>
        <w:rPr>
          <w:sz w:val="20"/>
          <w:szCs w:val="20"/>
          <w:color w:val="auto"/>
        </w:rPr>
      </w:pPr>
      <w:r>
        <w:rPr>
          <w:rFonts w:ascii="Arial" w:cs="Arial" w:eastAsia="Arial" w:hAnsi="Arial"/>
          <w:sz w:val="18"/>
          <w:szCs w:val="18"/>
          <w:color w:val="auto"/>
        </w:rPr>
        <w:t>During fiscal 2019, 88% of our revenues were derived from sales of products and services to the banking and insurance industries. Global economic uncertainty experienced in the U.S. and other key international economies in the past produced substantial stress, volatility, illiquidity and disruption of global credit and other financial markets, resulting in the bankruptcy or acquisition of, or government assistance to, several major domestic and international financial institutions. The potential for disruptions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w:t>
      </w:r>
    </w:p>
    <w:p>
      <w:pPr>
        <w:spacing w:after="0" w:line="192" w:lineRule="exact"/>
        <w:rPr>
          <w:sz w:val="20"/>
          <w:szCs w:val="20"/>
          <w:color w:val="auto"/>
        </w:rPr>
      </w:pPr>
    </w:p>
    <w:p>
      <w:pPr>
        <w:jc w:val="both"/>
        <w:ind w:firstLine="229"/>
        <w:spacing w:after="0" w:line="272" w:lineRule="auto"/>
        <w:rPr>
          <w:sz w:val="20"/>
          <w:szCs w:val="20"/>
          <w:color w:val="auto"/>
        </w:rPr>
      </w:pPr>
      <w:r>
        <w:rPr>
          <w:rFonts w:ascii="Arial" w:cs="Arial" w:eastAsia="Arial" w:hAnsi="Arial"/>
          <w:sz w:val="17"/>
          <w:szCs w:val="17"/>
          <w:color w:val="auto"/>
        </w:rPr>
        <w:t>While the rate of account growth in the U.S. bankcard industry has been slow and many of our large institutional customers have consolidated in recent years, we have generated most of our revenue growth from our bankcard-related scoring and account management businesses by selling and cross-selling our products and services to large banks and other credit issuers. As the banking industry continues to experience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177" w:lineRule="exact"/>
        <w:rPr>
          <w:sz w:val="20"/>
          <w:szCs w:val="20"/>
          <w:color w:val="auto"/>
        </w:rPr>
      </w:pPr>
    </w:p>
    <w:p>
      <w:pPr>
        <w:jc w:val="both"/>
        <w:ind w:firstLine="229"/>
        <w:spacing w:after="0" w:line="277" w:lineRule="auto"/>
        <w:rPr>
          <w:sz w:val="20"/>
          <w:szCs w:val="20"/>
          <w:color w:val="auto"/>
        </w:rPr>
      </w:pPr>
      <w:r>
        <w:rPr>
          <w:rFonts w:ascii="Arial" w:cs="Arial" w:eastAsia="Arial" w:hAnsi="Arial"/>
          <w:sz w:val="18"/>
          <w:szCs w:val="18"/>
          <w:color w:val="auto"/>
        </w:rPr>
        <w:t>While we are attempting to expand our sales of consumer credit, banking and insurance products and services into international markets, the risks are greater as these markets are also experiencing substantial disruption and we are less well-known in them.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External Conditions</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Material adverse developments in global economic conditions, or the occurrence of certain other world events, could affect demand for our products and services and harm our business.</w:t>
      </w:r>
    </w:p>
    <w:p>
      <w:pPr>
        <w:spacing w:after="0" w:line="170" w:lineRule="exact"/>
        <w:rPr>
          <w:sz w:val="20"/>
          <w:szCs w:val="20"/>
          <w:color w:val="auto"/>
        </w:rPr>
      </w:pPr>
    </w:p>
    <w:p>
      <w:pPr>
        <w:jc w:val="both"/>
        <w:ind w:firstLine="229"/>
        <w:spacing w:after="0" w:line="271" w:lineRule="auto"/>
        <w:rPr>
          <w:sz w:val="20"/>
          <w:szCs w:val="20"/>
          <w:color w:val="auto"/>
        </w:rPr>
      </w:pPr>
      <w:r>
        <w:rPr>
          <w:rFonts w:ascii="Arial" w:cs="Arial" w:eastAsia="Arial" w:hAnsi="Arial"/>
          <w:sz w:val="17"/>
          <w:szCs w:val="17"/>
          <w:color w:val="auto"/>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Global economic uncertainty has produced substantial stress, volatility, illiquidity and disruption of global credit and other financial markets in the past. Any economic uncertainty can negatively affect the businesses and purchasing decisions of companies in the industries we serve. The potential for disruptions presents considerable risks to our businesses and operations. If global economic conditions experience stress and negative volatility, or if there is an escalation in regional or global conflicts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spacing w:after="0" w:line="178" w:lineRule="exact"/>
        <w:rPr>
          <w:sz w:val="20"/>
          <w:szCs w:val="20"/>
          <w:color w:val="auto"/>
        </w:rPr>
      </w:pPr>
    </w:p>
    <w:p>
      <w:pPr>
        <w:jc w:val="both"/>
        <w:ind w:firstLine="229"/>
        <w:spacing w:after="0" w:line="279" w:lineRule="auto"/>
        <w:rPr>
          <w:sz w:val="20"/>
          <w:szCs w:val="20"/>
          <w:color w:val="auto"/>
        </w:rPr>
      </w:pPr>
      <w:r>
        <w:rPr>
          <w:rFonts w:ascii="Arial" w:cs="Arial" w:eastAsia="Arial" w:hAnsi="Arial"/>
          <w:sz w:val="17"/>
          <w:szCs w:val="17"/>
          <w:color w:val="auto"/>
        </w:rPr>
        <w:t>For example, on June 23, 2016, the United Kingdom (“U.K.”) held a referendum in which voters approved an exit from the E.U., commonly referred to as “Brexit.” As a result of the referendum and the ongoing uncertainty regarding Brexit, the future relationship between the U.K. and the E.U. remains unknown. Brexit has caused, and may continue to create, volatility in global stock markets and regional and global economic uncertainty, which may cause our customers to closely monitor their costs and reduce their spending budget on our products and services.</w:t>
      </w:r>
    </w:p>
    <w:p>
      <w:pPr>
        <w:spacing w:after="0" w:line="11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In March 2020, the World Health Organization declared the outbreak of COVID-19, which continues to spread throughout the U.S. and the world, to be a pandemic. As is possible with any significant outbreak of epidemic, pandemic, or contagious diseases, the COVID-19 outbreak has resulted in a widespread health crisis that has adversely affected broader economies and financial markets. COVID-19 has caused shutdowns to businesses and cities worldwide and has disrupted supply chains, business operations, travel, and consumer confidence.</w:t>
      </w:r>
    </w:p>
    <w:p>
      <w:pPr>
        <w:spacing w:after="0" w:line="133" w:lineRule="exact"/>
        <w:rPr>
          <w:sz w:val="20"/>
          <w:szCs w:val="20"/>
          <w:color w:val="auto"/>
        </w:rPr>
      </w:pPr>
    </w:p>
    <w:p>
      <w:pPr>
        <w:jc w:val="both"/>
        <w:ind w:firstLine="216"/>
        <w:spacing w:after="0" w:line="296" w:lineRule="auto"/>
        <w:rPr>
          <w:sz w:val="20"/>
          <w:szCs w:val="20"/>
          <w:color w:val="auto"/>
        </w:rPr>
      </w:pPr>
      <w:r>
        <w:rPr>
          <w:rFonts w:ascii="Arial" w:cs="Arial" w:eastAsia="Arial" w:hAnsi="Arial"/>
          <w:sz w:val="16"/>
          <w:szCs w:val="16"/>
          <w:color w:val="auto"/>
        </w:rPr>
        <w:t>Whether or not recent or new legislative or regulatory initiatives or other efforts successfully stabilize and add liquidity to the financial markets,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 operations outside the U.S., we are subject to additional risks that may harm our business, financial condition or results of operations.</w:t>
      </w:r>
    </w:p>
    <w:p>
      <w:pPr>
        <w:spacing w:after="0" w:line="24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 growing portion of our revenues is derived from international sales. During fiscal 2019, 34% of our revenues were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188"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political conditions in countries where we sell our products and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in staffing and efficiently managing our operations in multiple geographic locations and in various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effects of a variety of foreign laws and regulations, including restrictions on access to personal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import and export licensing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tariffs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212529"/>
        </w:rPr>
        <w:t>terrorism, war, natural disasters and pandemics, including the COVID-19 pandemic;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and delays in translating products and related documentation into foreign languages.</w:t>
      </w:r>
    </w:p>
    <w:p>
      <w:pPr>
        <w:spacing w:after="0" w:line="211" w:lineRule="exact"/>
        <w:rPr>
          <w:sz w:val="20"/>
          <w:szCs w:val="20"/>
          <w:color w:val="auto"/>
        </w:rPr>
      </w:pPr>
    </w:p>
    <w:p>
      <w:pPr>
        <w:jc w:val="both"/>
        <w:ind w:firstLine="229"/>
        <w:spacing w:after="0" w:line="311" w:lineRule="auto"/>
        <w:rPr>
          <w:sz w:val="20"/>
          <w:szCs w:val="20"/>
          <w:color w:val="auto"/>
        </w:rPr>
      </w:pPr>
      <w:r>
        <w:rPr>
          <w:rFonts w:ascii="Arial" w:cs="Arial" w:eastAsia="Arial" w:hAnsi="Arial"/>
          <w:sz w:val="16"/>
          <w:szCs w:val="16"/>
          <w:color w:val="auto"/>
        </w:rPr>
        <w:t>There can be no assurance that we will be able to successfully address each of these challenges in the near term. Additionally, some of our business will be conducted in currencies other than the U.S. dollar. Foreign currency transaction gains and losses are not currently material to our cash flows, financial position or results of operations. However, an increase in our foreign revenues could subject us to increased foreign currency transaction risks in the future.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If such risks materialize, our business could be damaged.</w:t>
      </w:r>
    </w:p>
    <w:p>
      <w:pPr>
        <w:spacing w:after="0" w:line="18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170" w:lineRule="exact"/>
        <w:rPr>
          <w:sz w:val="20"/>
          <w:szCs w:val="20"/>
          <w:color w:val="auto"/>
        </w:rPr>
      </w:pPr>
    </w:p>
    <w:p>
      <w:pPr>
        <w:jc w:val="both"/>
        <w:ind w:firstLine="229"/>
        <w:spacing w:after="0" w:line="253" w:lineRule="auto"/>
        <w:rPr>
          <w:sz w:val="20"/>
          <w:szCs w:val="20"/>
          <w:color w:val="auto"/>
        </w:rPr>
      </w:pPr>
      <w:r>
        <w:rPr>
          <w:rFonts w:ascii="Arial" w:cs="Arial" w:eastAsia="Arial" w:hAnsi="Arial"/>
          <w:sz w:val="18"/>
          <w:szCs w:val="18"/>
          <w:color w:val="auto"/>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 party to acquire, or discouraging a third 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19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experience changes in tax laws or adverse outcomes resulting from examination of our income tax returns, it could adversely affect our results of operations.</w:t>
      </w:r>
    </w:p>
    <w:p>
      <w:pPr>
        <w:spacing w:after="0" w:line="170" w:lineRule="exact"/>
        <w:rPr>
          <w:sz w:val="20"/>
          <w:szCs w:val="20"/>
          <w:color w:val="auto"/>
        </w:rPr>
      </w:pPr>
    </w:p>
    <w:p>
      <w:pPr>
        <w:jc w:val="both"/>
        <w:ind w:firstLine="229"/>
        <w:spacing w:after="0" w:line="273" w:lineRule="auto"/>
        <w:rPr>
          <w:sz w:val="20"/>
          <w:szCs w:val="20"/>
          <w:color w:val="auto"/>
        </w:rPr>
      </w:pPr>
      <w:r>
        <w:rPr>
          <w:rFonts w:ascii="Arial" w:cs="Arial" w:eastAsia="Arial" w:hAnsi="Arial"/>
          <w:sz w:val="17"/>
          <w:szCs w:val="17"/>
          <w:color w:val="auto"/>
        </w:rPr>
        <w:t>We are subject to federal and state income taxes in the U.S. and in certain foreign jurisdictions. Significant judgment is required in determining our worldwide provision for income taxes. Our future effective tax rates could be adversely affected by changes in tax laws,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1"/>
              </w:rPr>
              <w:t>Value of Shares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880" w:type="dxa"/>
            <w:vAlign w:val="bottom"/>
            <w:gridSpan w:val="2"/>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 (1)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per Share</w:t>
            </w:r>
          </w:p>
        </w:tc>
        <w:tc>
          <w:tcPr>
            <w:tcW w:w="1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 (2)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81"/>
              <w:spacing w:after="0" w:line="158" w:lineRule="exact"/>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April 1, 2020 through April 30, 2020</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85,760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291.33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82,477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40,322,467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May 1, 2020 through May 31, 2020</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48,853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388.62</w:t>
            </w:r>
          </w:p>
        </w:tc>
        <w:tc>
          <w:tcPr>
            <w:tcW w:w="100" w:type="dxa"/>
            <w:vAlign w:val="bottom"/>
          </w:tcPr>
          <w:p>
            <w:pPr>
              <w:spacing w:after="0"/>
              <w:rPr>
                <w:sz w:val="21"/>
                <w:szCs w:val="21"/>
                <w:color w:val="auto"/>
              </w:rPr>
            </w:pPr>
          </w:p>
        </w:tc>
        <w:tc>
          <w:tcPr>
            <w:tcW w:w="1560" w:type="dxa"/>
            <w:vAlign w:val="bottom"/>
          </w:tcPr>
          <w:p>
            <w:pPr>
              <w:jc w:val="right"/>
              <w:ind w:right="40"/>
              <w:spacing w:after="0"/>
              <w:rPr>
                <w:sz w:val="20"/>
                <w:szCs w:val="20"/>
                <w:color w:val="auto"/>
              </w:rPr>
            </w:pPr>
            <w:r>
              <w:rPr>
                <w:rFonts w:ascii="Arial" w:cs="Arial" w:eastAsia="Arial" w:hAnsi="Arial"/>
                <w:sz w:val="18"/>
                <w:szCs w:val="18"/>
                <w:color w:val="auto"/>
              </w:rPr>
              <w:t>45,000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
              <w:spacing w:after="0"/>
              <w:rPr>
                <w:sz w:val="20"/>
                <w:szCs w:val="20"/>
                <w:color w:val="auto"/>
              </w:rPr>
            </w:pPr>
            <w:r>
              <w:rPr>
                <w:rFonts w:ascii="Arial" w:cs="Arial" w:eastAsia="Arial" w:hAnsi="Arial"/>
                <w:sz w:val="18"/>
                <w:szCs w:val="18"/>
                <w:color w:val="auto"/>
              </w:rPr>
              <w:t>22,764,828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1, 2020 through June 30, 2020</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31,595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414.24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10,332,778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166,208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157,477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
              <w:spacing w:after="0"/>
              <w:rPr>
                <w:sz w:val="20"/>
                <w:szCs w:val="20"/>
                <w:color w:val="auto"/>
              </w:rPr>
            </w:pPr>
            <w:r>
              <w:rPr>
                <w:rFonts w:ascii="Arial" w:cs="Arial" w:eastAsia="Arial" w:hAnsi="Arial"/>
                <w:sz w:val="18"/>
                <w:szCs w:val="18"/>
                <w:color w:val="auto"/>
              </w:rPr>
              <w:t>10,332,778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hanging="332"/>
        <w:spacing w:after="0" w:line="258"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8,731 shares delivered in satisfaction of the tax withholding obligations resulting from the vesting of restricted stock units held by employees during the quarter ended June 30, 2020.</w:t>
      </w:r>
    </w:p>
    <w:p>
      <w:pPr>
        <w:spacing w:after="0" w:line="1"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July 2019, our Board of Directors approved a stock repurchase program following the completion of our previous program. This program was open-ended and authorized repurchases of shares of our common stock up to an aggregate cost of $250.0 million in the open market or in negotiated transactions. In July 2020, our Board of Directors approved a new stock repurchase program following the completion of the July 2019 program. The new program is open-ended and authorizes repurchases of shares of our common stock up to an aggregate cost of $250.0 million in the open market or in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-974725</wp:posOffset>
            </wp:positionV>
            <wp:extent cx="1388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8159"/>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Other Information</w:t>
      </w:r>
    </w:p>
    <w:p>
      <w:pPr>
        <w:spacing w:after="0" w:line="144" w:lineRule="exact"/>
        <w:rPr>
          <w:sz w:val="20"/>
          <w:szCs w:val="20"/>
          <w:color w:val="auto"/>
        </w:rPr>
      </w:pPr>
    </w:p>
    <w:p>
      <w:pPr>
        <w:jc w:val="center"/>
        <w:ind w:right="8159"/>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139"/>
          </w:cols>
          <w:pgMar w:left="320" w:top="125" w:right="1440"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9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3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0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5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4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7"/>
              </w:rPr>
              <w:t>3.1</w:t>
            </w:r>
          </w:p>
        </w:tc>
        <w:tc>
          <w:tcPr>
            <w:tcW w:w="560" w:type="dxa"/>
            <w:vAlign w:val="bottom"/>
          </w:tcPr>
          <w:p>
            <w:pPr>
              <w:spacing w:after="0"/>
              <w:rPr>
                <w:sz w:val="19"/>
                <w:szCs w:val="19"/>
                <w:color w:val="auto"/>
              </w:rPr>
            </w:pPr>
          </w:p>
        </w:tc>
        <w:tc>
          <w:tcPr>
            <w:tcW w:w="9620" w:type="dxa"/>
            <w:vAlign w:val="bottom"/>
            <w:tcBorders>
              <w:bottom w:val="single" w:sz="8" w:color="0000FF"/>
            </w:tcBorders>
            <w:gridSpan w:val="6"/>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Composite Restated Certificate of Incorporation of Fair Isaac Corporation (incorporated by reference to Exhibit 3.2 to the Company’s</w:t>
              </w:r>
            </w:hyperlink>
          </w:p>
        </w:tc>
        <w:tc>
          <w:tcPr>
            <w:tcW w:w="0" w:type="dxa"/>
            <w:vAlign w:val="bottom"/>
          </w:tcPr>
          <w:p>
            <w:pPr>
              <w:spacing w:after="0"/>
              <w:rPr>
                <w:sz w:val="1"/>
                <w:szCs w:val="1"/>
                <w:color w:val="auto"/>
              </w:rPr>
            </w:pPr>
          </w:p>
        </w:tc>
      </w:tr>
      <w:tr>
        <w:trPr>
          <w:trHeight w:val="128"/>
        </w:trPr>
        <w:tc>
          <w:tcPr>
            <w:tcW w:w="60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5420" w:type="dxa"/>
            <w:vAlign w:val="bottom"/>
            <w:gridSpan w:val="4"/>
            <w:vMerge w:val="restart"/>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Form 10-Q for the quarter ended December 31, 2009 (file no. 001-11689)).</w:t>
              </w:r>
            </w:hyperlink>
          </w:p>
        </w:tc>
        <w:tc>
          <w:tcPr>
            <w:tcW w:w="420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20" w:type="dxa"/>
            <w:vAlign w:val="bottom"/>
            <w:tcBorders>
              <w:bottom w:val="single" w:sz="8" w:color="0000FF"/>
            </w:tcBorders>
            <w:gridSpan w:val="4"/>
            <w:vMerge w:val="continue"/>
          </w:tcPr>
          <w:p>
            <w:pPr>
              <w:spacing w:after="0"/>
              <w:rPr>
                <w:sz w:val="5"/>
                <w:szCs w:val="5"/>
                <w:color w:val="auto"/>
              </w:rPr>
            </w:pPr>
          </w:p>
        </w:tc>
        <w:tc>
          <w:tcPr>
            <w:tcW w:w="4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60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7"/>
              </w:rPr>
              <w:t>3.2</w:t>
            </w:r>
          </w:p>
        </w:tc>
        <w:tc>
          <w:tcPr>
            <w:tcW w:w="560" w:type="dxa"/>
            <w:vAlign w:val="bottom"/>
          </w:tcPr>
          <w:p>
            <w:pPr>
              <w:spacing w:after="0"/>
              <w:rPr>
                <w:sz w:val="24"/>
                <w:szCs w:val="24"/>
                <w:color w:val="auto"/>
              </w:rPr>
            </w:pPr>
          </w:p>
        </w:tc>
        <w:tc>
          <w:tcPr>
            <w:tcW w:w="9620" w:type="dxa"/>
            <w:vAlign w:val="bottom"/>
            <w:gridSpan w:val="6"/>
          </w:tcPr>
          <w:p>
            <w:pPr>
              <w:spacing w:after="0"/>
              <w:rPr>
                <w:rFonts w:ascii="Arial" w:cs="Arial" w:eastAsia="Arial" w:hAnsi="Arial"/>
                <w:sz w:val="18"/>
                <w:szCs w:val="18"/>
                <w:color w:val="0000FF"/>
                <w:w w:val="95"/>
              </w:rPr>
            </w:pPr>
            <w:hyperlink r:id="rId32">
              <w:r>
                <w:rPr>
                  <w:rFonts w:ascii="Arial" w:cs="Arial" w:eastAsia="Arial" w:hAnsi="Arial"/>
                  <w:sz w:val="18"/>
                  <w:szCs w:val="18"/>
                  <w:color w:val="0000FF"/>
                  <w:w w:val="95"/>
                </w:rPr>
                <w:t>By-laws of Fair Isaac Corporation (incorporated by reference to Exhibit 3.1 to the Company’s Form 10-Q for the quarter ended</w:t>
              </w:r>
            </w:hyperlink>
          </w:p>
        </w:tc>
        <w:tc>
          <w:tcPr>
            <w:tcW w:w="0" w:type="dxa"/>
            <w:vAlign w:val="bottom"/>
          </w:tcPr>
          <w:p>
            <w:pPr>
              <w:spacing w:after="0"/>
              <w:rPr>
                <w:sz w:val="1"/>
                <w:szCs w:val="1"/>
                <w:color w:val="auto"/>
              </w:rPr>
            </w:pPr>
          </w:p>
        </w:tc>
      </w:tr>
      <w:tr>
        <w:trPr>
          <w:trHeight w:val="128"/>
        </w:trPr>
        <w:tc>
          <w:tcPr>
            <w:tcW w:w="60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3020" w:type="dxa"/>
            <w:vAlign w:val="bottom"/>
            <w:tcBorders>
              <w:top w:val="single" w:sz="8" w:color="0000FF"/>
            </w:tcBorders>
            <w:vMerge w:val="restart"/>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December 31, 2009 (file no. 001-11689)).</w:t>
              </w:r>
            </w:hyperlink>
          </w:p>
        </w:tc>
        <w:tc>
          <w:tcPr>
            <w:tcW w:w="6140" w:type="dxa"/>
            <w:vAlign w:val="bottom"/>
            <w:tcBorders>
              <w:top w:val="single" w:sz="8" w:color="0000FF"/>
            </w:tcBorders>
            <w:gridSpan w:val="4"/>
            <w:vMerge w:val="restart"/>
          </w:tcPr>
          <w:p>
            <w:pPr>
              <w:spacing w:after="0"/>
              <w:rPr>
                <w:sz w:val="11"/>
                <w:szCs w:val="11"/>
                <w:color w:val="auto"/>
              </w:rPr>
            </w:pPr>
          </w:p>
        </w:tc>
        <w:tc>
          <w:tcPr>
            <w:tcW w:w="4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20" w:type="dxa"/>
            <w:vAlign w:val="bottom"/>
            <w:tcBorders>
              <w:bottom w:val="single" w:sz="8" w:color="0000FF"/>
            </w:tcBorders>
            <w:vMerge w:val="continue"/>
          </w:tcPr>
          <w:p>
            <w:pPr>
              <w:spacing w:after="0"/>
              <w:rPr>
                <w:sz w:val="5"/>
                <w:szCs w:val="5"/>
                <w:color w:val="auto"/>
              </w:rPr>
            </w:pPr>
          </w:p>
        </w:tc>
        <w:tc>
          <w:tcPr>
            <w:tcW w:w="6140" w:type="dxa"/>
            <w:vAlign w:val="bottom"/>
            <w:gridSpan w:val="4"/>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3"/>
              </w:rPr>
              <w:t>31.1 *</w:t>
            </w:r>
          </w:p>
        </w:tc>
        <w:tc>
          <w:tcPr>
            <w:tcW w:w="560" w:type="dxa"/>
            <w:vAlign w:val="bottom"/>
          </w:tcPr>
          <w:p>
            <w:pPr>
              <w:spacing w:after="0"/>
              <w:rPr>
                <w:sz w:val="24"/>
                <w:szCs w:val="24"/>
                <w:color w:val="auto"/>
              </w:rPr>
            </w:pPr>
          </w:p>
        </w:tc>
        <w:tc>
          <w:tcPr>
            <w:tcW w:w="9620" w:type="dxa"/>
            <w:vAlign w:val="bottom"/>
            <w:gridSpan w:val="6"/>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Rule 13a-14(a)/15d-14(a) Certifications of CEO.</w:t>
              </w:r>
            </w:hyperlink>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3"/>
              </w:rPr>
              <w:t>31.2 *</w:t>
            </w:r>
          </w:p>
        </w:tc>
        <w:tc>
          <w:tcPr>
            <w:tcW w:w="560" w:type="dxa"/>
            <w:vAlign w:val="bottom"/>
          </w:tcPr>
          <w:p>
            <w:pPr>
              <w:spacing w:after="0"/>
              <w:rPr>
                <w:sz w:val="24"/>
                <w:szCs w:val="24"/>
                <w:color w:val="auto"/>
              </w:rPr>
            </w:pPr>
          </w:p>
        </w:tc>
        <w:tc>
          <w:tcPr>
            <w:tcW w:w="9620" w:type="dxa"/>
            <w:vAlign w:val="bottom"/>
            <w:gridSpan w:val="6"/>
          </w:tcPr>
          <w:p>
            <w:pPr>
              <w:spacing w:after="0"/>
              <w:rPr>
                <w:rFonts w:ascii="Arial" w:cs="Arial" w:eastAsia="Arial" w:hAnsi="Arial"/>
                <w:sz w:val="18"/>
                <w:szCs w:val="18"/>
                <w:color w:val="0000FF"/>
              </w:rPr>
            </w:pPr>
            <w:hyperlink w:anchor="page62">
              <w:r>
                <w:rPr>
                  <w:rFonts w:ascii="Arial" w:cs="Arial" w:eastAsia="Arial" w:hAnsi="Arial"/>
                  <w:sz w:val="18"/>
                  <w:szCs w:val="18"/>
                  <w:u w:val="single" w:color="auto"/>
                  <w:color w:val="0000FF"/>
                </w:rPr>
                <w:t>Rule 13a-14(a)/15d-14(a) Certifications of CFO</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3"/>
              </w:rPr>
              <w:t>32.1 *</w:t>
            </w:r>
          </w:p>
        </w:tc>
        <w:tc>
          <w:tcPr>
            <w:tcW w:w="560" w:type="dxa"/>
            <w:vAlign w:val="bottom"/>
          </w:tcPr>
          <w:p>
            <w:pPr>
              <w:spacing w:after="0"/>
              <w:rPr>
                <w:sz w:val="24"/>
                <w:szCs w:val="24"/>
                <w:color w:val="auto"/>
              </w:rPr>
            </w:pPr>
          </w:p>
        </w:tc>
        <w:tc>
          <w:tcPr>
            <w:tcW w:w="9620" w:type="dxa"/>
            <w:vAlign w:val="bottom"/>
            <w:gridSpan w:val="6"/>
          </w:tcPr>
          <w:p>
            <w:pPr>
              <w:spacing w:after="0"/>
              <w:rPr>
                <w:rFonts w:ascii="Arial" w:cs="Arial" w:eastAsia="Arial" w:hAnsi="Arial"/>
                <w:sz w:val="18"/>
                <w:szCs w:val="18"/>
                <w:color w:val="0000FF"/>
              </w:rPr>
            </w:pPr>
            <w:hyperlink w:anchor="page63">
              <w:r>
                <w:rPr>
                  <w:rFonts w:ascii="Arial" w:cs="Arial" w:eastAsia="Arial" w:hAnsi="Arial"/>
                  <w:sz w:val="18"/>
                  <w:szCs w:val="18"/>
                  <w:u w:val="single" w:color="auto"/>
                  <w:color w:val="0000FF"/>
                </w:rPr>
                <w:t>Section 1350 Certification of CEO</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392"/>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3"/>
              </w:rPr>
              <w:t>32.2 *</w:t>
            </w:r>
          </w:p>
        </w:tc>
        <w:tc>
          <w:tcPr>
            <w:tcW w:w="560" w:type="dxa"/>
            <w:vAlign w:val="bottom"/>
          </w:tcPr>
          <w:p>
            <w:pPr>
              <w:spacing w:after="0"/>
              <w:rPr>
                <w:sz w:val="24"/>
                <w:szCs w:val="24"/>
                <w:color w:val="auto"/>
              </w:rPr>
            </w:pPr>
          </w:p>
        </w:tc>
        <w:tc>
          <w:tcPr>
            <w:tcW w:w="9620" w:type="dxa"/>
            <w:vAlign w:val="bottom"/>
            <w:gridSpan w:val="6"/>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Section 1350 Certification of CFO.</w:t>
              </w:r>
            </w:hyperlink>
          </w:p>
        </w:tc>
        <w:tc>
          <w:tcPr>
            <w:tcW w:w="0" w:type="dxa"/>
            <w:vAlign w:val="bottom"/>
          </w:tcPr>
          <w:p>
            <w:pPr>
              <w:spacing w:after="0"/>
              <w:rPr>
                <w:sz w:val="1"/>
                <w:szCs w:val="1"/>
                <w:color w:val="auto"/>
              </w:rPr>
            </w:pPr>
          </w:p>
        </w:tc>
      </w:tr>
      <w:tr>
        <w:trPr>
          <w:trHeight w:val="392"/>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2"/>
              </w:rPr>
              <w:t>101.INS</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91"/>
        </w:trPr>
        <w:tc>
          <w:tcPr>
            <w:tcW w:w="116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101.SCH</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7"/>
              </w:rPr>
              <w:t>101.CAL</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101.DEF</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8"/>
              </w:rPr>
              <w:t>101.LAB</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1"/>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101.PRE</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500" w:hanging="952"/>
        <w:spacing w:after="0"/>
        <w:tabs>
          <w:tab w:leader="none" w:pos="15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13627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125" w:right="4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FAIR ISAAC CORPORATION</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200"/>
              <w:spacing w:after="0"/>
              <w:rPr>
                <w:sz w:val="20"/>
                <w:szCs w:val="20"/>
                <w:color w:val="auto"/>
              </w:rPr>
            </w:pPr>
            <w:r>
              <w:rPr>
                <w:rFonts w:ascii="Arial" w:cs="Arial" w:eastAsia="Arial" w:hAnsi="Arial"/>
                <w:sz w:val="18"/>
                <w:szCs w:val="18"/>
                <w:color w:val="auto"/>
              </w:rPr>
              <w:t>July 29, 2020</w:t>
            </w:r>
          </w:p>
        </w:tc>
        <w:tc>
          <w:tcPr>
            <w:tcW w:w="5380" w:type="dxa"/>
            <w:vAlign w:val="bottom"/>
          </w:tcPr>
          <w:p>
            <w:pPr>
              <w:spacing w:after="0"/>
              <w:rPr>
                <w:sz w:val="20"/>
                <w:szCs w:val="20"/>
                <w:color w:val="auto"/>
              </w:rPr>
            </w:pPr>
          </w:p>
        </w:tc>
      </w:tr>
      <w:tr>
        <w:trPr>
          <w:trHeight w:val="594"/>
        </w:trPr>
        <w:tc>
          <w:tcPr>
            <w:tcW w:w="700" w:type="dxa"/>
            <w:vAlign w:val="bottom"/>
          </w:tcPr>
          <w:p>
            <w:pPr>
              <w:spacing w:after="0"/>
              <w:rPr>
                <w:sz w:val="24"/>
                <w:szCs w:val="24"/>
                <w:color w:val="auto"/>
              </w:rPr>
            </w:pPr>
          </w:p>
        </w:tc>
        <w:tc>
          <w:tcPr>
            <w:tcW w:w="5120" w:type="dxa"/>
            <w:vAlign w:val="bottom"/>
          </w:tcPr>
          <w:p>
            <w:pPr>
              <w:ind w:left="458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rPr>
              <w:t>/s/ MICHAEL I. MCLAUGHLIN</w:t>
            </w:r>
          </w:p>
        </w:tc>
      </w:tr>
      <w:tr>
        <w:trPr>
          <w:trHeight w:val="27"/>
        </w:trPr>
        <w:tc>
          <w:tcPr>
            <w:tcW w:w="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6"/>
              </w:rPr>
              <w:t>Michael I. McLaughlin</w:t>
            </w:r>
          </w:p>
        </w:tc>
      </w:tr>
      <w:tr>
        <w:trPr>
          <w:trHeight w:val="270"/>
        </w:trPr>
        <w:tc>
          <w:tcPr>
            <w:tcW w:w="7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r>
        <w:trPr>
          <w:trHeight w:val="270"/>
        </w:trPr>
        <w:tc>
          <w:tcPr>
            <w:tcW w:w="7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2"/>
              </w:rPr>
              <w:t>(for Registrant as duly authorized officer and</w:t>
            </w:r>
          </w:p>
        </w:tc>
      </w:tr>
      <w:tr>
        <w:trPr>
          <w:trHeight w:val="270"/>
        </w:trPr>
        <w:tc>
          <w:tcPr>
            <w:tcW w:w="7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5"/>
              </w:rPr>
              <w:t>as Principal Financial Officer)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200"/>
              <w:spacing w:after="0"/>
              <w:rPr>
                <w:sz w:val="20"/>
                <w:szCs w:val="20"/>
                <w:color w:val="auto"/>
              </w:rPr>
            </w:pPr>
            <w:r>
              <w:rPr>
                <w:rFonts w:ascii="Arial" w:cs="Arial" w:eastAsia="Arial" w:hAnsi="Arial"/>
                <w:sz w:val="18"/>
                <w:szCs w:val="18"/>
                <w:color w:val="auto"/>
              </w:rPr>
              <w:t>July 29, 2020</w:t>
            </w:r>
          </w:p>
        </w:tc>
        <w:tc>
          <w:tcPr>
            <w:tcW w:w="5380" w:type="dxa"/>
            <w:vAlign w:val="bottom"/>
          </w:tcPr>
          <w:p>
            <w:pPr>
              <w:spacing w:after="0"/>
              <w:rPr>
                <w:sz w:val="24"/>
                <w:szCs w:val="24"/>
                <w:color w:val="auto"/>
              </w:rPr>
            </w:pPr>
          </w:p>
        </w:tc>
      </w:tr>
      <w:tr>
        <w:trPr>
          <w:trHeight w:val="594"/>
        </w:trPr>
        <w:tc>
          <w:tcPr>
            <w:tcW w:w="700" w:type="dxa"/>
            <w:vAlign w:val="bottom"/>
          </w:tcPr>
          <w:p>
            <w:pPr>
              <w:spacing w:after="0"/>
              <w:rPr>
                <w:sz w:val="24"/>
                <w:szCs w:val="24"/>
                <w:color w:val="auto"/>
              </w:rPr>
            </w:pPr>
          </w:p>
        </w:tc>
        <w:tc>
          <w:tcPr>
            <w:tcW w:w="5120" w:type="dxa"/>
            <w:vAlign w:val="bottom"/>
          </w:tcPr>
          <w:p>
            <w:pPr>
              <w:ind w:left="458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8"/>
              </w:rPr>
              <w:t>/s/ MICHAEL S. LEONARD</w:t>
            </w:r>
          </w:p>
        </w:tc>
      </w:tr>
      <w:tr>
        <w:trPr>
          <w:trHeight w:val="27"/>
        </w:trPr>
        <w:tc>
          <w:tcPr>
            <w:tcW w:w="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1"/>
              </w:rPr>
              <w:t>Michael S. Leonard</w:t>
            </w:r>
          </w:p>
        </w:tc>
      </w:tr>
      <w:tr>
        <w:trPr>
          <w:trHeight w:val="256"/>
        </w:trPr>
        <w:tc>
          <w:tcPr>
            <w:tcW w:w="70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1"/>
              </w:rPr>
              <w:t>Vice President and Chief Accounting Officer</w:t>
            </w:r>
          </w:p>
        </w:tc>
      </w:tr>
      <w:tr>
        <w:trPr>
          <w:trHeight w:val="230"/>
        </w:trPr>
        <w:tc>
          <w:tcPr>
            <w:tcW w:w="7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891"/>
        </w:trPr>
        <w:tc>
          <w:tcPr>
            <w:tcW w:w="700" w:type="dxa"/>
            <w:vAlign w:val="bottom"/>
          </w:tcPr>
          <w:p>
            <w:pPr>
              <w:spacing w:after="0"/>
              <w:rPr>
                <w:sz w:val="24"/>
                <w:szCs w:val="24"/>
                <w:color w:val="auto"/>
              </w:rPr>
            </w:pPr>
          </w:p>
        </w:tc>
        <w:tc>
          <w:tcPr>
            <w:tcW w:w="5120" w:type="dxa"/>
            <w:vAlign w:val="bottom"/>
          </w:tcPr>
          <w:p>
            <w:pPr>
              <w:ind w:left="4800"/>
              <w:spacing w:after="0"/>
              <w:rPr>
                <w:sz w:val="20"/>
                <w:szCs w:val="20"/>
                <w:color w:val="auto"/>
              </w:rPr>
            </w:pPr>
            <w:r>
              <w:rPr>
                <w:rFonts w:ascii="Arial" w:cs="Arial" w:eastAsia="Arial" w:hAnsi="Arial"/>
                <w:sz w:val="18"/>
                <w:szCs w:val="18"/>
                <w:color w:val="auto"/>
              </w:rPr>
              <w:t>56</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Lansing, certify that:</w:t>
      </w:r>
    </w:p>
    <w:p>
      <w:pPr>
        <w:spacing w:after="0" w:line="13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420" w:hanging="328"/>
        <w:spacing w:after="0" w:line="263"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0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J. Lansing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I. McLaughlin, certify that:</w:t>
      </w:r>
    </w:p>
    <w:p>
      <w:pPr>
        <w:spacing w:after="0" w:line="2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42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I.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03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I. McLaughlin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86" w:lineRule="exact"/>
        <w:rPr>
          <w:sz w:val="20"/>
          <w:szCs w:val="20"/>
          <w:color w:val="auto"/>
        </w:rPr>
      </w:pPr>
    </w:p>
    <w:p>
      <w:pPr>
        <w:ind w:left="40"/>
        <w:spacing w:after="0"/>
        <w:tabs>
          <w:tab w:leader="none" w:pos="700" w:val="left"/>
          <w:tab w:leader="none" w:pos="5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2020</w:t>
      </w:r>
      <w:r>
        <w:rPr>
          <w:sz w:val="20"/>
          <w:szCs w:val="20"/>
          <w:color w:val="auto"/>
        </w:rPr>
        <w:tab/>
      </w:r>
      <w:r>
        <w:rPr>
          <w:rFonts w:ascii="Arial" w:cs="Arial" w:eastAsia="Arial" w:hAnsi="Arial"/>
          <w:sz w:val="17"/>
          <w:szCs w:val="17"/>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31750</wp:posOffset>
            </wp:positionV>
            <wp:extent cx="39173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William J. Lansing</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86" w:lineRule="exact"/>
        <w:rPr>
          <w:sz w:val="20"/>
          <w:szCs w:val="20"/>
          <w:color w:val="auto"/>
        </w:rPr>
      </w:pPr>
    </w:p>
    <w:p>
      <w:pPr>
        <w:ind w:left="40"/>
        <w:spacing w:after="0"/>
        <w:tabs>
          <w:tab w:leader="none" w:pos="700" w:val="left"/>
          <w:tab w:leader="none" w:pos="5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2020</w:t>
      </w:r>
      <w:r>
        <w:rPr>
          <w:sz w:val="20"/>
          <w:szCs w:val="20"/>
          <w:color w:val="auto"/>
        </w:rPr>
        <w:tab/>
      </w:r>
      <w:r>
        <w:rPr>
          <w:rFonts w:ascii="Arial" w:cs="Arial" w:eastAsia="Arial" w:hAnsi="Arial"/>
          <w:sz w:val="18"/>
          <w:szCs w:val="18"/>
          <w:color w:val="auto"/>
        </w:rPr>
        <w:t>/s/ MICHAEL I.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31750</wp:posOffset>
            </wp:positionV>
            <wp:extent cx="39173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Michael I. McLaughlin</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9"/>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lowerRoman"/>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decimal"/>
      <w:start w:val="19"/>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
      <w:numFmt w:val="bullet"/>
      <w:start w:val="1"/>
    </w:lvl>
    <w:lvl w:ilvl="1">
      <w:lvlJc w:val="left"/>
      <w:lvlText w:val="%2"/>
      <w:numFmt w:val="decimal"/>
      <w:start w:val="104"/>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1" Type="http://schemas.openxmlformats.org/officeDocument/2006/relationships/hyperlink" Target="http://www.sec.gov/Archives/edgar/data/814547/000095012310009970/c56194exv3w2.htm" TargetMode="External"/><Relationship Id="rId32" Type="http://schemas.openxmlformats.org/officeDocument/2006/relationships/hyperlink" Target="http://www.sec.gov/Archives/edgar/data/814547/000095012310009970/c56194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2020-07-29T16:29:11Z</dcterms:created>
  <dcterms:modified xsi:type="dcterms:W3CDTF">2020-07-29T16:29:11Z</dcterms:modified>
</cp:coreProperties>
</file>