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right="460" w:hanging="452"/>
        <w:spacing w:after="0" w:line="242"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[NO FEE REQUIRED]</w:t>
      </w:r>
    </w:p>
    <w:p>
      <w:pPr>
        <w:sectPr>
          <w:pgSz w:w="11900" w:h="16838" w:orient="portrait"/>
          <w:cols w:equalWidth="0" w:num="1">
            <w:col w:w="11420"/>
          </w:cols>
          <w:pgMar w:left="240" w:top="230" w:right="239" w:bottom="1440" w:gutter="0" w:footer="0" w:header="0"/>
        </w:sectPr>
      </w:pPr>
    </w:p>
    <w:p>
      <w:pPr>
        <w:spacing w:after="0" w:line="141"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060" w:space="720"/>
            <w:col w:w="4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1-11689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Fair Isaac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6300" w:type="dxa"/>
            <w:vAlign w:val="bottom"/>
          </w:tcPr>
          <w:p>
            <w:pPr>
              <w:jc w:val="center"/>
              <w:ind w:right="3640"/>
              <w:spacing w:after="0"/>
              <w:rPr>
                <w:sz w:val="20"/>
                <w:szCs w:val="20"/>
                <w:color w:val="auto"/>
              </w:rPr>
            </w:pPr>
            <w:r>
              <w:rPr>
                <w:rFonts w:ascii="Arial" w:cs="Arial" w:eastAsia="Arial" w:hAnsi="Arial"/>
                <w:sz w:val="18"/>
                <w:szCs w:val="18"/>
                <w:b w:val="1"/>
                <w:bCs w:val="1"/>
                <w:color w:val="auto"/>
                <w:w w:val="88"/>
              </w:rPr>
              <w:t>Delaware</w:t>
            </w:r>
          </w:p>
        </w:tc>
        <w:tc>
          <w:tcPr>
            <w:tcW w:w="1280" w:type="dxa"/>
            <w:vAlign w:val="bottom"/>
          </w:tcPr>
          <w:p>
            <w:pPr>
              <w:jc w:val="center"/>
              <w:ind w:left="144"/>
              <w:spacing w:after="0"/>
              <w:rPr>
                <w:sz w:val="20"/>
                <w:szCs w:val="20"/>
                <w:color w:val="auto"/>
              </w:rPr>
            </w:pPr>
            <w:r>
              <w:rPr>
                <w:rFonts w:ascii="Arial" w:cs="Arial" w:eastAsia="Arial" w:hAnsi="Arial"/>
                <w:sz w:val="18"/>
                <w:szCs w:val="18"/>
                <w:b w:val="1"/>
                <w:bCs w:val="1"/>
                <w:color w:val="auto"/>
                <w:w w:val="89"/>
              </w:rPr>
              <w:t>94-1499887</w:t>
            </w:r>
          </w:p>
        </w:tc>
      </w:tr>
      <w:tr>
        <w:trPr>
          <w:trHeight w:val="149"/>
        </w:trPr>
        <w:tc>
          <w:tcPr>
            <w:tcW w:w="6300" w:type="dxa"/>
            <w:vAlign w:val="bottom"/>
          </w:tcPr>
          <w:p>
            <w:pPr>
              <w:jc w:val="center"/>
              <w:ind w:right="36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2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00" w:type="dxa"/>
            <w:vAlign w:val="bottom"/>
          </w:tcPr>
          <w:p>
            <w:pPr>
              <w:jc w:val="center"/>
              <w:ind w:right="3620"/>
              <w:spacing w:after="0"/>
              <w:rPr>
                <w:sz w:val="20"/>
                <w:szCs w:val="20"/>
                <w:color w:val="auto"/>
              </w:rPr>
            </w:pPr>
            <w:r>
              <w:rPr>
                <w:rFonts w:ascii="Arial" w:cs="Arial" w:eastAsia="Arial" w:hAnsi="Arial"/>
                <w:sz w:val="14"/>
                <w:szCs w:val="14"/>
                <w:b w:val="1"/>
                <w:bCs w:val="1"/>
                <w:color w:val="auto"/>
                <w:w w:val="88"/>
              </w:rPr>
              <w:t>incorporation or organization)</w:t>
            </w:r>
          </w:p>
        </w:tc>
        <w:tc>
          <w:tcPr>
            <w:tcW w:w="128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00" w:type="dxa"/>
            <w:vAlign w:val="bottom"/>
          </w:tcPr>
          <w:p>
            <w:pPr>
              <w:jc w:val="center"/>
              <w:ind w:right="3640"/>
              <w:spacing w:after="0"/>
              <w:rPr>
                <w:sz w:val="20"/>
                <w:szCs w:val="20"/>
                <w:color w:val="auto"/>
              </w:rPr>
            </w:pPr>
            <w:r>
              <w:rPr>
                <w:rFonts w:ascii="Arial" w:cs="Arial" w:eastAsia="Arial" w:hAnsi="Arial"/>
                <w:sz w:val="18"/>
                <w:szCs w:val="18"/>
                <w:b w:val="1"/>
                <w:bCs w:val="1"/>
                <w:color w:val="auto"/>
                <w:w w:val="88"/>
              </w:rPr>
              <w:t>901 Marquette Avenue, Suite 3200</w:t>
            </w:r>
          </w:p>
        </w:tc>
        <w:tc>
          <w:tcPr>
            <w:tcW w:w="1280" w:type="dxa"/>
            <w:vAlign w:val="bottom"/>
          </w:tcPr>
          <w:p>
            <w:pPr>
              <w:spacing w:after="0"/>
              <w:rPr>
                <w:sz w:val="24"/>
                <w:szCs w:val="24"/>
                <w:color w:val="auto"/>
              </w:rPr>
            </w:pPr>
          </w:p>
        </w:tc>
      </w:tr>
      <w:tr>
        <w:trPr>
          <w:trHeight w:val="231"/>
        </w:trPr>
        <w:tc>
          <w:tcPr>
            <w:tcW w:w="6300" w:type="dxa"/>
            <w:vAlign w:val="bottom"/>
          </w:tcPr>
          <w:p>
            <w:pPr>
              <w:jc w:val="center"/>
              <w:ind w:right="3640"/>
              <w:spacing w:after="0"/>
              <w:rPr>
                <w:sz w:val="20"/>
                <w:szCs w:val="20"/>
                <w:color w:val="auto"/>
              </w:rPr>
            </w:pPr>
            <w:r>
              <w:rPr>
                <w:rFonts w:ascii="Arial" w:cs="Arial" w:eastAsia="Arial" w:hAnsi="Arial"/>
                <w:sz w:val="18"/>
                <w:szCs w:val="18"/>
                <w:b w:val="1"/>
                <w:bCs w:val="1"/>
                <w:color w:val="auto"/>
                <w:w w:val="89"/>
              </w:rPr>
              <w:t>Minneapolis, Minnesota</w:t>
            </w:r>
          </w:p>
        </w:tc>
        <w:tc>
          <w:tcPr>
            <w:tcW w:w="1280" w:type="dxa"/>
            <w:vAlign w:val="bottom"/>
          </w:tcPr>
          <w:p>
            <w:pPr>
              <w:jc w:val="center"/>
              <w:ind w:left="144"/>
              <w:spacing w:after="0"/>
              <w:rPr>
                <w:sz w:val="20"/>
                <w:szCs w:val="20"/>
                <w:color w:val="auto"/>
              </w:rPr>
            </w:pPr>
            <w:r>
              <w:rPr>
                <w:rFonts w:ascii="Arial" w:cs="Arial" w:eastAsia="Arial" w:hAnsi="Arial"/>
                <w:sz w:val="18"/>
                <w:szCs w:val="18"/>
                <w:b w:val="1"/>
                <w:bCs w:val="1"/>
                <w:color w:val="auto"/>
                <w:w w:val="89"/>
              </w:rPr>
              <w:t>55402-3232</w:t>
            </w:r>
          </w:p>
        </w:tc>
      </w:tr>
      <w:tr>
        <w:trPr>
          <w:trHeight w:val="174"/>
        </w:trPr>
        <w:tc>
          <w:tcPr>
            <w:tcW w:w="6300" w:type="dxa"/>
            <w:vAlign w:val="bottom"/>
          </w:tcPr>
          <w:p>
            <w:pPr>
              <w:jc w:val="center"/>
              <w:ind w:right="36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28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6300" w:type="dxa"/>
            <w:vAlign w:val="bottom"/>
          </w:tcPr>
          <w:p>
            <w:pPr>
              <w:jc w:val="center"/>
              <w:ind w:left="184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280" w:type="dxa"/>
            <w:vAlign w:val="bottom"/>
          </w:tcPr>
          <w:p>
            <w:pPr>
              <w:spacing w:after="0"/>
              <w:rPr>
                <w:sz w:val="24"/>
                <w:szCs w:val="24"/>
                <w:color w:val="auto"/>
              </w:rPr>
            </w:pPr>
          </w:p>
        </w:tc>
      </w:tr>
      <w:tr>
        <w:trPr>
          <w:trHeight w:val="228"/>
        </w:trPr>
        <w:tc>
          <w:tcPr>
            <w:tcW w:w="6300" w:type="dxa"/>
            <w:vAlign w:val="bottom"/>
          </w:tcPr>
          <w:p>
            <w:pPr>
              <w:jc w:val="right"/>
              <w:ind w:right="1600"/>
              <w:spacing w:after="0"/>
              <w:rPr>
                <w:sz w:val="20"/>
                <w:szCs w:val="20"/>
                <w:color w:val="auto"/>
              </w:rPr>
            </w:pPr>
            <w:r>
              <w:rPr>
                <w:rFonts w:ascii="Arial" w:cs="Arial" w:eastAsia="Arial" w:hAnsi="Arial"/>
                <w:sz w:val="18"/>
                <w:szCs w:val="18"/>
                <w:b w:val="1"/>
                <w:bCs w:val="1"/>
                <w:color w:val="auto"/>
              </w:rPr>
              <w:t>612-758-5200</w:t>
            </w:r>
          </w:p>
        </w:tc>
        <w:tc>
          <w:tcPr>
            <w:tcW w:w="12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460"/>
            <w:col w:w="6000" w:space="720"/>
            <w:col w:w="20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440" w:space="180"/>
            <w:col w:w="160" w:space="80"/>
            <w:col w:w="260" w:space="180"/>
            <w:col w:w="140" w:space="100"/>
            <w:col w:w="1880"/>
          </w:cols>
          <w:pgMar w:left="240" w:top="230" w:right="239" w:bottom="1440" w:gutter="0" w:footer="0" w:header="0"/>
          <w:type w:val="continuous"/>
        </w:sectPr>
      </w:pPr>
    </w:p>
    <w:p>
      <w:pPr>
        <w:ind w:right="480" w:firstLine="456"/>
        <w:spacing w:after="0" w:line="268" w:lineRule="auto"/>
        <w:rPr>
          <w:sz w:val="20"/>
          <w:szCs w:val="20"/>
          <w:color w:val="auto"/>
        </w:rPr>
      </w:pPr>
      <w:r>
        <w:rPr>
          <w:rFonts w:ascii="Arial" w:cs="Arial" w:eastAsia="Arial" w:hAnsi="Arial"/>
          <w:sz w:val="18"/>
          <w:szCs w:val="18"/>
          <w:color w:val="auto"/>
        </w:rPr>
        <w:t>The number of shares of common stock outstanding on July 23, 2012 was 33,843,068 (excluding 55,013,715 shares held by the Company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9"/>
                <w:szCs w:val="19"/>
                <w:color w:val="auto"/>
              </w:rPr>
            </w:pPr>
          </w:p>
        </w:tc>
      </w:tr>
      <w:tr>
        <w:trPr>
          <w:trHeight w:val="38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5260" w:type="dxa"/>
            <w:vAlign w:val="bottom"/>
            <w:gridSpan w:val="4"/>
          </w:tcPr>
          <w:p>
            <w:pPr>
              <w:spacing w:after="0"/>
              <w:rPr>
                <w:sz w:val="24"/>
                <w:szCs w:val="24"/>
                <w:color w:val="auto"/>
              </w:rPr>
            </w:pPr>
          </w:p>
        </w:tc>
        <w:tc>
          <w:tcPr>
            <w:tcW w:w="220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204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4080" w:type="dxa"/>
            <w:vAlign w:val="bottom"/>
            <w:gridSpan w:val="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Controls and Procedures</w:t>
              </w:r>
            </w:hyperlink>
          </w:p>
        </w:tc>
        <w:tc>
          <w:tcPr>
            <w:tcW w:w="6600" w:type="dxa"/>
            <w:vAlign w:val="bottom"/>
            <w:gridSpan w:val="7"/>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40" w:type="dxa"/>
            <w:vAlign w:val="bottom"/>
            <w:gridSpan w:val="1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 OTHER INFORMATION</w:t>
              </w:r>
            </w:hyperlink>
          </w:p>
        </w:tc>
        <w:tc>
          <w:tcPr>
            <w:tcW w:w="220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1480" w:type="dxa"/>
            <w:vAlign w:val="bottom"/>
            <w:tcBorders>
              <w:top w:val="single" w:sz="8" w:color="0000EE"/>
            </w:tcBorders>
            <w:gridSpan w:val="5"/>
          </w:tcPr>
          <w:p>
            <w:pPr>
              <w:spacing w:after="0"/>
              <w:rPr>
                <w:sz w:val="24"/>
                <w:szCs w:val="24"/>
                <w:color w:val="auto"/>
              </w:rPr>
            </w:pPr>
          </w:p>
        </w:tc>
        <w:tc>
          <w:tcPr>
            <w:tcW w:w="5560" w:type="dxa"/>
            <w:vAlign w:val="bottom"/>
            <w:gridSpan w:val="5"/>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34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Unregistered Sales of Equity Securities and Use of Proceeds</w:t>
              </w:r>
            </w:hyperlink>
          </w:p>
        </w:tc>
        <w:tc>
          <w:tcPr>
            <w:tcW w:w="410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34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080" w:type="dxa"/>
            <w:vAlign w:val="bottom"/>
            <w:gridSpan w:val="6"/>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620" w:type="dxa"/>
            <w:vAlign w:val="bottom"/>
            <w:gridSpan w:val="8"/>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7060" w:type="dxa"/>
            <w:vAlign w:val="bottom"/>
            <w:gridSpan w:val="11"/>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80" w:type="dxa"/>
            <w:vAlign w:val="bottom"/>
            <w:gridSpan w:val="2"/>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Signatures</w:t>
              </w:r>
            </w:hyperlink>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(In thousands, except par value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54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118,681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Marketable securities available for sale,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32,022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111,863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279,416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364,481</w:t>
            </w:r>
          </w:p>
        </w:tc>
        <w:tc>
          <w:tcPr>
            <w:tcW w:w="0" w:type="dxa"/>
            <w:vAlign w:val="bottom"/>
          </w:tcPr>
          <w:p>
            <w:pPr>
              <w:spacing w:after="0"/>
              <w:rPr>
                <w:sz w:val="1"/>
                <w:szCs w:val="1"/>
                <w:color w:val="auto"/>
              </w:rPr>
            </w:pPr>
          </w:p>
        </w:tc>
      </w:tr>
      <w:tr>
        <w:trPr>
          <w:trHeight w:val="322"/>
        </w:trPr>
        <w:tc>
          <w:tcPr>
            <w:tcW w:w="8540" w:type="dxa"/>
            <w:vAlign w:val="bottom"/>
            <w:gridSpan w:val="2"/>
          </w:tcPr>
          <w:p>
            <w:pPr>
              <w:spacing w:after="0"/>
              <w:rPr>
                <w:sz w:val="20"/>
                <w:szCs w:val="20"/>
                <w:color w:val="auto"/>
              </w:rPr>
            </w:pPr>
            <w:r>
              <w:rPr>
                <w:rFonts w:ascii="Arial" w:cs="Arial" w:eastAsia="Arial" w:hAnsi="Arial"/>
                <w:sz w:val="18"/>
                <w:szCs w:val="18"/>
                <w:color w:val="auto"/>
              </w:rPr>
              <w:t>Marketable securities available for sale, less current portion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38,138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679,955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17,130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1,066,295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42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36,077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34,786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on long-term debt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143,680</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146,498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496,000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659,935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663,974</w:t>
            </w:r>
          </w:p>
        </w:tc>
        <w:tc>
          <w:tcPr>
            <w:tcW w:w="0" w:type="dxa"/>
            <w:vAlign w:val="bottom"/>
          </w:tcPr>
          <w:p>
            <w:pPr>
              <w:spacing w:after="0"/>
              <w:rPr>
                <w:sz w:val="1"/>
                <w:szCs w:val="1"/>
                <w:color w:val="auto"/>
              </w:rPr>
            </w:pPr>
          </w:p>
        </w:tc>
      </w:tr>
      <w:tr>
        <w:trPr>
          <w:trHeight w:val="221"/>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Common stock ($0.01 par value; 200,000 shares authorized, 88,857 shares issued and 33,692 and 37,084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June 30, 2012 and September 30, 2011,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Paid-in-capital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1,100,788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Treasury stock, at cost (54,165 and 51,773 shares at June 30, 2012 and September 30, 2011, respectively)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(1,755,053)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1,084,271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(23,983)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406,360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1,066,295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0"/>
              </w:rPr>
              <w:t>Quarter Ended June 30,</w:t>
            </w:r>
          </w:p>
        </w:tc>
        <w:tc>
          <w:tcPr>
            <w:tcW w:w="140" w:type="dxa"/>
            <w:vAlign w:val="bottom"/>
          </w:tcPr>
          <w:p>
            <w:pPr>
              <w:spacing w:after="0"/>
              <w:rPr>
                <w:sz w:val="14"/>
                <w:szCs w:val="14"/>
                <w:color w:val="auto"/>
              </w:rPr>
            </w:pPr>
          </w:p>
        </w:tc>
        <w:tc>
          <w:tcPr>
            <w:tcW w:w="19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Transactional and maintenance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113,708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111,740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342,734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License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56,467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150,679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490,348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459,434</w:t>
            </w:r>
          </w:p>
        </w:tc>
        <w:tc>
          <w:tcPr>
            <w:tcW w:w="0" w:type="dxa"/>
            <w:vAlign w:val="bottom"/>
          </w:tcPr>
          <w:p>
            <w:pPr>
              <w:spacing w:after="0"/>
              <w:rPr>
                <w:sz w:val="1"/>
                <w:szCs w:val="1"/>
                <w:color w:val="auto"/>
              </w:rPr>
            </w:pPr>
          </w:p>
        </w:tc>
      </w:tr>
      <w:tr>
        <w:trPr>
          <w:trHeight w:val="323"/>
        </w:trPr>
        <w:tc>
          <w:tcPr>
            <w:tcW w:w="53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 (1)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142,620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41,925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173,482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 assets (1)</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4,885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113,273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362,912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373,200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127,436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(23,878)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103,563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32,805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46,943</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3"/>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Dilluted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35,126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revenues and selling, general and administrative expenses exclude the amortization of intangible assets. See Note 5 to the accompanying condensed consolidated financial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10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1"/>
                <w:szCs w:val="11"/>
                <w:color w:val="auto"/>
              </w:rPr>
            </w:pPr>
          </w:p>
        </w:tc>
        <w:tc>
          <w:tcPr>
            <w:tcW w:w="9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8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9"/>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37,084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371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$ 1,098,388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(1,627,180)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1,015,624</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(21,709)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465,494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15,466</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(7,328)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50,467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Tax effect from share-based payment arrangements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3,708</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common stock</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(5,187)</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(184,238)</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(184,290)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Issuance of ESPP shares from treasury</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to employees from treasury</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(9,448)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5,887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Dividends paid ($0.02 per share)</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(2,111)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70,758</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70,758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70,758</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loss on investments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2012</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33,692</w:t>
            </w:r>
          </w:p>
        </w:tc>
        <w:tc>
          <w:tcPr>
            <w:tcW w:w="1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ind w:left="40"/>
              <w:spacing w:after="0" w:line="155" w:lineRule="exact"/>
              <w:rPr>
                <w:sz w:val="20"/>
                <w:szCs w:val="20"/>
                <w:color w:val="auto"/>
              </w:rPr>
            </w:pPr>
            <w:r>
              <w:rPr>
                <w:rFonts w:ascii="Arial" w:cs="Arial" w:eastAsia="Arial" w:hAnsi="Arial"/>
                <w:sz w:val="14"/>
                <w:szCs w:val="14"/>
                <w:b w:val="1"/>
                <w:bCs w:val="1"/>
                <w:color w:val="auto"/>
                <w:w w:val="76"/>
              </w:rPr>
              <w:t>337</w:t>
            </w:r>
          </w:p>
        </w:tc>
        <w:tc>
          <w:tcPr>
            <w:tcW w:w="18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3"/>
              </w:rPr>
              <w:t>$ 1,100,788</w:t>
            </w:r>
          </w:p>
        </w:tc>
        <w:tc>
          <w:tcPr>
            <w:tcW w:w="2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(1,755,053)</w:t>
            </w: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6"/>
              </w:rPr>
              <w:t>1,084,271</w:t>
            </w:r>
          </w:p>
        </w:tc>
        <w:tc>
          <w:tcPr>
            <w:tcW w:w="480" w:type="dxa"/>
            <w:vAlign w:val="bottom"/>
            <w:gridSpan w:val="2"/>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9"/>
              </w:rPr>
              <w:t>(23,983)</w:t>
            </w:r>
          </w:p>
        </w:tc>
        <w:tc>
          <w:tcPr>
            <w:tcW w:w="400" w:type="dxa"/>
            <w:vAlign w:val="bottom"/>
            <w:gridSpan w:val="2"/>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6"/>
              </w:rPr>
              <w:t>406,360</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68,484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70,758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14,555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 from share-based payment arrangements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Excess tax benefits from share-based payment arrangements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amortization of premium on marketable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Benefit from provision for doubtful accounts,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sales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280"/>
              <w:spacing w:after="0"/>
              <w:rPr>
                <w:sz w:val="20"/>
                <w:szCs w:val="20"/>
                <w:color w:val="auto"/>
              </w:rPr>
            </w:pPr>
            <w:r>
              <w:rPr>
                <w:rFonts w:ascii="Arial" w:cs="Arial" w:eastAsia="Arial" w:hAnsi="Arial"/>
                <w:sz w:val="18"/>
                <w:szCs w:val="18"/>
                <w:color w:val="auto"/>
              </w:rPr>
              <w:t>Accrued compensation and employee benefits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106,408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105,053</w:t>
            </w: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(48,067)</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121,659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acquisitions, net of cash acquired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Distribution from (purchase of) cost method investees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(57,734)</w:t>
            </w: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Payments on Senior Notes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Proceeds from issuances of common stock under employee stock option and purchase plans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39,609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(191,056)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payment arrangements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(157,156)</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(54,936)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(17,071)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135,752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118,681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paid for income taxes, net of refunds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30,415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50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Business </w:t>
      </w:r>
      <w:r>
        <w:rPr>
          <w:rFonts w:ascii="Arial" w:cs="Arial" w:eastAsia="Arial" w:hAnsi="Arial"/>
          <w:sz w:val="15"/>
          <w:szCs w:val="15"/>
          <w:b w:val="1"/>
          <w:bCs w:val="1"/>
          <w:i w:val="1"/>
          <w:iCs w:val="1"/>
          <w:color w:val="auto"/>
        </w:rPr>
        <w:t>Fair Isaac Corporation</w:t>
      </w:r>
    </w:p>
    <w:p>
      <w:pPr>
        <w:spacing w:after="0" w:line="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and healthcare organizations.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these condensed consolidated financial statements, FICO is referred to as “we,” “us,” “our,” or “FICO”.</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in this Form 10-Q all information and footnotes required for audited financial statements. In our opinion, the accompanying unaudited interim condensed consolidated financial statements in this Form 10-Q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year ended September 30, 2011. The interim financial information contained in this report is not necessarily indicative of the results to be expected for any other interim period or for the entire fiscal year.</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These estimates and assumptions include, but are not limited to, assessing the following: the recoverability of accounts receivable; goodwill and other intangible assets; software development costs and deferred tax assets; the benefits related to uncertain tax positions; the determination of the fair value of stock-based compensation; the ability to estimate hours in connection with fixed-fee service contracts and transactional-based revenues for which actual transaction volumes have not yet been received; and the determination of whether fees are fixed or determinable and collection is probable or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7, 2012, we acquired 100% of the common stock of Entiera Inc. (“Entiera”), an innovative provider of customer dialogue management solutions. The acquisition of Entiera was consummated principally to productize our analytics and strategic decision management solutions through an interactive marketing automation platform with the objective of accelerating our growth in marketing solutions across multiple industries.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the consideration paid for Entiera and the amounts for assets acquired and liabilities assumed, recognized based on their estimated fair values at the acquisition date:</w:t>
      </w:r>
    </w:p>
    <w:p>
      <w:pPr>
        <w:sectPr>
          <w:pgSz w:w="11900" w:h="16838" w:orient="portrait"/>
          <w:cols w:equalWidth="0" w:num="1">
            <w:col w:w="11400"/>
          </w:cols>
          <w:pgMar w:left="240" w:top="459" w:right="259" w:bottom="1440" w:gutter="0" w:footer="0" w:header="0"/>
        </w:sectPr>
      </w:pPr>
    </w:p>
    <w:p>
      <w:pPr>
        <w:spacing w:after="0" w:line="31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27940</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80" w:lineRule="exact"/>
        <w:rPr>
          <w:sz w:val="20"/>
          <w:szCs w:val="20"/>
          <w:color w:val="auto"/>
        </w:rPr>
      </w:pPr>
    </w:p>
    <w:p>
      <w:pPr>
        <w:ind w:left="2060" w:right="20" w:hanging="215"/>
        <w:spacing w:after="0" w:line="262" w:lineRule="auto"/>
        <w:rPr>
          <w:sz w:val="20"/>
          <w:szCs w:val="20"/>
          <w:color w:val="auto"/>
        </w:rPr>
      </w:pPr>
      <w:r>
        <w:rPr>
          <w:rFonts w:ascii="Arial" w:cs="Arial" w:eastAsia="Arial" w:hAnsi="Arial"/>
          <w:sz w:val="18"/>
          <w:szCs w:val="18"/>
          <w:b w:val="1"/>
          <w:bCs w:val="1"/>
          <w:color w:val="auto"/>
        </w:rPr>
        <w:t xml:space="preserve">Acquisition-related costs </w:t>
      </w:r>
      <w:r>
        <w:rPr>
          <w:rFonts w:ascii="Arial" w:cs="Arial" w:eastAsia="Arial" w:hAnsi="Arial"/>
          <w:sz w:val="18"/>
          <w:szCs w:val="18"/>
          <w:color w:val="auto"/>
        </w:rPr>
        <w:t>(included in the company’s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income for the quarter ended June 30, 2012 as a component of selling, general, and administrative expense)</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 and cash equivalents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Completed technology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assets</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accrued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 identifiable net assets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339" w:lineRule="exact"/>
        <w:rPr>
          <w:sz w:val="20"/>
          <w:szCs w:val="20"/>
          <w:color w:val="auto"/>
        </w:rPr>
      </w:pPr>
    </w:p>
    <w:p>
      <w:pPr>
        <w:ind w:left="360" w:hanging="355"/>
        <w:spacing w:after="0"/>
        <w:tabs>
          <w:tab w:leader="none" w:pos="360" w:val="left"/>
        </w:tabs>
        <w:numPr>
          <w:ilvl w:val="0"/>
          <w:numId w:val="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18,330</w:t>
      </w:r>
    </w:p>
    <w:p>
      <w:pPr>
        <w:spacing w:after="0" w:line="59" w:lineRule="exact"/>
        <w:rPr>
          <w:sz w:val="20"/>
          <w:szCs w:val="20"/>
          <w:color w:val="auto"/>
        </w:rPr>
      </w:pPr>
    </w:p>
    <w:p>
      <w:pPr>
        <w:ind w:left="360" w:hanging="355"/>
        <w:spacing w:after="0"/>
        <w:tabs>
          <w:tab w:leader="none" w:pos="360" w:val="left"/>
        </w:tabs>
        <w:numPr>
          <w:ilvl w:val="0"/>
          <w:numId w:val="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18,330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531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80" w:hanging="57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531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wp:posOffset>
            </wp:positionV>
            <wp:extent cx="531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67" w:lineRule="exact"/>
        <w:rPr>
          <w:sz w:val="20"/>
          <w:szCs w:val="20"/>
          <w:color w:val="auto"/>
        </w:rPr>
      </w:pPr>
    </w:p>
    <w:p>
      <w:pPr>
        <w:ind w:left="580" w:hanging="57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138</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573</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153</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1,024</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100</w:t>
      </w:r>
    </w:p>
    <w:p>
      <w:pPr>
        <w:spacing w:after="0" w:line="21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2,200</w:t>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300</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w:t>
      </w:r>
    </w:p>
    <w:p>
      <w:pPr>
        <w:spacing w:after="0" w:line="1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(725)</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(152)</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5314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531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531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9"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18,330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531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760"/>
          </w:cols>
          <w:pgMar w:left="240" w:top="459" w:right="259" w:bottom="1440" w:gutter="0" w:footer="0" w:header="0"/>
          <w:type w:val="continuous"/>
        </w:sectPr>
      </w:pPr>
    </w:p>
    <w:p>
      <w:pPr>
        <w:spacing w:after="0" w:line="4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acquired identifiable intangible assets have a weighted average useful life of approximately 4.1 years and are being amortized using the straight-line method over their estimated useful lives as follows: completed technology, four years and customer relationships, five years. The goodwill of $14.9 million arising from the acquisition consists largely of the synergies created by leveraging Entiera’s SaaS-delivered solution in conjunction with our marketing solutions. The goodwill was allocated to our Applications segment and is not deductible for tax purposes. Entiera has been included in our operating results since May 7, 2012. The proforma impact of this acquisition was not deemed material to the Company’s results of operations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26" w:lineRule="exact"/>
        <w:rPr>
          <w:sz w:val="20"/>
          <w:szCs w:val="20"/>
          <w:color w:val="auto"/>
        </w:rPr>
      </w:pPr>
    </w:p>
    <w:p>
      <w:pPr>
        <w:ind w:left="900" w:right="3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1—uses unadjusted quoted prices that are available in active markets for identical assets or liabilities. Our Level 1 assets are comprised of money market funds and certain equity securities.</w:t>
      </w:r>
    </w:p>
    <w:p>
      <w:pPr>
        <w:spacing w:after="0" w:line="50"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Our Level 2 assets are comprised of U.S. government and corporate debt obligations that are generally held to maturity.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financial assets that we measured at fair value on a recurring basis at June 30, 2012 and September 30, 2011,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Active Markets for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Identical Instruments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Fair Value as of</w:t>
            </w: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Pr>
          <w:p>
            <w:pPr>
              <w:spacing w:after="0"/>
              <w:rPr>
                <w:sz w:val="14"/>
                <w:szCs w:val="14"/>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(Level 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June 30, 2012</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equivalents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66,447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66,447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Non-U.S. commercial paper (2)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 (2)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Marketable securities (3)</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Active Markets for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Identical Instruments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Fair Value as of</w:t>
            </w: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2011</w:t>
            </w:r>
          </w:p>
        </w:tc>
        <w:tc>
          <w:tcPr>
            <w:tcW w:w="140" w:type="dxa"/>
            <w:vAlign w:val="bottom"/>
          </w:tcPr>
          <w:p>
            <w:pPr>
              <w:spacing w:after="0"/>
              <w:rPr>
                <w:sz w:val="14"/>
                <w:szCs w:val="14"/>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(Level 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equivalents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67,504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67,504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U.S. commercial paper (2)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 (2)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U.S. municipal obligations (2)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(3)</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71,674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105,826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177,500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cash and cash equivalents on our balance sheet at June 30, 2012 and September 30, 2011. Not included in this table are cash deposits of $52.2 million and $68.2 million at June 30, 2012 and September 30, 2011, respectively.</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current marketable securities on our balance sheet at June 30, 2012 and September 30, 2011.</w:t>
      </w:r>
    </w:p>
    <w:p>
      <w:pPr>
        <w:spacing w:after="0" w:line="9" w:lineRule="exact"/>
        <w:rPr>
          <w:rFonts w:ascii="Arial" w:cs="Arial" w:eastAsia="Arial" w:hAnsi="Arial"/>
          <w:sz w:val="18"/>
          <w:szCs w:val="18"/>
          <w:color w:val="auto"/>
        </w:rPr>
      </w:pPr>
    </w:p>
    <w:p>
      <w:pPr>
        <w:ind w:left="460" w:right="20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certain officers and senior management employees, which are distributed upon termination or retirement of the employees. Included in long-term marketable securities on our balance sheet at June 30, 2012 and September 30, 2011.</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Where applicable, we use quoted prices in active markets for identical assets or liabilities to determine fair value. This pricing applies to our Level 1 investments. To the extent quoted prices in active markets for assets or liabilities are not available, the valuation techniques used to measure the fair values of our financial assets incorporate market inputs, which include reported trades, broker/dealer quotes, benchmark yields, issuer spreads, benchmark securities and other inputs derived from or corroborated by observable market data. This methodology applies to our Level 2 investments. The Company has not changed its valuation techniques in measuring the fair value of any financial assets and liabilities during the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fair value of our derivative instruments, see Note 4 to the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Assets and liabilities measured at fair value on a nonrecurring basis primarily include goodwill and definite-lived intangible assets which are measured at fair value for the purposes of our annual impairment assessment.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 currency denominated accounts receivable and cash balances from the effects of volatility in foreign exchange rates that might occur prior to conversion to their functional currency. We principally utilize foreign currency forward contracts, which enable us to buy and sell foreign currencies in the future at fixed exchange rates and economically offset changes in foreign currency exchange rates. We routinely enter into contracts to offset exposures denominated in the British pound, Euro and Canadian dollar.</w:t>
      </w:r>
    </w:p>
    <w:p>
      <w:pPr>
        <w:spacing w:after="0" w:line="143"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Foreign currency denominated accounts receivable, liabilities and cash balances are re-measured at foreign currency rates in effect on the balance sheet date with the effects of changes in foreign currency rates reported in other income (expense), net. The forward contracts are not designated as hedges and are marked to market through other income (expense), net. Fair value changes in the forward contracts help mitigate the changes in the value of the re-measured accounts receivable and cash balances attributable to changes in foreign currency exchange rates. The forward contracts are short-term in nature and typically have average maturities at inception of less than three months.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fair value of our derivative instruments and their location in the consolidated balance sheet as of June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Arial" w:cs="Arial" w:eastAsia="Arial" w:hAnsi="Arial"/>
                <w:sz w:val="14"/>
                <w:szCs w:val="14"/>
                <w:b w:val="1"/>
                <w:bCs w:val="1"/>
                <w:color w:val="auto"/>
              </w:rPr>
              <w:t>June 30, 2012</w:t>
            </w:r>
          </w:p>
        </w:tc>
        <w:tc>
          <w:tcPr>
            <w:tcW w:w="3120" w:type="dxa"/>
            <w:vAlign w:val="bottom"/>
          </w:tcPr>
          <w:p>
            <w:pPr>
              <w:spacing w:after="0"/>
              <w:rPr>
                <w:sz w:val="14"/>
                <w:szCs w:val="14"/>
                <w:color w:val="auto"/>
              </w:rPr>
            </w:pPr>
          </w:p>
        </w:tc>
        <w:tc>
          <w:tcPr>
            <w:tcW w:w="15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Derivatives not designated as hedging instruments</w:t>
            </w:r>
          </w:p>
        </w:tc>
        <w:tc>
          <w:tcPr>
            <w:tcW w:w="3120" w:type="dxa"/>
            <w:vAlign w:val="bottom"/>
          </w:tcPr>
          <w:p>
            <w:pPr>
              <w:spacing w:after="0"/>
              <w:rPr>
                <w:sz w:val="14"/>
                <w:szCs w:val="14"/>
                <w:color w:val="auto"/>
              </w:rPr>
            </w:pPr>
          </w:p>
        </w:tc>
        <w:tc>
          <w:tcPr>
            <w:tcW w:w="1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4"/>
                <w:szCs w:val="14"/>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19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forward contracts</w:t>
            </w:r>
          </w:p>
        </w:tc>
        <w:tc>
          <w:tcPr>
            <w:tcW w:w="3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Other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Other current liabilities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3080" w:type="dxa"/>
            <w:vAlign w:val="bottom"/>
          </w:tcPr>
          <w:p>
            <w:pPr>
              <w:spacing w:after="0"/>
              <w:rPr>
                <w:sz w:val="20"/>
                <w:szCs w:val="20"/>
                <w:color w:val="auto"/>
              </w:rPr>
            </w:pPr>
            <w:r>
              <w:rPr>
                <w:rFonts w:ascii="Arial" w:cs="Arial" w:eastAsia="Arial" w:hAnsi="Arial"/>
                <w:sz w:val="14"/>
                <w:szCs w:val="14"/>
                <w:b w:val="1"/>
                <w:bCs w:val="1"/>
                <w:color w:val="auto"/>
              </w:rPr>
              <w:t>September 30, 2011</w:t>
            </w:r>
          </w:p>
        </w:tc>
        <w:tc>
          <w:tcPr>
            <w:tcW w:w="3120" w:type="dxa"/>
            <w:vAlign w:val="bottom"/>
          </w:tcPr>
          <w:p>
            <w:pPr>
              <w:spacing w:after="0"/>
              <w:rPr>
                <w:sz w:val="24"/>
                <w:szCs w:val="24"/>
                <w:color w:val="auto"/>
              </w:rPr>
            </w:pPr>
          </w:p>
        </w:tc>
        <w:tc>
          <w:tcPr>
            <w:tcW w:w="15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Derivatives not designated as hedging instruments</w:t>
            </w:r>
          </w:p>
        </w:tc>
        <w:tc>
          <w:tcPr>
            <w:tcW w:w="3120" w:type="dxa"/>
            <w:vAlign w:val="bottom"/>
          </w:tcPr>
          <w:p>
            <w:pPr>
              <w:spacing w:after="0"/>
              <w:rPr>
                <w:sz w:val="14"/>
                <w:szCs w:val="14"/>
                <w:color w:val="auto"/>
              </w:rPr>
            </w:pPr>
          </w:p>
        </w:tc>
        <w:tc>
          <w:tcPr>
            <w:tcW w:w="1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4"/>
                <w:szCs w:val="14"/>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19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forward contracts</w:t>
            </w:r>
          </w:p>
        </w:tc>
        <w:tc>
          <w:tcPr>
            <w:tcW w:w="3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Other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Other current liabilities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080" w:type="dxa"/>
            <w:vAlign w:val="bottom"/>
          </w:tcPr>
          <w:p>
            <w:pPr>
              <w:spacing w:after="0"/>
              <w:rPr>
                <w:sz w:val="24"/>
                <w:szCs w:val="24"/>
                <w:color w:val="auto"/>
              </w:rPr>
            </w:pPr>
          </w:p>
        </w:tc>
        <w:tc>
          <w:tcPr>
            <w:tcW w:w="3120" w:type="dxa"/>
            <w:vAlign w:val="bottom"/>
          </w:tcPr>
          <w:p>
            <w:pPr>
              <w:jc w:val="right"/>
              <w:ind w:right="352"/>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outstanding forward foreign currency contracts, by currency, at June 30, 2012 and September 30,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June 30, 2012</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208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Contract Amount</w:t>
            </w:r>
          </w:p>
        </w:tc>
        <w:tc>
          <w:tcPr>
            <w:tcW w:w="1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129"/>
        </w:trPr>
        <w:tc>
          <w:tcPr>
            <w:tcW w:w="852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Foreign</w:t>
            </w: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r>
      <w:tr>
        <w:trPr>
          <w:trHeight w:val="142"/>
        </w:trPr>
        <w:tc>
          <w:tcPr>
            <w:tcW w:w="8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Sell foreign currency:</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Canadian dollar (CAD)</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CAD 2,350</w:t>
            </w:r>
          </w:p>
        </w:tc>
        <w:tc>
          <w:tcPr>
            <w:tcW w:w="860" w:type="dxa"/>
            <w:vAlign w:val="bottom"/>
          </w:tcPr>
          <w:p>
            <w:pPr>
              <w:jc w:val="center"/>
              <w:ind w:left="281"/>
              <w:spacing w:after="0"/>
              <w:rPr>
                <w:sz w:val="20"/>
                <w:szCs w:val="20"/>
                <w:color w:val="auto"/>
              </w:rPr>
            </w:pPr>
            <w:r>
              <w:rPr>
                <w:rFonts w:ascii="Arial" w:cs="Arial" w:eastAsia="Arial" w:hAnsi="Arial"/>
                <w:sz w:val="18"/>
                <w:szCs w:val="18"/>
                <w:color w:val="auto"/>
                <w:w w:val="90"/>
              </w:rPr>
              <w:t>$2,293</w:t>
            </w:r>
          </w:p>
        </w:tc>
        <w:tc>
          <w:tcPr>
            <w:tcW w:w="3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(EUR)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EUR 2,700</w:t>
            </w:r>
          </w:p>
        </w:tc>
        <w:tc>
          <w:tcPr>
            <w:tcW w:w="86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0"/>
              </w:rPr>
              <w:t>$3,414</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23"/>
        </w:trPr>
        <w:tc>
          <w:tcPr>
            <w:tcW w:w="8520" w:type="dxa"/>
            <w:vAlign w:val="bottom"/>
          </w:tcPr>
          <w:p>
            <w:pPr>
              <w:spacing w:after="0"/>
              <w:rPr>
                <w:sz w:val="20"/>
                <w:szCs w:val="20"/>
                <w:color w:val="auto"/>
              </w:rPr>
            </w:pPr>
            <w:r>
              <w:rPr>
                <w:rFonts w:ascii="Arial" w:cs="Arial" w:eastAsia="Arial" w:hAnsi="Arial"/>
                <w:sz w:val="18"/>
                <w:szCs w:val="18"/>
                <w:color w:val="auto"/>
              </w:rPr>
              <w:t>Buy foreign currency:</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British pound (GBP)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GBP 4,121</w:t>
            </w:r>
          </w:p>
        </w:tc>
        <w:tc>
          <w:tcPr>
            <w:tcW w:w="86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0"/>
              </w:rPr>
              <w:t>$6,450</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51"/>
        </w:trPr>
        <w:tc>
          <w:tcPr>
            <w:tcW w:w="8520" w:type="dxa"/>
            <w:vAlign w:val="bottom"/>
          </w:tcPr>
          <w:p>
            <w:pPr>
              <w:spacing w:after="0"/>
              <w:rPr>
                <w:sz w:val="24"/>
                <w:szCs w:val="24"/>
                <w:color w:val="auto"/>
              </w:rPr>
            </w:pPr>
          </w:p>
        </w:tc>
        <w:tc>
          <w:tcPr>
            <w:tcW w:w="2080" w:type="dxa"/>
            <w:vAlign w:val="bottom"/>
            <w:tcBorders>
              <w:bottom w:val="single" w:sz="8" w:color="auto"/>
            </w:tcBorders>
            <w:gridSpan w:val="3"/>
          </w:tcPr>
          <w:p>
            <w:pPr>
              <w:jc w:val="center"/>
              <w:ind w:left="643"/>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520" w:type="dxa"/>
            <w:vAlign w:val="bottom"/>
          </w:tcPr>
          <w:p>
            <w:pPr>
              <w:spacing w:after="0"/>
              <w:rPr>
                <w:sz w:val="12"/>
                <w:szCs w:val="12"/>
                <w:color w:val="auto"/>
              </w:rPr>
            </w:pPr>
          </w:p>
        </w:tc>
        <w:tc>
          <w:tcPr>
            <w:tcW w:w="208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Contract Amount</w:t>
            </w:r>
          </w:p>
        </w:tc>
        <w:tc>
          <w:tcPr>
            <w:tcW w:w="1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129"/>
        </w:trPr>
        <w:tc>
          <w:tcPr>
            <w:tcW w:w="852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Foreign</w:t>
            </w: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r>
      <w:tr>
        <w:trPr>
          <w:trHeight w:val="142"/>
        </w:trPr>
        <w:tc>
          <w:tcPr>
            <w:tcW w:w="8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Sell foreign currency:</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Canadian dollar (CAD)</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CAD 8,000</w:t>
            </w:r>
          </w:p>
        </w:tc>
        <w:tc>
          <w:tcPr>
            <w:tcW w:w="860" w:type="dxa"/>
            <w:vAlign w:val="bottom"/>
          </w:tcPr>
          <w:p>
            <w:pPr>
              <w:jc w:val="center"/>
              <w:ind w:left="281"/>
              <w:spacing w:after="0"/>
              <w:rPr>
                <w:sz w:val="20"/>
                <w:szCs w:val="20"/>
                <w:color w:val="auto"/>
              </w:rPr>
            </w:pPr>
            <w:r>
              <w:rPr>
                <w:rFonts w:ascii="Arial" w:cs="Arial" w:eastAsia="Arial" w:hAnsi="Arial"/>
                <w:sz w:val="18"/>
                <w:szCs w:val="18"/>
                <w:color w:val="auto"/>
                <w:w w:val="90"/>
              </w:rPr>
              <w:t>$7,663</w:t>
            </w:r>
          </w:p>
        </w:tc>
        <w:tc>
          <w:tcPr>
            <w:tcW w:w="3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(EUR)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EUR 4,830</w:t>
            </w:r>
          </w:p>
        </w:tc>
        <w:tc>
          <w:tcPr>
            <w:tcW w:w="86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0"/>
              </w:rPr>
              <w:t>$6,524</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23"/>
        </w:trPr>
        <w:tc>
          <w:tcPr>
            <w:tcW w:w="8520" w:type="dxa"/>
            <w:vAlign w:val="bottom"/>
          </w:tcPr>
          <w:p>
            <w:pPr>
              <w:spacing w:after="0"/>
              <w:rPr>
                <w:sz w:val="20"/>
                <w:szCs w:val="20"/>
                <w:color w:val="auto"/>
              </w:rPr>
            </w:pPr>
            <w:r>
              <w:rPr>
                <w:rFonts w:ascii="Arial" w:cs="Arial" w:eastAsia="Arial" w:hAnsi="Arial"/>
                <w:sz w:val="18"/>
                <w:szCs w:val="18"/>
                <w:color w:val="auto"/>
              </w:rPr>
              <w:t>Buy foreign currency:</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British pound (GBP)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GBP 3,911</w:t>
            </w:r>
          </w:p>
        </w:tc>
        <w:tc>
          <w:tcPr>
            <w:tcW w:w="86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0"/>
              </w:rPr>
              <w:t>$6,100</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forward foreign currency contracts were all entered into on June 30, 2012 and September 30, 2011, respectively; therefore, their fair value was $0.</w:t>
      </w:r>
    </w:p>
    <w:p>
      <w:pPr>
        <w:spacing w:after="0" w:line="19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Gains (losses) on derivative financial instruments are recorded in our condensed consolidated statements of income as a component of other income (expense), net. These amounts are shown for the quarters and nine months ended June 30, 2012 and 2011 in the tables below:</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207"/>
              <w:spacing w:after="0"/>
              <w:rPr>
                <w:sz w:val="20"/>
                <w:szCs w:val="20"/>
                <w:color w:val="auto"/>
              </w:rPr>
            </w:pPr>
            <w:r>
              <w:rPr>
                <w:rFonts w:ascii="Arial" w:cs="Arial" w:eastAsia="Arial" w:hAnsi="Arial"/>
                <w:sz w:val="14"/>
                <w:szCs w:val="14"/>
                <w:b w:val="1"/>
                <w:bCs w:val="1"/>
                <w:color w:val="auto"/>
                <w:w w:val="90"/>
              </w:rPr>
              <w:t>Quarter Ended</w:t>
            </w:r>
          </w:p>
        </w:tc>
        <w:tc>
          <w:tcPr>
            <w:tcW w:w="28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3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87"/>
              <w:spacing w:after="0"/>
              <w:rPr>
                <w:sz w:val="20"/>
                <w:szCs w:val="20"/>
                <w:color w:val="auto"/>
              </w:rPr>
            </w:pPr>
            <w:r>
              <w:rPr>
                <w:rFonts w:ascii="Arial" w:cs="Arial" w:eastAsia="Arial" w:hAnsi="Arial"/>
                <w:sz w:val="14"/>
                <w:szCs w:val="14"/>
                <w:b w:val="1"/>
                <w:bCs w:val="1"/>
                <w:color w:val="auto"/>
                <w:w w:val="85"/>
              </w:rPr>
              <w:t>June 30, 2012</w:t>
            </w:r>
          </w:p>
        </w:tc>
        <w:tc>
          <w:tcPr>
            <w:tcW w:w="2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2011</w:t>
            </w:r>
          </w:p>
        </w:tc>
      </w:tr>
      <w:tr>
        <w:trPr>
          <w:trHeight w:val="142"/>
        </w:trPr>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3"/>
          </w:tcPr>
          <w:p>
            <w:pPr>
              <w:ind w:left="10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379"/>
        </w:trPr>
        <w:tc>
          <w:tcPr>
            <w:tcW w:w="3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right="207"/>
              <w:spacing w:after="0"/>
              <w:rPr>
                <w:sz w:val="20"/>
                <w:szCs w:val="20"/>
                <w:color w:val="auto"/>
              </w:rPr>
            </w:pPr>
            <w:r>
              <w:rPr>
                <w:rFonts w:ascii="Arial" w:cs="Arial" w:eastAsia="Arial" w:hAnsi="Arial"/>
                <w:sz w:val="14"/>
                <w:szCs w:val="14"/>
                <w:b w:val="1"/>
                <w:bCs w:val="1"/>
                <w:color w:val="auto"/>
                <w:w w:val="88"/>
              </w:rPr>
              <w:t>Nine Months Ended</w:t>
            </w:r>
          </w:p>
        </w:tc>
        <w:tc>
          <w:tcPr>
            <w:tcW w:w="28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3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87"/>
              <w:spacing w:after="0"/>
              <w:rPr>
                <w:sz w:val="20"/>
                <w:szCs w:val="20"/>
                <w:color w:val="auto"/>
              </w:rPr>
            </w:pPr>
            <w:r>
              <w:rPr>
                <w:rFonts w:ascii="Arial" w:cs="Arial" w:eastAsia="Arial" w:hAnsi="Arial"/>
                <w:sz w:val="14"/>
                <w:szCs w:val="14"/>
                <w:b w:val="1"/>
                <w:bCs w:val="1"/>
                <w:color w:val="auto"/>
                <w:w w:val="85"/>
              </w:rPr>
              <w:t>June 30, 2012</w:t>
            </w:r>
          </w:p>
        </w:tc>
        <w:tc>
          <w:tcPr>
            <w:tcW w:w="2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2011</w:t>
            </w:r>
          </w:p>
        </w:tc>
      </w:tr>
      <w:tr>
        <w:trPr>
          <w:trHeight w:val="142"/>
        </w:trPr>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3"/>
          </w:tcPr>
          <w:p>
            <w:pPr>
              <w:ind w:left="10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r>
      <w:tr>
        <w:trPr>
          <w:trHeight w:val="363"/>
        </w:trPr>
        <w:tc>
          <w:tcPr>
            <w:tcW w:w="3380" w:type="dxa"/>
            <w:vAlign w:val="bottom"/>
          </w:tcPr>
          <w:p>
            <w:pPr>
              <w:spacing w:after="0"/>
              <w:rPr>
                <w:sz w:val="24"/>
                <w:szCs w:val="24"/>
                <w:color w:val="auto"/>
              </w:rPr>
            </w:pPr>
          </w:p>
        </w:tc>
        <w:tc>
          <w:tcPr>
            <w:tcW w:w="2080" w:type="dxa"/>
            <w:vAlign w:val="bottom"/>
          </w:tcPr>
          <w:p>
            <w:pPr>
              <w:jc w:val="right"/>
              <w:ind w:right="99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expense associated with our intangible assets, which has been reflected as a separate operating expense caption within the accompanying condensed consolidated statements of income, consisted of the following:</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right"/>
              <w:ind w:right="202"/>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8"/>
                <w:szCs w:val="18"/>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5,804</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Cost of revenues reflects our amortization of completed technology, and selling, general and administrative expenses reflects our amortization of other intangible assets. Intangible assets, gross were $138.6 and $136.1 million as of June 30, 2012 and September 30, 2011, respectively.</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Estimated future intangible asset amortization expense associated with intangible assets existing at June 30, 2012, was as follows (in thousands):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2012</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2013</w:t>
            </w:r>
          </w:p>
        </w:tc>
        <w:tc>
          <w:tcPr>
            <w:tcW w:w="3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2015</w:t>
            </w:r>
          </w:p>
        </w:tc>
        <w:tc>
          <w:tcPr>
            <w:tcW w:w="3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changes to goodwill during the nine months ended June 30, 2012, both in total and as allocated to our segments.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5"/>
              </w:rPr>
              <w:t>Applications</w:t>
            </w: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76"/>
              </w:rPr>
              <w:t>Scores</w:t>
            </w:r>
          </w:p>
        </w:tc>
        <w:tc>
          <w:tcPr>
            <w:tcW w:w="48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Tools</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$ 451,205</w:t>
            </w:r>
          </w:p>
        </w:tc>
        <w:tc>
          <w:tcPr>
            <w:tcW w:w="11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$146,648</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$66,835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$664,688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Addition from acquisition</w:t>
            </w:r>
          </w:p>
        </w:tc>
        <w:tc>
          <w:tcPr>
            <w:tcW w:w="740" w:type="dxa"/>
            <w:vAlign w:val="bottom"/>
          </w:tcPr>
          <w:p>
            <w:pPr>
              <w:jc w:val="right"/>
              <w:spacing w:after="0"/>
              <w:rPr>
                <w:sz w:val="20"/>
                <w:szCs w:val="20"/>
                <w:color w:val="auto"/>
              </w:rPr>
            </w:pPr>
            <w:r>
              <w:rPr>
                <w:rFonts w:ascii="Arial" w:cs="Arial" w:eastAsia="Arial" w:hAnsi="Arial"/>
                <w:sz w:val="18"/>
                <w:szCs w:val="18"/>
                <w:color w:val="auto"/>
              </w:rPr>
              <w:t>14,949</w:t>
            </w:r>
          </w:p>
        </w:tc>
        <w:tc>
          <w:tcPr>
            <w:tcW w:w="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Balance at June 30, 2012</w:t>
            </w: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$ 466,415</w:t>
            </w:r>
          </w:p>
        </w:tc>
        <w:tc>
          <w:tcPr>
            <w:tcW w:w="4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146,648</w:t>
            </w:r>
          </w:p>
        </w:tc>
        <w:tc>
          <w:tcPr>
            <w:tcW w:w="48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66,892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679,955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Composition of Certain Financial Statement Captions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property and equipment, and the related accumulated depreciation and amortization.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920" w:type="dxa"/>
            <w:vAlign w:val="bottom"/>
            <w:gridSpan w:val="4"/>
          </w:tcPr>
          <w:p>
            <w:pPr>
              <w:ind w:left="2020"/>
              <w:spacing w:after="0"/>
              <w:rPr>
                <w:sz w:val="20"/>
                <w:szCs w:val="20"/>
                <w:color w:val="auto"/>
              </w:rPr>
            </w:pPr>
            <w:r>
              <w:rPr>
                <w:rFonts w:ascii="Arial" w:cs="Arial" w:eastAsia="Arial" w:hAnsi="Arial"/>
                <w:sz w:val="14"/>
                <w:szCs w:val="14"/>
                <w:b w:val="1"/>
                <w:bCs w:val="1"/>
                <w:color w:val="auto"/>
                <w:w w:val="96"/>
              </w:rPr>
              <w:t>June 30, 2012</w:t>
            </w:r>
          </w:p>
        </w:tc>
        <w:tc>
          <w:tcPr>
            <w:tcW w:w="1920" w:type="dxa"/>
            <w:vAlign w:val="bottom"/>
            <w:gridSpan w:val="4"/>
          </w:tcPr>
          <w:p>
            <w:pPr>
              <w:ind w:left="680"/>
              <w:spacing w:after="0"/>
              <w:rPr>
                <w:sz w:val="20"/>
                <w:szCs w:val="20"/>
                <w:color w:val="auto"/>
              </w:rPr>
            </w:pPr>
            <w:r>
              <w:rPr>
                <w:rFonts w:ascii="Arial" w:cs="Arial" w:eastAsia="Arial" w:hAnsi="Arial"/>
                <w:sz w:val="14"/>
                <w:szCs w:val="14"/>
                <w:b w:val="1"/>
                <w:bCs w:val="1"/>
                <w:color w:val="auto"/>
                <w:w w:val="93"/>
              </w:rPr>
              <w:t>September 30, 2011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(153,435)</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(150,809)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20" w:type="dxa"/>
            <w:vAlign w:val="bottom"/>
            <w:vMerge w:val="restart"/>
          </w:tcPr>
          <w:p>
            <w:pPr>
              <w:jc w:val="right"/>
              <w:ind w:right="135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Revolving Line of Credit</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a $200 million unsecured revolving line of credit with a syndicate of banks that expires on September 28, 2016. Proceeds from the credit facility can be used for working capital and general corporate purposes and may also be used for the refinancing of existing debt, acquisitions, and the repurchase of the Company’s common stock. Interest on amounts borrowed under the credit facility is based on (i) a base rate, which is the greater of (a) the prime rate and (b) the Federal Funds rate plus 0.50% or (ii) LIBOR plus an applicable margin. The margin on LIBOR borrowings ranges from 1.000% to 1.625% and is determined based on our consolidated leverage ratio. In addition, we must pay utilization fees if borrowings and commitments under the credit facility exceed 50% of the total credit facility commitment, as well as facility fees. The credit facility contains certain restrictive covenants including maintaining a maximum consolidated leverage ratio of 3.0 and a minimum fixed charge ratio of 2.5, and also contains other covenants typical of unsecured facilities. As of June 30, 2012, we had no borrowings outstanding under the credit facility and were in compliance with all financial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Notes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May 2008, we issued $275 million of Senior Notes in a private placement to a group of institutional investors. The Senior Notes were issued in four series with maturities ranging from 5 to 10 years. The Senior Notes’ weighted average interest rate is 6.8% and the weighted average maturity is 7.9 years. In July 2010, we issued $245 million of Senior Notes in a private placement to a group of institutional investors. The Senior Notes were issued in four series with maturities ranging from 5 to 10 years. The Senior Notes’ weighted average interest rate is 5.2% and the weighted average maturity is 8.0 years. These Senior Notes require interest payments semi-annually and also include certain restrictive covenants. As of June 30, 2012, we were in compliance with all financial covenants which include the maintenance of consolidated net debt to consolidated EBITDA and a fixed charge coverage ratio. The issuance of these Senior Notes also required us to make certain covenants typical of unsecured facilities. During the quarter, we made a principal payment of $8.0 million which reduced the carrying value of our Senior Notes to $504.0 million as of June 30, 2012 compared to $512.0 million as of September 30, 2011. The fair value of our Senior Notes was $517.2 million and $572.5 million as of June 30, 2012 and September 30, 2011,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Expenses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summarizes our restructuring accruals and certain FICO facility closures. The current portion and non-current portion is recorded in other accrued current liabilities and other liabilities, respectively, within the accompanying condensed consolidated balance sheets. These balances are expected to be paid by fiscal 2018. There were no restructuring charges during the nine months ended June 30, 2012.</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Accrual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Accrual at</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Cash</w:t>
            </w:r>
          </w:p>
        </w:tc>
        <w:tc>
          <w:tcPr>
            <w:tcW w:w="32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1"/>
              </w:rPr>
              <w:t>Payments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Facilities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 (1,529)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Employee separation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 (2,563)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line="20" w:lineRule="exact"/>
              <w:rPr>
                <w:sz w:val="1"/>
                <w:szCs w:val="1"/>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(3,062)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4"/>
              </w:rPr>
              <w:t>(2,624)</w:t>
            </w:r>
          </w:p>
        </w:tc>
        <w:tc>
          <w:tcPr>
            <w:tcW w:w="0" w:type="dxa"/>
            <w:vAlign w:val="bottom"/>
          </w:tcPr>
          <w:p>
            <w:pPr>
              <w:spacing w:after="0" w:line="20" w:lineRule="exact"/>
              <w:rPr>
                <w:sz w:val="1"/>
                <w:szCs w:val="1"/>
                <w:color w:val="auto"/>
              </w:rPr>
            </w:pPr>
          </w:p>
        </w:tc>
      </w:tr>
      <w:tr>
        <w:trPr>
          <w:trHeight w:val="217"/>
        </w:trPr>
        <w:tc>
          <w:tcPr>
            <w:tcW w:w="5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9920" w:hanging="232"/>
        <w:spacing w:after="0" w:line="417" w:lineRule="auto"/>
        <w:tabs>
          <w:tab w:leader="none" w:pos="275"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effective income tax rate was 31.4% and 27.4% during the quarters ended June 30, 2012 and 2011, respectively, and 31.7% and 27.1% during the nine months ended June 30, 2012 and 2011, respectively. The provision for income taxes during interim quarterly reporting periods is based on our estimates of the effective tax rates for the respective full fiscal year.</w:t>
      </w:r>
    </w:p>
    <w:p>
      <w:pPr>
        <w:spacing w:after="0" w:line="140"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The effective tax rate in any quarter can be affected positively or negatively by adjustments that are required to be reported in the specific quarter of resolution. The increase in our effective tax rate year over year was due to the recognition of the 2010 extension of Federal Research and Development credit during fiscal 2011, the expiration of the Federal Research and Development credit during fiscal 2012, and the expiration of a foreign tax holiday. In addition, there was a one-time tax cost for entity restructuring in the first nine months of fiscal 2012. The increases were partially offset by higher earnings from international entities with lower effective tax rates.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total unrecognized tax benefit for uncertain tax positions at June 30, 2012 and September 30, 2011 was estimated to be approximately $8.0 million and $9.5 million, respectively. We recognize interest expense related to unrecognized tax benefits and penalties as part of the provision for income taxes in our consolidated statements of income. As of June 30, 2012 and September 30, 2011, we have accrued interest of $0.6 million and $0.8 million, respectively, related to the unrecognized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numerators and denominators of basic and diluted earnings per share (“EPS”):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Pr>
          <w:p>
            <w:pPr>
              <w:spacing w:after="0"/>
              <w:rPr>
                <w:sz w:val="14"/>
                <w:szCs w:val="14"/>
                <w:color w:val="auto"/>
              </w:rPr>
            </w:pP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142"/>
        </w:trPr>
        <w:tc>
          <w:tcPr>
            <w:tcW w:w="7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40" w:type="dxa"/>
            <w:vAlign w:val="bottom"/>
            <w:gridSpan w:val="9"/>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and basic earnings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20,749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23,189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70,758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46,943</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Denominator—shares: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Basic weighted-average shares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34,004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39,451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35,126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39,788</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22"/>
        </w:trPr>
        <w:tc>
          <w:tcPr>
            <w:tcW w:w="7700" w:type="dxa"/>
            <w:vAlign w:val="bottom"/>
          </w:tcPr>
          <w:p>
            <w:pPr>
              <w:ind w:left="440"/>
              <w:spacing w:after="0"/>
              <w:rPr>
                <w:sz w:val="20"/>
                <w:szCs w:val="20"/>
                <w:color w:val="auto"/>
              </w:rPr>
            </w:pPr>
            <w:r>
              <w:rPr>
                <w:rFonts w:ascii="Arial" w:cs="Arial" w:eastAsia="Arial" w:hAnsi="Arial"/>
                <w:sz w:val="18"/>
                <w:szCs w:val="18"/>
                <w:color w:val="auto"/>
              </w:rPr>
              <w:t>Diluted weighted-average shares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35,293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40,241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36,247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40,426</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computation of diluted EPS for the quarters ended June 30, 2012 and 2011, excludes options to purchase approximately 890,000 and 2,832,000 shares of common stock, respectively, and for the nine months ended June 30, 2012 and 2011 excludes options to purchase approximately 1,669,000 and 3,747,000 shares of common stock, respectively, because the options’ exercise prices exceeded the average market price of our common stock in these periods and their inclusion would be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organized into the following three reportable segments to align with internal management of our worldwide business operations based on product offerings.</w:t>
      </w:r>
    </w:p>
    <w:p>
      <w:pPr>
        <w:spacing w:after="0" w:line="51" w:lineRule="exact"/>
        <w:rPr>
          <w:sz w:val="20"/>
          <w:szCs w:val="20"/>
          <w:color w:val="auto"/>
        </w:rPr>
      </w:pPr>
    </w:p>
    <w:p>
      <w:pPr>
        <w:ind w:left="900" w:right="1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Our Applications products are pre-configured Decision Management applications and associated professional services, designed for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type of business problem or process, such as marketing, account origination, customer management, fraud and insurance claims management.</w:t>
      </w:r>
    </w:p>
    <w:p>
      <w:pPr>
        <w:spacing w:after="0" w:line="59"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Scores</w:t>
      </w:r>
      <w:r>
        <w:rPr>
          <w:rFonts w:ascii="Arial" w:cs="Arial" w:eastAsia="Arial" w:hAnsi="Arial"/>
          <w:sz w:val="18"/>
          <w:szCs w:val="18"/>
          <w:color w:val="auto"/>
        </w:rPr>
        <w:t>. This segment includes our business-to-business scoring solutions, our myFICO</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consumers and associated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62"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Tools</w:t>
      </w:r>
      <w:r>
        <w:rPr>
          <w:rFonts w:ascii="Arial" w:cs="Arial" w:eastAsia="Arial" w:hAnsi="Arial"/>
          <w:sz w:val="18"/>
          <w:szCs w:val="18"/>
          <w:color w:val="auto"/>
        </w:rPr>
        <w:t>. The Tools segment is composed of software tools and associated professional services that clients can use to create their own custom Decision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applications.</w:t>
      </w:r>
    </w:p>
    <w:p>
      <w:pPr>
        <w:spacing w:after="0" w:line="132" w:lineRule="exact"/>
        <w:rPr>
          <w:sz w:val="20"/>
          <w:szCs w:val="20"/>
          <w:color w:val="auto"/>
        </w:rPr>
      </w:pPr>
    </w:p>
    <w:p>
      <w:pPr>
        <w:jc w:val="both"/>
        <w:ind w:right="480" w:firstLine="456"/>
        <w:spacing w:after="0" w:line="256" w:lineRule="auto"/>
        <w:rPr>
          <w:sz w:val="20"/>
          <w:szCs w:val="20"/>
          <w:color w:val="auto"/>
        </w:rPr>
      </w:pPr>
      <w:r>
        <w:rPr>
          <w:rFonts w:ascii="Arial" w:cs="Arial" w:eastAsia="Arial" w:hAnsi="Arial"/>
          <w:sz w:val="18"/>
          <w:szCs w:val="18"/>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not allocate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or capital expenditures; rather, depreciation amounts are allocated to the segments from their internal cost centers as described above.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segment information for the three and nine months ended June 30,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center"/>
              <w:ind w:left="337"/>
              <w:spacing w:after="0"/>
              <w:rPr>
                <w:sz w:val="20"/>
                <w:szCs w:val="20"/>
                <w:color w:val="auto"/>
              </w:rPr>
            </w:pPr>
            <w:r>
              <w:rPr>
                <w:rFonts w:ascii="Arial" w:cs="Arial" w:eastAsia="Arial" w:hAnsi="Arial"/>
                <w:sz w:val="14"/>
                <w:szCs w:val="14"/>
                <w:b w:val="1"/>
                <w:bCs w:val="1"/>
                <w:color w:val="auto"/>
                <w:w w:val="88"/>
              </w:rPr>
              <w:t>Quarter Ended June 30, 2012</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Unallocated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Corporate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Scores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Tools</w:t>
            </w:r>
          </w:p>
        </w:tc>
        <w:tc>
          <w:tcPr>
            <w:tcW w:w="14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Transactional and maintenance</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64,729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41,394</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7,585</w:t>
            </w:r>
          </w:p>
        </w:tc>
        <w:tc>
          <w:tcPr>
            <w:tcW w:w="2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113,708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31,993</w:t>
            </w:r>
          </w:p>
        </w:tc>
        <w:tc>
          <w:tcPr>
            <w:tcW w:w="0" w:type="dxa"/>
            <w:vAlign w:val="bottom"/>
          </w:tcPr>
          <w:p>
            <w:pPr>
              <w:spacing w:after="0"/>
              <w:rPr>
                <w:sz w:val="1"/>
                <w:szCs w:val="1"/>
                <w:color w:val="auto"/>
              </w:rPr>
            </w:pPr>
          </w:p>
        </w:tc>
      </w:tr>
      <w:tr>
        <w:trPr>
          <w:trHeight w:val="223"/>
        </w:trPr>
        <w:tc>
          <w:tcPr>
            <w:tcW w:w="4500" w:type="dxa"/>
            <w:vAlign w:val="bottom"/>
          </w:tcPr>
          <w:p>
            <w:pPr>
              <w:ind w:left="440"/>
              <w:spacing w:after="0"/>
              <w:rPr>
                <w:sz w:val="20"/>
                <w:szCs w:val="20"/>
                <w:color w:val="auto"/>
              </w:rPr>
            </w:pPr>
            <w:r>
              <w:rPr>
                <w:rFonts w:ascii="Arial" w:cs="Arial" w:eastAsia="Arial" w:hAnsi="Arial"/>
                <w:sz w:val="18"/>
                <w:szCs w:val="18"/>
                <w:color w:val="auto"/>
              </w:rPr>
              <w:t>License</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41,920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160,478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(69,964)</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(13,790)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(19,188)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(115,763)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operating income</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29,099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(19,188)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line="20" w:lineRule="exact"/>
              <w:rPr>
                <w:sz w:val="1"/>
                <w:szCs w:val="1"/>
                <w:color w:val="auto"/>
              </w:rPr>
            </w:pPr>
          </w:p>
        </w:tc>
      </w:tr>
      <w:tr>
        <w:trPr>
          <w:trHeight w:val="208"/>
        </w:trPr>
        <w:tc>
          <w:tcPr>
            <w:tcW w:w="45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Unallocated interest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other income,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30,254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4"/>
                <w:szCs w:val="14"/>
                <w:b w:val="1"/>
                <w:bCs w:val="1"/>
                <w:color w:val="auto"/>
                <w:w w:val="87"/>
              </w:rPr>
              <w:t>Quarter Ended June 30, 2011</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Unallocated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Corporate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Scores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Tools</w:t>
            </w:r>
          </w:p>
        </w:tc>
        <w:tc>
          <w:tcPr>
            <w:tcW w:w="14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Transactional and maintenance</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63,355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40,798</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7,587</w:t>
            </w:r>
          </w:p>
        </w:tc>
        <w:tc>
          <w:tcPr>
            <w:tcW w:w="2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111,740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23"/>
        </w:trPr>
        <w:tc>
          <w:tcPr>
            <w:tcW w:w="4500" w:type="dxa"/>
            <w:vAlign w:val="bottom"/>
          </w:tcPr>
          <w:p>
            <w:pPr>
              <w:ind w:left="440"/>
              <w:spacing w:after="0"/>
              <w:rPr>
                <w:sz w:val="20"/>
                <w:szCs w:val="20"/>
                <w:color w:val="auto"/>
              </w:rPr>
            </w:pPr>
            <w:r>
              <w:rPr>
                <w:rFonts w:ascii="Arial" w:cs="Arial" w:eastAsia="Arial" w:hAnsi="Arial"/>
                <w:sz w:val="18"/>
                <w:szCs w:val="18"/>
                <w:color w:val="auto"/>
              </w:rPr>
              <w:t>License</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92,060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41,793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150,679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(64,413)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(11,739)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(13,270)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(18,352)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(107,774)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operating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(18,352)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line="20" w:lineRule="exact"/>
              <w:rPr>
                <w:sz w:val="1"/>
                <w:szCs w:val="1"/>
                <w:color w:val="auto"/>
              </w:rPr>
            </w:pPr>
          </w:p>
        </w:tc>
      </w:tr>
      <w:tr>
        <w:trPr>
          <w:trHeight w:val="208"/>
        </w:trPr>
        <w:tc>
          <w:tcPr>
            <w:tcW w:w="45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Unallocated interest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Unallocated other income,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31,937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252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40" w:type="dxa"/>
            <w:vAlign w:val="bottom"/>
            <w:vMerge w:val="restart"/>
          </w:tcPr>
          <w:p>
            <w:pPr>
              <w:jc w:val="right"/>
              <w:ind w:right="352"/>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87"/>
              </w:rPr>
              <w:t>Nine Months Ended June 30, 2012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Unallocated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Scores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Tools</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79"/>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Transactional and maintenance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$ 192,524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127,227</w:t>
            </w:r>
          </w:p>
        </w:tc>
        <w:tc>
          <w:tcPr>
            <w:tcW w:w="140" w:type="dxa"/>
            <w:vAlign w:val="bottom"/>
          </w:tcPr>
          <w:p>
            <w:pPr>
              <w:spacing w:after="0"/>
              <w:rPr>
                <w:sz w:val="18"/>
                <w:szCs w:val="18"/>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$ 22,983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12,646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21,160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segment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304,672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56,789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(210,087)</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(39,219)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(43,698)</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(49,557)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(342,561)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89,668</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$ 13,091</w:t>
            </w: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(49,557)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147,787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1"/>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Unallocated interest expense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Unallocated other expense,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659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87"/>
              </w:rPr>
              <w:t>Nine Months Ended June 30, 2011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Unallocated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Scores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Tools</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79"/>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Transactional and maintenance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$ 194,054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121,197</w:t>
            </w:r>
          </w:p>
        </w:tc>
        <w:tc>
          <w:tcPr>
            <w:tcW w:w="140" w:type="dxa"/>
            <w:vAlign w:val="bottom"/>
          </w:tcPr>
          <w:p>
            <w:pPr>
              <w:spacing w:after="0"/>
              <w:rPr>
                <w:sz w:val="18"/>
                <w:szCs w:val="18"/>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$ 22,682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18,728</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segment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285,632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50,234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(211,162)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(42,252)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(41,417)</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(48,412)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(343,243)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8,817</w:t>
            </w: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(48,412)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116,191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(11,762)</w:t>
            </w: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Unallocated restructuring expense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Unallocated interest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Unallocated other income, net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9,971</w:t>
            </w:r>
          </w:p>
        </w:tc>
        <w:tc>
          <w:tcPr>
            <w:tcW w:w="3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1,289</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300"/>
              <w:spacing w:after="0"/>
              <w:rPr>
                <w:sz w:val="20"/>
                <w:szCs w:val="20"/>
                <w:color w:val="auto"/>
              </w:rPr>
            </w:pPr>
            <w:r>
              <w:rPr>
                <w:rFonts w:ascii="Arial" w:cs="Arial" w:eastAsia="Arial" w:hAnsi="Arial"/>
                <w:sz w:val="18"/>
                <w:szCs w:val="18"/>
                <w:color w:val="auto"/>
                <w:w w:val="86"/>
              </w:rPr>
              <w:t>776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177"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“Act”).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Act. Examples of forward-looking statements include, but are not limited to: (i) projections of revenue, income or loss, earnings or loss per share, the payment or nonpayment of dividends, capital structure and other statements concerning future financial performance;</w:t>
      </w:r>
    </w:p>
    <w:p>
      <w:pPr>
        <w:spacing w:after="0" w:line="2" w:lineRule="exact"/>
        <w:rPr>
          <w:sz w:val="20"/>
          <w:szCs w:val="20"/>
          <w:color w:val="auto"/>
        </w:rPr>
      </w:pPr>
    </w:p>
    <w:p>
      <w:pPr>
        <w:ind w:right="40" w:firstLine="8"/>
        <w:spacing w:after="0" w:line="300" w:lineRule="auto"/>
        <w:tabs>
          <w:tab w:leader="none" w:pos="258"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w:t>
      </w:r>
    </w:p>
    <w:p>
      <w:pPr>
        <w:ind w:right="60" w:firstLine="8"/>
        <w:spacing w:after="0" w:line="285" w:lineRule="auto"/>
        <w:tabs>
          <w:tab w:leader="none" w:pos="288"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statements regarding business relationships with vendors, customers or collaborators, including the proportion of revenues generated from international as apposed to domestic customers; and (v) statements regarding products, their characteristics, performance, sales potential or effect in the hands of customers. Words such as “believes,” “anticipates,” “expects,” “intends,” “targeted,” “should,” “potential,” “goals,” “strategy,”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Risk Factors.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reports on Forms 10-Q and 8-K to be filed by the Company in fiscal 2012.</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leader in Decision Management solutions that enable businesses to automate, improve and connect decisions to enhance business performance. Our predictive analytics, which include the industry standard FICO</w:t>
      </w:r>
      <w:r>
        <w:rPr>
          <w:rFonts w:ascii="Arial" w:cs="Arial" w:eastAsia="Arial" w:hAnsi="Arial"/>
          <w:sz w:val="10"/>
          <w:szCs w:val="10"/>
          <w:color w:val="auto"/>
        </w:rPr>
        <w:t>®</w:t>
      </w:r>
      <w:r>
        <w:rPr>
          <w:rFonts w:ascii="Arial" w:cs="Arial" w:eastAsia="Arial" w:hAnsi="Arial"/>
          <w:sz w:val="16"/>
          <w:szCs w:val="16"/>
          <w:color w:val="auto"/>
        </w:rPr>
        <w:t xml:space="preserve"> score, and our Decision Management systems power billions of customer decisions each year. We help companies acquire customers more efficiently, increase customer value, reduce fraud and credit losses, lower operating expenses and enter new markets more profitably. Most leading banks and credit card issuers rely on our solutions, as do many insurers, retailers, healthcare organizations, pharmaceutical companies and government agencies. We also serve consumers through online services that enable people to purchase and understand their FICO</w:t>
      </w:r>
      <w:r>
        <w:rPr>
          <w:rFonts w:ascii="Arial" w:cs="Arial" w:eastAsia="Arial" w:hAnsi="Arial"/>
          <w:sz w:val="10"/>
          <w:szCs w:val="10"/>
          <w:color w:val="auto"/>
        </w:rPr>
        <w:t>®</w:t>
      </w:r>
      <w:r>
        <w:rPr>
          <w:rFonts w:ascii="Arial" w:cs="Arial" w:eastAsia="Arial" w:hAnsi="Arial"/>
          <w:sz w:val="16"/>
          <w:szCs w:val="16"/>
          <w:color w:val="auto"/>
        </w:rPr>
        <w:t xml:space="preserve"> scores, the standard measure in the United States of credit risk, empowering them to manage their financial health.</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Most of our revenues are derived from the sale of products and services within the banking (including consumer credit) and insurance industries; approximately 79% of our revenues during the quarters ended June 30, 2012 and 2011, and 80% and 78% of our revenues for the nine months ended June 30, 2012 and 2011, respectively, were derived from within these industries. A significant portion of our remaining revenues is derived from the healthcare and retail industries. Our clients utilize our products and services to facilitate a variety of business processes, including customer marketing and acquisition, account origination, credit and underwriting risk management, fraud loss prevention and control, and client account and policyholder management. A significant portion of our revenues is derived from transactional or unit-based software license fees, annual license fees under long-term software license arrangements, transactional fees derived under scoring, network service or internal hosted software arrangements, and annual software maintenance fees. The recurrence of these revenues is, to a significant degree, dependent upon our clients’ continued usage of our products and services in their business activities. The more significant activities underlying the use of our products in these areas include: credit and debit card usage or active account levels; lending acquisition, origination and customer management activity; and customer acquisition, cross selling and retention programs. Approximately 71% and 74% of our revenues during the quarters ended June 30, 2012 and 2011, respectively, and 70% and 74% of our revenues for the nine months ended June 30, 2012 and 2011, respectively, were derived from maintenance or arrangements with transactional or unit-based pricing. We also derive revenues from other sources which generally do not recur and include, but are not limited to, perpetual or time-based licenses with upfront payment terms and non-recurring professional service arrangements.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revenues derived from clients outside the United States have generally grown, and may in the future grow, more rapidly than our revenues from domestic clients. International revenues totaled $58.8 million and $54.9 million during the quarters ended June 30, 2012 and 2011, respectively, representing 37% and 36% of total consolidated revenues in each of these periods. International revenues totaled $188.1 million and $171.5 million during the nine months ended June 30, 2012 and 2011, respectively, representing 38% and 37% of total consolidated revenues in each of these periods. We expect our revenues derived from international clients will increase in the future, subject to the impact of foreign currency fluctuations.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Management uses bookings as an indicator of our business performance. Bookings represent contracts signed in the current reporting period that will generate current and future revenue streams. We consider contract terms, knowledge of the marketplace and experience with our customers, among other factors, when determining the estimated value of contract bookings.</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Bookings calculations have varying degrees of certainty depending on the revenue type and individual contract terms. Our revenue types are transactional and maintenance, professional services and license. Our estimate of bookings is as of the end of the period in which a contract is signed, and we do not update our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a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other factors that affect the business environment in which our customers operate.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Services Bookings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internal services resources used to complete a project.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License Bookings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Licenses are sold on a perpetual or term basis and bookings generally equal the fixed amount stated in the contract.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Bookings Trend Analysis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Number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Bookings</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Weighted-</w:t>
            </w:r>
          </w:p>
        </w:tc>
      </w:tr>
      <w:tr>
        <w:trPr>
          <w:trHeight w:val="149"/>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1"/>
              </w:rPr>
              <w:t>Bookings</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over $1</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580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Bookings</w:t>
            </w: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Yield*</w:t>
            </w: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Million</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Term</w:t>
            </w:r>
          </w:p>
        </w:tc>
      </w:tr>
      <w:tr>
        <w:trPr>
          <w:trHeight w:val="142"/>
        </w:trPr>
        <w:tc>
          <w:tcPr>
            <w:tcW w:w="58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6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(months)</w:t>
            </w: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Quarter Ended June 30, 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June 30,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Nine Months Ended June 30, 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191.6</w:t>
            </w:r>
          </w:p>
        </w:tc>
        <w:tc>
          <w:tcPr>
            <w:tcW w:w="68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Transactional and maintenance bookings were 28% and 35% of total bookings for the quarters ended June 30, 2012 and 2011, respectively. Professional services bookings were 52% and 46% of total bookings for the quarters ended June 30, 2012 and 2011, respectively. License bookings were 20% and 19% of total bookings for the quarters ended June 30, 2012 and 2011, respectively.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Transactional and maintenance bookings were 33% and 44% of total bookings for the nine months ended June 30, 2012 and 2011, respectively. Professional services bookings were 47% and 38% of total bookings for the nine months ended June 30, 2012 and 2011, respectively. License bookings were 20% and 18% of total bookings for the nine months ended June 30, 2012 and 2011, respectively.</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weighted-average term of bookings achieved measures the average term over which the bookings are expected to be recognized as revenue. As the weighted-average term increases, the average amount of revenues expected to be realized in a quarter decreases; however, the revenues are expected to be recognized over a longer period of time. As the weighted-average term decreases, the average amount of revenues expected to be realized in a quarter increases; however, the revenues are expected to be recognized over a shorter period of time.</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Management regards the volume of bookings achieved, among other factors, as an important indicator of future revenues, but they are not comparable to, nor should they be substituted for, an analysis of our revenues, and they are subject to a number of risks and uncertainties concerning timing and contingencies affecting product delivery and performance.</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many of our contracts contain noncancelable terms, most of our bookings are transactional or service related and are dependent upon estimates such as volume of transactions, number of active accounts, or number of hours incurred. Since these estimates cannot be considered fixed or firm, we do not believe it is appropriate to characterize bookings as backlog.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Environment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General economic conditions stabilized in fiscal 2011 from which we realized overall growth in our revenues. However, high levels of unemployment and financial market uncertainty continue to impact our customers and the pace of global recovery. Consumer and small business lending activity, which is one of the drivers of demand for our services, has stabilized in most markets around the world but in most cases is not yet showing strong growth. We expect growth in consumer lending to continue to lag the general economic recovery. In an effort to respond to these market conditions, we have continued to focus on activities related to our ongoing reengineering initiative. As part of this initiative, we continue to manage our expenses to maintain solid earnings and cash flows and grow revenues through strategic resource allocation. Key components of the initiative include ongoing rationalization of our business portfolio, simplifying management hierarchy, eliminating low-priority positions, investing in high-priority positions, consolidating facilities and managing fixed and variable costs.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summary information on a segment basis related to our revenues for the fiscal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8"/>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of Revenues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Period-to-Period</w:t>
            </w:r>
          </w:p>
        </w:tc>
        <w:tc>
          <w:tcPr>
            <w:tcW w:w="32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5100" w:type="dxa"/>
            <w:vAlign w:val="bottom"/>
            <w:gridSpan w:val="3"/>
            <w:vMerge w:val="continue"/>
          </w:tcPr>
          <w:p>
            <w:pPr>
              <w:spacing w:after="0"/>
              <w:rPr>
                <w:sz w:val="13"/>
                <w:szCs w:val="13"/>
                <w:color w:val="auto"/>
              </w:rPr>
            </w:pPr>
          </w:p>
        </w:tc>
        <w:tc>
          <w:tcPr>
            <w:tcW w:w="720" w:type="dxa"/>
            <w:vAlign w:val="bottom"/>
            <w:gridSpan w:val="3"/>
          </w:tcPr>
          <w:p>
            <w:pPr>
              <w:jc w:val="right"/>
              <w:ind w:right="2"/>
              <w:spacing w:after="0" w:line="148"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3"/>
                <w:szCs w:val="13"/>
                <w:color w:val="auto"/>
              </w:rPr>
            </w:pPr>
          </w:p>
        </w:tc>
        <w:tc>
          <w:tcPr>
            <w:tcW w:w="280" w:type="dxa"/>
            <w:vAlign w:val="bottom"/>
          </w:tcPr>
          <w:p>
            <w:pPr>
              <w:spacing w:after="0" w:line="148"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3"/>
                <w:szCs w:val="13"/>
                <w:color w:val="auto"/>
              </w:rPr>
            </w:pPr>
          </w:p>
        </w:tc>
        <w:tc>
          <w:tcPr>
            <w:tcW w:w="1180" w:type="dxa"/>
            <w:vAlign w:val="bottom"/>
            <w:gridSpan w:val="4"/>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6"/>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Applications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$ 98,322</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$ 92,060</w:t>
            </w:r>
          </w:p>
        </w:tc>
        <w:tc>
          <w:tcPr>
            <w:tcW w:w="11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6,262</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Scores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41,920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41,793</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26%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Tools</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20,236</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3,410</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9,799</w:t>
            </w:r>
          </w:p>
        </w:tc>
        <w:tc>
          <w:tcPr>
            <w:tcW w:w="150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line="20" w:lineRule="exact"/>
              <w:rPr>
                <w:sz w:val="1"/>
                <w:szCs w:val="1"/>
                <w:color w:val="auto"/>
              </w:rPr>
            </w:pPr>
          </w:p>
        </w:tc>
      </w:tr>
      <w:tr>
        <w:trPr>
          <w:trHeight w:val="222"/>
        </w:trPr>
        <w:tc>
          <w:tcPr>
            <w:tcW w:w="51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160,478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150,679</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100%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15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gridSpan w:val="9"/>
          </w:tcPr>
          <w:p>
            <w:pPr>
              <w:ind w:left="100"/>
              <w:spacing w:after="0"/>
              <w:rPr>
                <w:sz w:val="20"/>
                <w:szCs w:val="20"/>
                <w:color w:val="auto"/>
              </w:rPr>
            </w:pPr>
            <w:r>
              <w:rPr>
                <w:rFonts w:ascii="Arial" w:cs="Arial" w:eastAsia="Arial" w:hAnsi="Arial"/>
                <w:sz w:val="14"/>
                <w:szCs w:val="14"/>
                <w:b w:val="1"/>
                <w:bCs w:val="1"/>
                <w:color w:val="auto"/>
                <w:w w:val="94"/>
              </w:rPr>
              <w:t>Nine Months Ended 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of Revenues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Period-to-Period</w:t>
            </w:r>
          </w:p>
        </w:tc>
        <w:tc>
          <w:tcPr>
            <w:tcW w:w="32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5100" w:type="dxa"/>
            <w:vAlign w:val="bottom"/>
            <w:gridSpan w:val="3"/>
            <w:vMerge w:val="continue"/>
          </w:tcPr>
          <w:p>
            <w:pPr>
              <w:spacing w:after="0"/>
              <w:rPr>
                <w:sz w:val="13"/>
                <w:szCs w:val="13"/>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3"/>
                <w:szCs w:val="13"/>
                <w:color w:val="auto"/>
              </w:rPr>
            </w:pPr>
          </w:p>
        </w:tc>
        <w:tc>
          <w:tcPr>
            <w:tcW w:w="280" w:type="dxa"/>
            <w:vAlign w:val="bottom"/>
          </w:tcPr>
          <w:p>
            <w:pPr>
              <w:spacing w:after="0" w:line="148"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3"/>
                <w:szCs w:val="13"/>
                <w:color w:val="auto"/>
              </w:rPr>
            </w:pPr>
          </w:p>
        </w:tc>
        <w:tc>
          <w:tcPr>
            <w:tcW w:w="1180" w:type="dxa"/>
            <w:vAlign w:val="bottom"/>
            <w:gridSpan w:val="4"/>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7"/>
          </w:tcPr>
          <w:p>
            <w:pPr>
              <w:jc w:val="right"/>
              <w:ind w:right="520"/>
              <w:spacing w:after="0" w:line="14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Applications</w:t>
            </w:r>
          </w:p>
        </w:tc>
        <w:tc>
          <w:tcPr>
            <w:tcW w:w="8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87"/>
              </w:rPr>
              <w:t>$ 304,672</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285,632</w:t>
            </w:r>
          </w:p>
        </w:tc>
        <w:tc>
          <w:tcPr>
            <w:tcW w:w="11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19,040</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Scores</w:t>
            </w:r>
          </w:p>
        </w:tc>
        <w:tc>
          <w:tcPr>
            <w:tcW w:w="840" w:type="dxa"/>
            <w:vAlign w:val="bottom"/>
            <w:gridSpan w:val="4"/>
          </w:tcPr>
          <w:p>
            <w:pPr>
              <w:jc w:val="right"/>
              <w:ind w:right="52"/>
              <w:spacing w:after="0"/>
              <w:rPr>
                <w:sz w:val="20"/>
                <w:szCs w:val="20"/>
                <w:color w:val="auto"/>
              </w:rPr>
            </w:pPr>
            <w:r>
              <w:rPr>
                <w:rFonts w:ascii="Arial" w:cs="Arial" w:eastAsia="Arial" w:hAnsi="Arial"/>
                <w:sz w:val="18"/>
                <w:szCs w:val="18"/>
                <w:color w:val="auto"/>
              </w:rPr>
              <w:t>128,887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123,568</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26%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5,319</w:t>
            </w:r>
          </w:p>
        </w:tc>
        <w:tc>
          <w:tcPr>
            <w:tcW w:w="1500" w:type="dxa"/>
            <w:vAlign w:val="bottom"/>
            <w:gridSpan w:val="5"/>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Tools</w:t>
            </w:r>
          </w:p>
        </w:tc>
        <w:tc>
          <w:tcPr>
            <w:tcW w:w="8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56,789</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50,234</w:t>
            </w:r>
          </w:p>
        </w:tc>
        <w:tc>
          <w:tcPr>
            <w:tcW w:w="11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6,555</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revenue</w:t>
            </w: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30,914</w:t>
            </w:r>
          </w:p>
        </w:tc>
        <w:tc>
          <w:tcPr>
            <w:tcW w:w="150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line="20" w:lineRule="exact"/>
              <w:rPr>
                <w:sz w:val="1"/>
                <w:szCs w:val="1"/>
                <w:color w:val="auto"/>
              </w:rPr>
            </w:pPr>
          </w:p>
        </w:tc>
      </w:tr>
      <w:tr>
        <w:trPr>
          <w:trHeight w:val="222"/>
        </w:trPr>
        <w:tc>
          <w:tcPr>
            <w:tcW w:w="5100" w:type="dxa"/>
            <w:vAlign w:val="bottom"/>
            <w:gridSpan w:val="3"/>
            <w:vMerge w:val="continue"/>
          </w:tcPr>
          <w:p>
            <w:pPr>
              <w:spacing w:after="0"/>
              <w:rPr>
                <w:sz w:val="19"/>
                <w:szCs w:val="19"/>
                <w:color w:val="auto"/>
              </w:rPr>
            </w:pPr>
          </w:p>
        </w:tc>
        <w:tc>
          <w:tcPr>
            <w:tcW w:w="840" w:type="dxa"/>
            <w:vAlign w:val="bottom"/>
            <w:gridSpan w:val="4"/>
          </w:tcPr>
          <w:p>
            <w:pPr>
              <w:jc w:val="right"/>
              <w:ind w:right="52"/>
              <w:spacing w:after="0"/>
              <w:rPr>
                <w:sz w:val="20"/>
                <w:szCs w:val="20"/>
                <w:color w:val="auto"/>
              </w:rPr>
            </w:pPr>
            <w:r>
              <w:rPr>
                <w:rFonts w:ascii="Arial" w:cs="Arial" w:eastAsia="Arial" w:hAnsi="Arial"/>
                <w:sz w:val="18"/>
                <w:szCs w:val="18"/>
                <w:color w:val="auto"/>
                <w:w w:val="87"/>
              </w:rPr>
              <w:t>$ 490,348</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459,434</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15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100" w:type="dxa"/>
            <w:vAlign w:val="bottom"/>
            <w:gridSpan w:val="8"/>
          </w:tcPr>
          <w:p>
            <w:pPr>
              <w:spacing w:after="0"/>
              <w:rPr>
                <w:sz w:val="20"/>
                <w:szCs w:val="20"/>
                <w:color w:val="auto"/>
              </w:rPr>
            </w:pPr>
            <w:r>
              <w:rPr>
                <w:rFonts w:ascii="Arial" w:cs="Arial" w:eastAsia="Arial" w:hAnsi="Arial"/>
                <w:sz w:val="18"/>
                <w:szCs w:val="18"/>
                <w:b w:val="1"/>
                <w:bCs w:val="1"/>
                <w:color w:val="auto"/>
                <w:w w:val="98"/>
              </w:rPr>
              <w:t>Quarter Ended June 30, 2012 Compared to Quarter Ended June 30, 2011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0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Applications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87"/>
              </w:rPr>
              <w:t>Quarter Ended June 30,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gridSpan w:val="7"/>
            <w:vMerge w:val="restart"/>
          </w:tcPr>
          <w:p>
            <w:pPr>
              <w:jc w:val="center"/>
              <w:ind w:right="66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9"/>
              </w:rPr>
              <w:t>Period-to-Period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12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$ 64,729</w:t>
            </w:r>
          </w:p>
        </w:tc>
        <w:tc>
          <w:tcPr>
            <w:tcW w:w="136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$ 63,355</w:t>
            </w: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1,374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27,109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72"/>
              <w:spacing w:after="0"/>
              <w:rPr>
                <w:sz w:val="20"/>
                <w:szCs w:val="20"/>
                <w:color w:val="auto"/>
              </w:rPr>
            </w:pPr>
            <w:r>
              <w:rPr>
                <w:rFonts w:ascii="Arial" w:cs="Arial" w:eastAsia="Arial" w:hAnsi="Arial"/>
                <w:sz w:val="18"/>
                <w:szCs w:val="18"/>
                <w:color w:val="auto"/>
                <w:w w:val="87"/>
              </w:rPr>
              <w:t>25,893</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1,216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w:t>
            </w:r>
          </w:p>
        </w:tc>
        <w:tc>
          <w:tcPr>
            <w:tcW w:w="520" w:type="dxa"/>
            <w:vAlign w:val="bottom"/>
            <w:gridSpan w:val="2"/>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3,672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$ 98,322</w:t>
            </w:r>
          </w:p>
        </w:tc>
        <w:tc>
          <w:tcPr>
            <w:tcW w:w="1360" w:type="dxa"/>
            <w:vAlign w:val="bottom"/>
            <w:gridSpan w:val="6"/>
          </w:tcPr>
          <w:p>
            <w:pPr>
              <w:jc w:val="right"/>
              <w:ind w:right="72"/>
              <w:spacing w:after="0"/>
              <w:rPr>
                <w:sz w:val="20"/>
                <w:szCs w:val="20"/>
                <w:color w:val="auto"/>
              </w:rPr>
            </w:pPr>
            <w:r>
              <w:rPr>
                <w:rFonts w:ascii="Arial" w:cs="Arial" w:eastAsia="Arial" w:hAnsi="Arial"/>
                <w:sz w:val="18"/>
                <w:szCs w:val="18"/>
                <w:color w:val="auto"/>
              </w:rPr>
              <w:t>$ 92,060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6,262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The $6.3 million increase in Applications segment revenues consisted of a $3.0 million increase in </w:t>
      </w:r>
      <w:r>
        <w:rPr>
          <w:rFonts w:ascii="Arial" w:cs="Arial" w:eastAsia="Arial" w:hAnsi="Arial"/>
          <w:sz w:val="18"/>
          <w:szCs w:val="18"/>
          <w:i w:val="1"/>
          <w:iCs w:val="1"/>
          <w:color w:val="auto"/>
        </w:rPr>
        <w:t>customer management solutions</w:t>
      </w:r>
      <w:r>
        <w:rPr>
          <w:rFonts w:ascii="Arial" w:cs="Arial" w:eastAsia="Arial" w:hAnsi="Arial"/>
          <w:sz w:val="18"/>
          <w:szCs w:val="18"/>
          <w:color w:val="auto"/>
        </w:rPr>
        <w:t xml:space="preserve">, a $1.0 million increase in </w:t>
      </w:r>
      <w:r>
        <w:rPr>
          <w:rFonts w:ascii="Arial" w:cs="Arial" w:eastAsia="Arial" w:hAnsi="Arial"/>
          <w:sz w:val="18"/>
          <w:szCs w:val="18"/>
          <w:i w:val="1"/>
          <w:iCs w:val="1"/>
          <w:color w:val="auto"/>
        </w:rPr>
        <w:t>collections and recovery solutions</w:t>
      </w:r>
      <w:r>
        <w:rPr>
          <w:rFonts w:ascii="Arial" w:cs="Arial" w:eastAsia="Arial" w:hAnsi="Arial"/>
          <w:sz w:val="18"/>
          <w:szCs w:val="18"/>
          <w:color w:val="auto"/>
        </w:rPr>
        <w:t xml:space="preserve">, a $0.8 million increase in </w:t>
      </w:r>
      <w:r>
        <w:rPr>
          <w:rFonts w:ascii="Arial" w:cs="Arial" w:eastAsia="Arial" w:hAnsi="Arial"/>
          <w:sz w:val="18"/>
          <w:szCs w:val="18"/>
          <w:i w:val="1"/>
          <w:iCs w:val="1"/>
          <w:color w:val="auto"/>
        </w:rPr>
        <w:t>originations solutions</w:t>
      </w:r>
      <w:r>
        <w:rPr>
          <w:rFonts w:ascii="Arial" w:cs="Arial" w:eastAsia="Arial" w:hAnsi="Arial"/>
          <w:sz w:val="18"/>
          <w:szCs w:val="18"/>
          <w:color w:val="auto"/>
        </w:rPr>
        <w:t xml:space="preserve">, a $0.8 million increase in </w:t>
      </w:r>
      <w:r>
        <w:rPr>
          <w:rFonts w:ascii="Arial" w:cs="Arial" w:eastAsia="Arial" w:hAnsi="Arial"/>
          <w:sz w:val="18"/>
          <w:szCs w:val="18"/>
          <w:i w:val="1"/>
          <w:iCs w:val="1"/>
          <w:color w:val="auto"/>
        </w:rPr>
        <w:t>fraud solutions</w:t>
      </w:r>
      <w:r>
        <w:rPr>
          <w:rFonts w:ascii="Arial" w:cs="Arial" w:eastAsia="Arial" w:hAnsi="Arial"/>
          <w:sz w:val="18"/>
          <w:szCs w:val="18"/>
          <w:color w:val="auto"/>
        </w:rPr>
        <w:t xml:space="preserve">, and a $0.7 million in </w:t>
      </w:r>
      <w:r>
        <w:rPr>
          <w:rFonts w:ascii="Arial" w:cs="Arial" w:eastAsia="Arial" w:hAnsi="Arial"/>
          <w:sz w:val="18"/>
          <w:szCs w:val="18"/>
          <w:i w:val="1"/>
          <w:iCs w:val="1"/>
          <w:color w:val="auto"/>
        </w:rPr>
        <w:t>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solutions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customer management solutions</w:t>
      </w:r>
      <w:r>
        <w:rPr>
          <w:rFonts w:ascii="Arial" w:cs="Arial" w:eastAsia="Arial" w:hAnsi="Arial"/>
          <w:sz w:val="18"/>
          <w:szCs w:val="18"/>
          <w:color w:val="auto"/>
        </w:rPr>
        <w:t xml:space="preserve"> revenue was due to license revenue driven by increased sales of TRIAD software, an increase in transactional-based and maintenance revenue, as well as an increase in professional services revenue. The increase in </w:t>
      </w:r>
      <w:r>
        <w:rPr>
          <w:rFonts w:ascii="Arial" w:cs="Arial" w:eastAsia="Arial" w:hAnsi="Arial"/>
          <w:sz w:val="18"/>
          <w:szCs w:val="18"/>
          <w:i w:val="1"/>
          <w:iCs w:val="1"/>
          <w:color w:val="auto"/>
        </w:rPr>
        <w:t>collections and recovery solutions</w:t>
      </w:r>
      <w:r>
        <w:rPr>
          <w:rFonts w:ascii="Arial" w:cs="Arial" w:eastAsia="Arial" w:hAnsi="Arial"/>
          <w:sz w:val="18"/>
          <w:szCs w:val="18"/>
          <w:color w:val="auto"/>
        </w:rPr>
        <w:t xml:space="preserve"> was primarily due to services and license revenues of our Debt Manager product.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Scores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Quarter Ended 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16"/>
        </w:trPr>
        <w:tc>
          <w:tcPr>
            <w:tcW w:w="5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Period-to-Period</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4"/>
                <w:szCs w:val="14"/>
                <w:b w:val="1"/>
                <w:bCs w:val="1"/>
                <w:color w:val="auto"/>
              </w:rPr>
              <w:t>2012</w:t>
            </w:r>
          </w:p>
        </w:tc>
        <w:tc>
          <w:tcPr>
            <w:tcW w:w="12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60" w:type="dxa"/>
            <w:vAlign w:val="bottom"/>
            <w:tcBorders>
              <w:top w:val="single" w:sz="8" w:color="auto"/>
            </w:tcBorders>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$ 41,394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$ 40,798</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Professional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$ 41,920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$ 41,793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6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$0.1 million increase in Scores segment revenues consisted of a $1.1 million increase in our business-to-business scores revenue partially offset by a decrease of $1.0 million in our myFICO business-to-consumer services revenue. The increase in our business-to-business Scores was primarily attributable to credit bureau risk scores revenues. The decrease in our business-to-consumer services was driven by direct sales generated from the myFICO.com website, as well as royalties derived from scores sold indirectly to consumers through credit reporting agencies.</w:t>
      </w:r>
    </w:p>
    <w:p>
      <w:pPr>
        <w:spacing w:after="0" w:line="11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During the quarters ended June 30, 2012 and 2011, revenues generated from our agreements with Equifax, TransUnion and Experian collectively accounted for approximately 18% and 19%, respectively, of our total revenues, including revenues from these customers that are recorded in our other segments.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Tools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5"/>
              </w:rPr>
              <w:t>Quarter Ended 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16"/>
        </w:trPr>
        <w:tc>
          <w:tcPr>
            <w:tcW w:w="5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Period-to-Period</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Change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7,587</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3,079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1,305</w:t>
            </w:r>
          </w:p>
        </w:tc>
        <w:tc>
          <w:tcPr>
            <w:tcW w:w="6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6,160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3,410</w:t>
            </w:r>
          </w:p>
        </w:tc>
        <w:tc>
          <w:tcPr>
            <w:tcW w:w="620" w:type="dxa"/>
            <w:vAlign w:val="bottom"/>
          </w:tcPr>
          <w:p>
            <w:pPr>
              <w:spacing w:after="0" w:line="20" w:lineRule="exact"/>
              <w:rPr>
                <w:sz w:val="1"/>
                <w:szCs w:val="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20,236</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16,826</w:t>
            </w: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$3.4 million increase in Tools segment revenues consisted primarily of a $2.1 million increase in license revenue and a $1.3 million increase in services revenue, both related to our Blaze Advisor and Xpress Optimization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2012 Compared to Nine months Ended June 30, 2011 Revenues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Applications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w w:val="99"/>
              </w:rPr>
              <w:t>Nine Months Ended June 30,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16"/>
        </w:trPr>
        <w:tc>
          <w:tcPr>
            <w:tcW w:w="4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Period-to-Period</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740" w:type="dxa"/>
            <w:vAlign w:val="bottom"/>
          </w:tcPr>
          <w:p>
            <w:pPr>
              <w:jc w:val="right"/>
              <w:ind w:right="161"/>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$ 192,524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194,054</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Professional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77,192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74,128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3,064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2"/>
        </w:trPr>
        <w:tc>
          <w:tcPr>
            <w:tcW w:w="486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$ 304,672</w:t>
            </w:r>
          </w:p>
        </w:tc>
        <w:tc>
          <w:tcPr>
            <w:tcW w:w="64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285,632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19,040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$19.0 million increase in Applications segment revenues consisted of a $20.1 million increase in our </w:t>
      </w:r>
      <w:r>
        <w:rPr>
          <w:rFonts w:ascii="Arial" w:cs="Arial" w:eastAsia="Arial" w:hAnsi="Arial"/>
          <w:sz w:val="18"/>
          <w:szCs w:val="18"/>
          <w:i w:val="1"/>
          <w:iCs w:val="1"/>
          <w:color w:val="auto"/>
        </w:rPr>
        <w:t>fraud solutions</w:t>
      </w:r>
      <w:r>
        <w:rPr>
          <w:rFonts w:ascii="Arial" w:cs="Arial" w:eastAsia="Arial" w:hAnsi="Arial"/>
          <w:sz w:val="18"/>
          <w:szCs w:val="18"/>
          <w:color w:val="auto"/>
        </w:rPr>
        <w:t xml:space="preserve"> and a $2.0 million increase in our other applications solutions</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a $3.1 million decrease in our </w:t>
      </w:r>
      <w:r>
        <w:rPr>
          <w:rFonts w:ascii="Arial" w:cs="Arial" w:eastAsia="Arial" w:hAnsi="Arial"/>
          <w:sz w:val="18"/>
          <w:szCs w:val="18"/>
          <w:i w:val="1"/>
          <w:iCs w:val="1"/>
          <w:color w:val="auto"/>
        </w:rPr>
        <w:t>marketing solutions.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fraud solutions</w:t>
      </w:r>
      <w:r>
        <w:rPr>
          <w:rFonts w:ascii="Arial" w:cs="Arial" w:eastAsia="Arial" w:hAnsi="Arial"/>
          <w:sz w:val="18"/>
          <w:szCs w:val="18"/>
          <w:color w:val="auto"/>
        </w:rPr>
        <w:t xml:space="preserve"> revenue was primarily due to software revenue attributable to two large multi-year license transactions during the first half of fiscal 2012. In addition, the </w:t>
      </w:r>
      <w:r>
        <w:rPr>
          <w:rFonts w:ascii="Arial" w:cs="Arial" w:eastAsia="Arial" w:hAnsi="Arial"/>
          <w:sz w:val="18"/>
          <w:szCs w:val="18"/>
          <w:i w:val="1"/>
          <w:iCs w:val="1"/>
          <w:color w:val="auto"/>
        </w:rPr>
        <w:t>fraud solutions</w:t>
      </w:r>
      <w:r>
        <w:rPr>
          <w:rFonts w:ascii="Arial" w:cs="Arial" w:eastAsia="Arial" w:hAnsi="Arial"/>
          <w:sz w:val="18"/>
          <w:szCs w:val="18"/>
          <w:color w:val="auto"/>
        </w:rPr>
        <w:t xml:space="preserve"> revenue was also impacted by increased professional services revenue from software implementations and consulting services and a decrease in transactional-based revenues. The decrease in </w:t>
      </w:r>
      <w:r>
        <w:rPr>
          <w:rFonts w:ascii="Arial" w:cs="Arial" w:eastAsia="Arial" w:hAnsi="Arial"/>
          <w:sz w:val="18"/>
          <w:szCs w:val="18"/>
          <w:i w:val="1"/>
          <w:iCs w:val="1"/>
          <w:color w:val="auto"/>
        </w:rPr>
        <w:t>marketing solutions</w:t>
      </w:r>
      <w:r>
        <w:rPr>
          <w:rFonts w:ascii="Arial" w:cs="Arial" w:eastAsia="Arial" w:hAnsi="Arial"/>
          <w:sz w:val="18"/>
          <w:szCs w:val="18"/>
          <w:color w:val="auto"/>
        </w:rPr>
        <w:t xml:space="preserve"> revenue was mainly attributable to a decrease in professional services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Scores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16"/>
        </w:trPr>
        <w:tc>
          <w:tcPr>
            <w:tcW w:w="48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Period-to-Period</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740" w:type="dxa"/>
            <w:vAlign w:val="bottom"/>
          </w:tcPr>
          <w:p>
            <w:pPr>
              <w:jc w:val="right"/>
              <w:ind w:right="161"/>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$ 127,227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121,197</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1,309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(270)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5,319</w:t>
            </w:r>
          </w:p>
        </w:tc>
        <w:tc>
          <w:tcPr>
            <w:tcW w:w="64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4 %</w:t>
            </w: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$ 128,887</w:t>
            </w: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123,568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$5.3 million increase in Scores segment revenues consisted of a $6.7 million increase in our business-to-business scores revenue partially offset by a $1.4 million decrease in our myFICO business-to-consumer services revenue. The increase in our business-to-business scores was primarily attributable to an increase in Credit Bureau Risk Scores driven by a large non-recurring project conducted by a major customer utilizing historical Credit Bureau Risk Scores, and PreScore revenues. The decline in our myFICO business-to-consumer services was primarily attributable to a decrease in royalties derived from scores sold indirectly to consumers through credit reporting agencies.</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During the nine months ended June 30, 2012 and 2011, revenues generated from our agreements with Equifax, TransUnion and Experian, collectively accounted for approximately 18% of our total revenues, including revenues from these customers that are recorded in our other segments.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Tools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Period-to-Period</w:t>
            </w:r>
          </w:p>
        </w:tc>
      </w:tr>
      <w:tr>
        <w:trPr>
          <w:trHeight w:val="175"/>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c>
          <w:tcPr>
            <w:tcW w:w="320" w:type="dxa"/>
            <w:vAlign w:val="bottom"/>
          </w:tcPr>
          <w:p>
            <w:pPr>
              <w:spacing w:after="0"/>
              <w:rPr>
                <w:sz w:val="15"/>
                <w:szCs w:val="15"/>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Period-to-Period</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Percentage</w:t>
            </w:r>
          </w:p>
        </w:tc>
      </w:tr>
      <w:tr>
        <w:trPr>
          <w:trHeight w:val="142"/>
        </w:trPr>
        <w:tc>
          <w:tcPr>
            <w:tcW w:w="5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85"/>
              </w:rPr>
              <w:t>Change</w:t>
            </w:r>
          </w:p>
        </w:tc>
        <w:tc>
          <w:tcPr>
            <w:tcW w:w="11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142"/>
        </w:trPr>
        <w:tc>
          <w:tcPr>
            <w:tcW w:w="5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Transactional and maintenance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22,983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22,682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12,646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8,824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3,822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21,160</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56,789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50,234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6,555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20" w:firstLine="456"/>
        <w:spacing w:after="0" w:line="268" w:lineRule="auto"/>
        <w:rPr>
          <w:sz w:val="20"/>
          <w:szCs w:val="20"/>
          <w:color w:val="auto"/>
        </w:rPr>
      </w:pPr>
      <w:r>
        <w:rPr>
          <w:rFonts w:ascii="Arial" w:cs="Arial" w:eastAsia="Arial" w:hAnsi="Arial"/>
          <w:sz w:val="18"/>
          <w:szCs w:val="18"/>
          <w:color w:val="auto"/>
        </w:rPr>
        <w:t>The $6.6 million increase in Tools segment revenues consisted primarily of a $3.8 million increase in services revenue and a $2.4 million increase in software revenue, both related to our Blaze Advisor and Xpress Optimization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summary information related to our statements of income for the fiscal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Quarter Ended June 30,</w:t>
            </w: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Percentage of Revenues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Period-to-</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4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6"/>
              </w:rPr>
              <w:t>Period Change</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3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3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3"/>
              </w:rPr>
              <w:t>employees)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employees)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160,478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150,679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14,890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14,290</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1,942</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113,273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(238)</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37,406</w:t>
            </w:r>
          </w:p>
        </w:tc>
        <w:tc>
          <w:tcPr>
            <w:tcW w:w="36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(8,023)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(1,683)</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31,937</w:t>
            </w:r>
          </w:p>
        </w:tc>
        <w:tc>
          <w:tcPr>
            <w:tcW w:w="36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(2,440)</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2"/>
        </w:trPr>
        <w:tc>
          <w:tcPr>
            <w:tcW w:w="39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23,189</w:t>
            </w:r>
          </w:p>
        </w:tc>
        <w:tc>
          <w:tcPr>
            <w:tcW w:w="36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 at quarter end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Nine Months Ended June 30,</w:t>
            </w: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Percentage of Revenues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Period-to-</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4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Period Change</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490,348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459,434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30,914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137,707</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41,925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48,573</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(6,648)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173,482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168,725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5,804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(10,288)</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362,912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373,200</w:t>
            </w:r>
          </w:p>
        </w:tc>
        <w:tc>
          <w:tcPr>
            <w:tcW w:w="3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41,202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2,084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(24,401)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477</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103,563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17,451</w:t>
            </w:r>
          </w:p>
        </w:tc>
        <w:tc>
          <w:tcPr>
            <w:tcW w:w="3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15,354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46,943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Cost of revenues consists primarily of employee salaries and benefits for personnel directly involved in developing, installing and supporting revenue products; travel costs; overhead costs; costs of computer service bureaus; internal network hosting costs; amounts payable to credit reporting agencies for scores; software costs; and expenses related to our business-to-consumer services.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revenues as a percentage of revenues was 30% for the quarter ended June 30, 2012 compared to 29% for the quarter ended June 30, 2011. The quarter over quarter increase of $4.4 million was primarily due to a $2.4 million direct materials increase in third party software and data cost, a $0.8 million increase in travel cost, and a $1.2 million increase in other costs. The increase in direct materials cost was primarily attributable to an increase in sales that require data acquisition. The increase in travel cost was primarily attributable to an increase in services revenue that required traveling to client locations.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year-to-date period over period increase of $4.9 million in cost of revenues resulted from a $6.7 million increase in personnel and labor costs, a $0.9 million increase in travel cost, $0.2 million increase in other costs, partially offset by a $2.9 million decrease in third party software and data cost. The increase in personnel and other labor-related costs was attributable to an increase in salary, related benefit and incentive cost. The increase in travel cost was primarily attributable to an increase in services revenue that required traveling to the client locations. The decrease in third party software and data costs was attributable to a decrease in sales that require data acquisition, as well as cost savings resulting from vendor contract renegotiations. Cost of revenues as a percentage of revenues was 29% for the nine months ended June 30, 2012 compared to 30% for the nine months ended June 30, 2011 as a result of increased sales of higher-margin Applications software and Scores products.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Over the next several quarters, we expect cost of revenues as a percentage of revenues will be consistent with those incurred during the quarter ended June 30, 2012.</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Tools products.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quarter over quarter increase of $0.6 million in research and development was mainly attributable to a $0.3 million increase in personnel and labor costs, driven by increased salary and related benefit expenses, and a $0.3 million increase in other costs. Research and development as a percentage of revenues was 9% during the quarter ended June 30, 2012, consistent with the quarter ended June 30,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Research and development as a percentage of revenues was 8% during the nine months ended June 30, 2012, compared to 11% during the nine months ended June 30, 2011. The $6.6 million decrease was mainly attributable to a $4.0 million decrease in personnel and labor costs, a $1.9 million decrease in facilities and infrastructure costs and a $0.7 million decrease in other costs. The decrease in personnel and related costs was due to decreased salary and related benefit expenses, partially offset by an increase in incentive expense for the nine months ended June 30, 2012. The decrease in facilities and infrastructure costs was attributable primarily to a decline in allocated costs resulting from the continued company-wide effort to reduce overhead costs.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Over the next several quarters, we expect that research and development expenditures as a percentage of revenues will be consistent with those incurred during the quarter ended June 30, 2012.</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Selling, general and administrative expenses consist principally of employee salaries and benefits, travel, overhead, advertising and other promotional expenses, corporate facilities expenses, legal expenses, business development expenses, and the cost of operating computer systems.</w:t>
      </w:r>
    </w:p>
    <w:p>
      <w:pPr>
        <w:spacing w:after="0" w:line="8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Selling, general and administrative expenses as a percentage of revenues was 37% during the quarter ended June 30, 2012, compared to 36% during the quarter ended June 30, 2011. The quarter over quarter increase of $5.5 million in selling, general and administrative expenses was attributable to a $6.8 million increase in labor and personnel costs, a $1.0 million in travel cost, partially offset by a $1.0 million decrease in outside services cost, a $0.7 million decrease in equipment deprecations cost, and a $0.6 million decrease in facilities and infrastructure costs, The increase in labor and personnel costs was due to an increase in stock compensation cost, salary and related benefit costs, incentive cost and severance and retention costs. The increase in travel cost was primarily due to the reinstatement of non-revenue producing travel during fiscal 2012. The decrease in outside services was primarily due to a non-recurring strategic consulting service incurred in the quarter ended June 30, 2011. The decrease in equipment depreciation cost was mainly due to timing of fixed assets placed in service. The decrease in facilities and infrastructure costs was attributable primarily to a decline in allocated costs resulting from the continued company-wide effort to reduce overhead costs.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year-to-date period over period increase of $4.8 million in selling, general and administrative expenses was attributable to a $7.4 million increase in labor and personnel costs, a $1.7 million increase in marketing expenses and a $0.4 million increase in other costs, partially offset by a $2.4 million decrease in facilities and infrastructure costs, a $1.2 million decrease in outside services cost and a $1.1 million decrease in equipment depreciation cost. The increase in labor and personnel costs was due to an increase in stock compensation cost, salary and related benefit costs, incentive cost and severance and retention costs. The increase in marketing expenses was due to a company marketing event held during the first nine months of fiscal 2012, partially offset by a reduction in marketing programs in areas that were not producing the anticipated sales results. The decrease in facilities and infrastructure costs was attributable primarily to a decline in allocated costs resulting from the continued company-wide effort to reduce overhead costs. The decrease in outside services was due to a non-recurring strategic consulting service incurred in the first nine months of fiscal 2011. The decrease in equipment depreciation cost was mainly due to timing of fixed assets placed in service. Selling, general and administrative expenses as a percentage of revenues was 36% during the nine months ended June 30, 2012, consistent with the nine months ended June 30, 2011.</w:t>
      </w:r>
    </w:p>
    <w:p>
      <w:pPr>
        <w:spacing w:after="0" w:line="12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Over the next several quarters, we expect that selling, general and administrative expenses as a percentage of revenues will be consistent with those incurred during the quarter ended June 30, 2012.</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Amortization of intangible assets consists of amortization expense related to intangible assets recorded in connection with acquisitions accounted for by the purchase method of accounting. Our definite-lived intangible assets, consisting primarily of completed technology and customer contracts and relationships, are being amortized using the straight-line method or based on forecasted cash flows associated with the assets over periods ranging from four to fifteen years.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quarter over quarter decrease in amortization expense of $0.5 million was attributable to certain intangible assets associated with our Dash acquisition becoming fully amortized in January 2012, partially offset by the addition of intangible assets associated with our Entiera acquisition in May 2012.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year-to-date period over period decrease in amortization expense of $0.9 million was attributable to certain intangible assets associated with our Dash acquisition becoming fully amortized in January 2012, partially offset by addition of intangible assets associated with our Entiera acquisition in May 2012.</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next several quarters we expect that amortization expense will be consistent with or slightly lower than the amortization expense we recorded during the quarter ended June 30, 2012 due to certain intangible assets related to our Dash and London Bridge acquisitions becoming fully amortized during fiscal 2013.</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charges during the three and nine months ended June 30, 2012.</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restructuring charges during the quarter ended June 30, 2011. During the nine months ended June 30, 2011, we incurred net charges totaling $12.4 million consisting of severance costs and costs for vacating excess leased space.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Interest income is derived primarily from the investment of funds in excess of our immediate operating requirements. The quarter over quarter decrease in interest income of $1.8 million was primarily attributable to interest received on tax refunds during the quarter ended June 30, 2011.</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year-to-date period over period decrease in interest income of $1.8 million was primarily attributable to interest received on tax refunds during the nine months ended June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 the next several quarters we expect that interest income will be consistent with the interest income we recorded during the quarter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quarter over quarter decrease in interest expense of $0.1 million was attributable to an $8.0 million principal payment in both May 2011 and May 2012 on the Senior Notes issued in May 2008 resulting in a lower average debt balance for the quarter ended June 30, 2012.</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year-to-date period over period decrease in interest expense of $0.5 million was attributable to an $8.0 million principal payment in both May 2011 and May 2012 on the Senior Notes issued in May 2008 resulting in a lower average debt balance for the nine months ended June 30, 2012, as well as a decline in credit facility fees as a result of the company lowering the revolving line of credit in the second half of fiscal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 the next several quarters we expect that interest expense will be consistent with levels recorded during the quarter ended June 30, 2012.</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Other income (expense), net consists primarily of realized investment gains/losses, exchange rate gains/losses resulting from re-measurement of foreign-denominated receivable and cash balances into the U.S. dollar functional currency at period-end market rates, net of the impact of offsetting forward exchange contracts, and other non-operating items.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$0.3 million quarter over quarter increase in other income (expense), net was primarily attributable to a higher dividend income during the quarter ended June 30, 2012.</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$0.7 million year-to-date period over period decrease in other income (expense), net was primarily attributable to a one-time vendor termination fee, as well as increased foreign currency losses during the nine months ended June 30,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income tax rate was 31.4% and 27.4% during the quarters ended June 30, 2012 and 2011, respectively, and 31.7% and 27.1% during the nine months ended June 30, 2012 and 2011, respectively. The provision for income taxes during interim quarterly reporting periods is based on our estimates of the effective tax rates for the respective full fiscal year. The effective tax rate in any quarter can be affected positively or negatively by adjustments that are required to be reported in the specific quarter of resolution. The increase in our effective tax rate year over year was due to the recognition of the 2010 extension of Federal Research and Development credit during fiscal 2011, the expiration of the Federal Research and Development credit during fiscal 2012, and the expiration of a foreign tax holiday. In addition, there was a one-time tax cost for entity restructuring in the first nine months of fiscal 2012. The increases were partially offset by higher earnings from international entities with lower effective tax rates.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summary information on a segment basis related to our operating income for the fiscal periods indicated.</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Quarter Ended June 30,</w:t>
            </w:r>
          </w:p>
        </w:tc>
        <w:tc>
          <w:tcPr>
            <w:tcW w:w="1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5"/>
              </w:rPr>
              <w:t>Period-to-Period</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6"/>
        </w:trPr>
        <w:tc>
          <w:tcPr>
            <w:tcW w:w="4920" w:type="dxa"/>
            <w:vAlign w:val="bottom"/>
            <w:gridSpan w:val="3"/>
            <w:vMerge w:val="continue"/>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right"/>
              <w:ind w:right="980"/>
              <w:spacing w:after="0" w:line="129" w:lineRule="exact"/>
              <w:rPr>
                <w:sz w:val="20"/>
                <w:szCs w:val="20"/>
                <w:color w:val="auto"/>
              </w:rPr>
            </w:pPr>
            <w:r>
              <w:rPr>
                <w:rFonts w:ascii="Arial" w:cs="Arial" w:eastAsia="Arial" w:hAnsi="Arial"/>
                <w:sz w:val="14"/>
                <w:szCs w:val="14"/>
                <w:b w:val="1"/>
                <w:bCs w:val="1"/>
                <w:color w:val="auto"/>
                <w:w w:val="93"/>
              </w:rPr>
              <w:t>Change</w:t>
            </w: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144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$ 28,358</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27,647</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Scores</w:t>
            </w:r>
          </w:p>
        </w:tc>
        <w:tc>
          <w:tcPr>
            <w:tcW w:w="660" w:type="dxa"/>
            <w:vAlign w:val="bottom"/>
          </w:tcPr>
          <w:p>
            <w:pPr>
              <w:jc w:val="right"/>
              <w:spacing w:after="0"/>
              <w:rPr>
                <w:sz w:val="20"/>
                <w:szCs w:val="20"/>
                <w:color w:val="auto"/>
              </w:rPr>
            </w:pPr>
            <w:r>
              <w:rPr>
                <w:rFonts w:ascii="Arial" w:cs="Arial" w:eastAsia="Arial" w:hAnsi="Arial"/>
                <w:sz w:val="18"/>
                <w:szCs w:val="18"/>
                <w:color w:val="auto"/>
              </w:rPr>
              <w:t>29,099</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30,054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(955)</w:t>
            </w:r>
          </w:p>
        </w:tc>
        <w:tc>
          <w:tcPr>
            <w:tcW w:w="6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Tools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2,890</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(19,188)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(18,352)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6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42,905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Unallocated 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(6,082)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(2,525)</w:t>
            </w:r>
          </w:p>
        </w:tc>
        <w:tc>
          <w:tcPr>
            <w:tcW w:w="6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(238)</w:t>
            </w:r>
          </w:p>
        </w:tc>
        <w:tc>
          <w:tcPr>
            <w:tcW w:w="640" w:type="dxa"/>
            <w:vAlign w:val="bottom"/>
          </w:tcPr>
          <w:p>
            <w:pPr>
              <w:spacing w:after="0" w:line="20" w:lineRule="exact"/>
              <w:rPr>
                <w:sz w:val="1"/>
                <w:szCs w:val="1"/>
                <w:color w:val="auto"/>
              </w:rPr>
            </w:pP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1"/>
        </w:trPr>
        <w:tc>
          <w:tcPr>
            <w:tcW w:w="4920" w:type="dxa"/>
            <w:vAlign w:val="bottom"/>
            <w:gridSpan w:val="3"/>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$ 37,168</w:t>
            </w: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37,406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26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7"/>
              </w:rPr>
              <w:t>Nine Months Ended June 30,</w:t>
            </w:r>
          </w:p>
        </w:tc>
        <w:tc>
          <w:tcPr>
            <w:tcW w:w="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Period-to-Period</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6"/>
        </w:trPr>
        <w:tc>
          <w:tcPr>
            <w:tcW w:w="4920" w:type="dxa"/>
            <w:vAlign w:val="bottom"/>
            <w:gridSpan w:val="3"/>
            <w:vMerge w:val="continue"/>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right"/>
              <w:ind w:right="900"/>
              <w:spacing w:after="0" w:line="129" w:lineRule="exact"/>
              <w:rPr>
                <w:sz w:val="20"/>
                <w:szCs w:val="20"/>
                <w:color w:val="auto"/>
              </w:rPr>
            </w:pPr>
            <w:r>
              <w:rPr>
                <w:rFonts w:ascii="Arial" w:cs="Arial" w:eastAsia="Arial" w:hAnsi="Arial"/>
                <w:sz w:val="14"/>
                <w:szCs w:val="14"/>
                <w:b w:val="1"/>
                <w:bCs w:val="1"/>
                <w:color w:val="auto"/>
              </w:rPr>
              <w:t>Change</w:t>
            </w: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212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94,585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74,470</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Scores</w:t>
            </w:r>
          </w:p>
        </w:tc>
        <w:tc>
          <w:tcPr>
            <w:tcW w:w="660" w:type="dxa"/>
            <w:vAlign w:val="bottom"/>
          </w:tcPr>
          <w:p>
            <w:pPr>
              <w:jc w:val="right"/>
              <w:spacing w:after="0"/>
              <w:rPr>
                <w:sz w:val="20"/>
                <w:szCs w:val="20"/>
                <w:color w:val="auto"/>
              </w:rPr>
            </w:pPr>
            <w:r>
              <w:rPr>
                <w:rFonts w:ascii="Arial" w:cs="Arial" w:eastAsia="Arial" w:hAnsi="Arial"/>
                <w:sz w:val="18"/>
                <w:szCs w:val="18"/>
                <w:color w:val="auto"/>
              </w:rPr>
              <w:t>89,668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81,316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8,352</w:t>
            </w:r>
          </w:p>
        </w:tc>
        <w:tc>
          <w:tcPr>
            <w:tcW w:w="6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Tools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(49,557)</w:t>
            </w:r>
          </w:p>
        </w:tc>
        <w:tc>
          <w:tcPr>
            <w:tcW w:w="8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(48,412)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(1,145)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147,787</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116,191</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31,596</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Unallocated share-based compensation</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(15,466)</w:t>
            </w:r>
          </w:p>
        </w:tc>
        <w:tc>
          <w:tcPr>
            <w:tcW w:w="8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(11,762)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(3,704)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(4,885)</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(5,804)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Unallocated restructuring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(12,391)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6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43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$ 127,436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41,202</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0" w:type="dxa"/>
            <w:vAlign w:val="bottom"/>
          </w:tcPr>
          <w:p>
            <w:pPr>
              <w:spacing w:after="0"/>
              <w:rPr>
                <w:sz w:val="24"/>
                <w:szCs w:val="24"/>
                <w:color w:val="auto"/>
              </w:rPr>
            </w:pPr>
          </w:p>
        </w:tc>
        <w:tc>
          <w:tcPr>
            <w:tcW w:w="476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Applications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Arial" w:cs="Arial" w:eastAsia="Arial" w:hAnsi="Arial"/>
                <w:sz w:val="14"/>
                <w:szCs w:val="14"/>
                <w:b w:val="1"/>
                <w:bCs w:val="1"/>
                <w:color w:val="auto"/>
              </w:rPr>
              <w:t>Percentage of</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8"/>
              </w:rPr>
              <w:t>Nine Months Ended</w:t>
            </w: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3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3"/>
              </w:rPr>
              <w:t>Revenues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left="247"/>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9"/>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$ 98,322</w:t>
            </w: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$ 92,060</w:t>
            </w: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3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3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$ 304,672</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4"/>
              </w:rPr>
              <w:t>$ 285,632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expense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(69,964)</w:t>
            </w: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(64,413)</w:t>
            </w:r>
          </w:p>
        </w:tc>
        <w:tc>
          <w:tcPr>
            <w:tcW w:w="160" w:type="dxa"/>
            <w:vAlign w:val="bottom"/>
          </w:tcPr>
          <w:p>
            <w:pPr>
              <w:spacing w:after="0"/>
              <w:rPr>
                <w:sz w:val="18"/>
                <w:szCs w:val="18"/>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(71)%</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(70)%</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(210,087)</w:t>
            </w:r>
          </w:p>
        </w:tc>
        <w:tc>
          <w:tcPr>
            <w:tcW w:w="140" w:type="dxa"/>
            <w:vAlign w:val="bottom"/>
          </w:tcPr>
          <w:p>
            <w:pPr>
              <w:spacing w:after="0"/>
              <w:rPr>
                <w:sz w:val="18"/>
                <w:szCs w:val="18"/>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(211,162)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$ 28,358</w:t>
            </w: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$ 27,647</w:t>
            </w: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94,585</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74,470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2"/>
            <w:vMerge w:val="restart"/>
          </w:tcPr>
          <w:p>
            <w:pPr>
              <w:ind w:left="440"/>
              <w:spacing w:after="0"/>
              <w:rPr>
                <w:sz w:val="20"/>
                <w:szCs w:val="20"/>
                <w:color w:val="auto"/>
              </w:rPr>
            </w:pPr>
            <w:r>
              <w:rPr>
                <w:rFonts w:ascii="Arial" w:cs="Arial" w:eastAsia="Arial" w:hAnsi="Arial"/>
                <w:sz w:val="18"/>
                <w:szCs w:val="18"/>
                <w:b w:val="1"/>
                <w:bCs w:val="1"/>
                <w:i w:val="1"/>
                <w:iCs w:val="1"/>
                <w:color w:val="auto"/>
              </w:rPr>
              <w:t>Scores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24"/>
                <w:szCs w:val="24"/>
                <w:color w:val="auto"/>
              </w:rPr>
            </w:pPr>
          </w:p>
        </w:tc>
        <w:tc>
          <w:tcPr>
            <w:tcW w:w="13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4"/>
              </w:rPr>
              <w:t>Revenues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left="367"/>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0"/>
              </w:rPr>
              <w:t>2012</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6"/>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$ 41,920</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$ 41,793</w:t>
            </w: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$128,887</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$123,568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expense</w:t>
            </w:r>
          </w:p>
        </w:tc>
        <w:tc>
          <w:tcPr>
            <w:tcW w:w="1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(12,821)</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(11,739)</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(31)%</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(39,219)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(42,252)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$ 29,099</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$ 30,054</w:t>
            </w: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89,668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81,316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2"/>
            <w:vMerge w:val="restart"/>
          </w:tcPr>
          <w:p>
            <w:pPr>
              <w:ind w:left="440"/>
              <w:spacing w:after="0"/>
              <w:rPr>
                <w:sz w:val="20"/>
                <w:szCs w:val="20"/>
                <w:color w:val="auto"/>
              </w:rPr>
            </w:pPr>
            <w:r>
              <w:rPr>
                <w:rFonts w:ascii="Arial" w:cs="Arial" w:eastAsia="Arial" w:hAnsi="Arial"/>
                <w:sz w:val="18"/>
                <w:szCs w:val="18"/>
                <w:b w:val="1"/>
                <w:bCs w:val="1"/>
                <w:i w:val="1"/>
                <w:iCs w:val="1"/>
                <w:color w:val="auto"/>
              </w:rPr>
              <w:t>Tools</w:t>
            </w: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24"/>
                <w:szCs w:val="24"/>
                <w:color w:val="auto"/>
              </w:rPr>
            </w:pPr>
          </w:p>
        </w:tc>
        <w:tc>
          <w:tcPr>
            <w:tcW w:w="130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7"/>
              </w:rPr>
              <w:t>Percentage of</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Revenues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left="407"/>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$ 20,236</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$ 16,826</w:t>
            </w: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96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1"/>
              </w:rPr>
              <w:t>$ 56,789</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$ 50,234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expense</w:t>
            </w: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(13,790)</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(13,270)</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(68)%</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(43,698)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(41,417)</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6,446</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3,556</w:t>
            </w: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96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1"/>
              </w:rPr>
              <w:t>$ 13,091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quarter over quarter $0.2 million decrease in operating income was primarily attributable to a $7.2 million increase in segment expenses, a $2.5 million increase in share based compensation, a $0.8 million increase in unallocated corporate expenses, partially offset by a $9.8 million increase in segment revenues.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the segment level, the quarter over quarter $1.8 million increase in segment operating income was driven by a $2.9 million increase in our Tools segment and a $0.7 million increase in our Applications segment, partially offset by a $1.0 million decrease in our Scores segment and a $0.8 million increase in unallocated corporate operating expenses.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The increase in Applications segment operating income was attributable to a $6.3 million increase in segment revenue partially offset by a $5.6 million increase in segment operating expenses. The increase in segment revenue consisted of a $3.0 million increase in </w:t>
      </w:r>
      <w:r>
        <w:rPr>
          <w:rFonts w:ascii="Arial" w:cs="Arial" w:eastAsia="Arial" w:hAnsi="Arial"/>
          <w:sz w:val="16"/>
          <w:szCs w:val="16"/>
          <w:i w:val="1"/>
          <w:iCs w:val="1"/>
          <w:color w:val="auto"/>
        </w:rPr>
        <w:t>customer management solutions</w:t>
      </w:r>
      <w:r>
        <w:rPr>
          <w:rFonts w:ascii="Arial" w:cs="Arial" w:eastAsia="Arial" w:hAnsi="Arial"/>
          <w:sz w:val="16"/>
          <w:szCs w:val="16"/>
          <w:color w:val="auto"/>
        </w:rPr>
        <w:t xml:space="preserve">, a $1.0 million increase in </w:t>
      </w:r>
      <w:r>
        <w:rPr>
          <w:rFonts w:ascii="Arial" w:cs="Arial" w:eastAsia="Arial" w:hAnsi="Arial"/>
          <w:sz w:val="16"/>
          <w:szCs w:val="16"/>
          <w:i w:val="1"/>
          <w:iCs w:val="1"/>
          <w:color w:val="auto"/>
        </w:rPr>
        <w:t>collections and recovery solutions</w:t>
      </w:r>
      <w:r>
        <w:rPr>
          <w:rFonts w:ascii="Arial" w:cs="Arial" w:eastAsia="Arial" w:hAnsi="Arial"/>
          <w:sz w:val="16"/>
          <w:szCs w:val="16"/>
          <w:color w:val="auto"/>
        </w:rPr>
        <w:t xml:space="preserve">, a $0.8 million increase in both </w:t>
      </w:r>
      <w:r>
        <w:rPr>
          <w:rFonts w:ascii="Arial" w:cs="Arial" w:eastAsia="Arial" w:hAnsi="Arial"/>
          <w:sz w:val="16"/>
          <w:szCs w:val="16"/>
          <w:i w:val="1"/>
          <w:iCs w:val="1"/>
          <w:color w:val="auto"/>
        </w:rPr>
        <w:t>originations solutions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fraud solutions</w:t>
      </w:r>
      <w:r>
        <w:rPr>
          <w:rFonts w:ascii="Arial" w:cs="Arial" w:eastAsia="Arial" w:hAnsi="Arial"/>
          <w:sz w:val="16"/>
          <w:szCs w:val="16"/>
          <w:color w:val="auto"/>
        </w:rPr>
        <w:t xml:space="preserve">, and a $0.7 million in </w:t>
      </w:r>
      <w:r>
        <w:rPr>
          <w:rFonts w:ascii="Arial" w:cs="Arial" w:eastAsia="Arial" w:hAnsi="Arial"/>
          <w:sz w:val="16"/>
          <w:szCs w:val="16"/>
          <w:i w:val="1"/>
          <w:iCs w:val="1"/>
          <w:color w:val="auto"/>
        </w:rPr>
        <w:t>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solutions</w:t>
      </w:r>
      <w:r>
        <w:rPr>
          <w:rFonts w:ascii="Arial" w:cs="Arial" w:eastAsia="Arial" w:hAnsi="Arial"/>
          <w:sz w:val="16"/>
          <w:szCs w:val="16"/>
          <w:color w:val="auto"/>
        </w:rPr>
        <w:t>. The increase in segment operating expenses was mainly attributable to increased labor cost as a result of increased consulting services activities,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direct materials cost as a result of higher license and transactional revenues.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decrease in Scores segment operating income was attributable to a $1.1 million increase in segment operating expenses, partially offset by $0.1 million increase in segment revenue.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6"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Tools segment operating income was attributable to a $3.4 million increase in segment revenue partially offset by a $0.5 million increase in segment operating expenses. The increase in segment revenues was primarily driven by a $2.1 million increase in license revenue and a $1.3 million increase in services revenue, both related to our Blaze Advisor and Xpress Optimization products. Segment operating income as a percentage of segment revenue for Tools increased from 21% to 32% mainly due to increased sales of higher margin software products.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year-to-date period over period $41.2 million increase in operating income was primarily attributable to a $30.9 million increase in segment revenues, a $12.4 million decrease in restructuring expense, a $1.8 million decrease in segment operating expenses, partially offset by a $3.7 million increase in share-based compensation expense and a $1.1 increase in unallocated corporate expenses.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the segment level, the $31.6 million increase in segment operating income was driven by a $20.1 million increase in our Applications segment, an $8.3 million increase in our Scores segment, a $4.3 million increase in our Tools segment, partially offset by a $1.1 million increase in unallocated corporate operating expenses.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increase in Applications segment operating income was attributable to a $19.0 million increase in segment revenue primarily due to two large multi-year license transactions and a $1.1 million decrease in segment operating expenses. Segment operating income as a percentage of segment revenue for Applications increased from 26% to 31% mainly due to increased sales of higher margin software products.</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increase in Scores segment operating income was attributable to a $5.3 million increase in segment revenue, primarily attributable to an increase in Credit Bureau Risk Scores driven by a large non-recurring project conducted by a major customer utilizing historical Credit Bureau Risk Scores, and a $3.0 million decrease in segment operating expenses, driven by a decrease in digital marketing and third party data costs.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increase in Tools segment operating income was attributable primarily to a $6.6 million increase in segment revenue partially offset by a $2.3 million increase in segment operating expenses. The increase in segment revenue was primarily due to an increase of services and software revenues related to our Blaze Advisor and Xpress Optimization products. Segment operating income as a percentage of segment revenue for Tools increased from 18% to 23% mainly due to increased sales of higher margin software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Outlook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2012 we had $155.7 million in cash, cash equivalents and marketable security investments. We believe these balances, as well as available borrowings from our $200 million revolving line of credit and anticipated cash flows from operating activities, will be sufficient to fund our working and other capital requirements as well as the $49.0 million principal payment due in May 2013 on our Senior Notes issued in May 2008. Under our current financing arrangements we have no other significant debt obligations maturing over the next twelve months. In the normal course of business, we evaluate the merits of acquiring technology or businesses, or establishing strategic relationships with or investing in these businesses. We may elect to use available cash and cash equivalents and marketable security investments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0"/>
              </w:rPr>
              <w:t>Nine Months Ended June 30,</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by/(used 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106,408</w:t>
            </w:r>
          </w:p>
        </w:tc>
        <w:tc>
          <w:tcPr>
            <w:tcW w:w="2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(57,734)</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(157,156)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(54,936)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(17,071)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primary method for funding operations and growth has been through cash flows generated from operating activities. Net cash provided by operating activities increased $1.3 million to $106.4 million during the nine months ended June 30, 2012 from $105.1 million during the nine months ended June 30, 2011. The increase was attributable to higher net income for the nine months ended June 30, 2012 partially offset by a $22.2 million decrease caused by the timing of receipts and payments in our ordinary course of business, including an $18.4 million decrease from timing of cash receipts on accounts receivable.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Net cash provided by investing activities totaled $35.6 million during the nine months ended June 30, 2012 compared to net cash used in investing activities of $57.7 million during the nine months ended June 30, 2011. The change in cash flows from investing activities was primarily attributable to $73.6 million of proceeds from sales and maturities of marketable securities, net of purchases, for the nine months ended June 30, 2012 compared to $49.5 million of cash used in purchases of marketable securities, net of sales and maturities, during the nine months ended June 30, 2011. The increase was partially offset by $18.2 million cash used for the acquisition of Entiera and an $11.3 million increase in purchases of property and equipment during the nine months ended June 30, 2012.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cash used in financing activities increased $102.3 million to $157.2 million during the nine months ended June 30, 2012 from $54.9 million during the nine months ended June 30, 2011. The increase was primarily due to $191.1 million of common stock repurchased in the nine months ended June 30, 2012 versus $53.8 million of common stock repurchased in the nine months ended June 30, 2011, partially offset by a $31.7 million increase in cash generated from stock option exercises attributable to a higher average stock price for the first nine months of fiscal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2010, our Board of Directors approved a common stock repurchase program that allowed us to purchase shares of our common stock up to an aggregate cost of $250.0 million in the open market or through negotiated transactions. The June 2010 program was terminated in October 2011. On November 2, 2011, our Board of Directors approved an open-ended stock repurchase program to acquire shares of our common stock up to an aggregate cost of $150.0 million in the open market or through negotiated transactions. Pursuant to these programs during the three and nine months ended June 30, 2012 we repurchased 835,632 shares of our common stock for $34.0 million and 5,187,304 shares of our common stock for $184.3 million, respectively. As of June 30, 2012, we had $0.2 million remaining under the November 2011 authorization.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quarter ended June 30, 2012, we paid a quarterly dividend of two cents per common share, which is representative of the eight cents per year dividend we have paid in recent years.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a $200 million unsecured revolving line of credit with a syndicate of banks that expires on September 28, 2016. Proceeds from the credit facility can be used for working capital and general corporate purposes and may also be used for the refinancing of existing debt, acquisitions, and the repurchase of the Company’s common stock. Interest on amounts borrowed under the credit facility is based on (i) a base rate, which is the greater of (a) the prime rate and (b) the Federal Funds rate plus 0.50% or (ii) LIBOR plus an applicable margin. The margin on LIBOR borrowings ranges from 1.000% to 1.625% and is determined based on our consolidated leverage ratio. In addition, we must pay utilization fees if borrowings and commitments under the credit facility exceed 50% of the total credit facility commitment, as well as facility fees. The credit facility contains certain restrictive covenants including maintaining a maximum consolidated leverage ratio of 3.0 and a minimum fixed charge ratio of 2.5, and also contains other covenants typical of unsecured facilities. As of June 30, 2012, we had no borrowings outstanding under the credit facility and were in compliance with all financial covenants.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2008, we issued $275 million of Senior Notes in a private placement to a group of institutional investors. These Senior Notes’ weighted average interest rate is 6.8% and the weighted average maturity is 7.9 years. On July 14, 2010, we issued $245 million of Senior Notes in a private placement to a group of institutional investors. These Senior Notes have a weighted average interest rate of 5.2% and a weighted average maturity of 8.0 years. All of the Senior Notes are subject to certain restrictive covenants that are substantially similar to those in the credit agreement for the revolving credit facility, including maintenance of consolidated leverage and fixed charge coverage ratios. The purchase agreements for the Senior Notes also include covenants typical of unsecured facilities. As of June 30, 2012 we were in compliance with all financial covenants under these purchase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the allowance for doubtful accounts,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Software license fee revenue is recognized when persuasive evidence of an arrangement exists, software is made available to our customers, the fee is fixed or determinable and collection is probable. The determination of whether fees are fixed or determinable and collection is probable involves the use of judgment. If at the outset of an arrangement we determine that the arrangement fee is not fixed or determinable, revenue is deferred until the arrangement fee becomes fixed or determinable, assuming all other revenue recognition criteria have been met. If at the outset of an arrangement we determine that collectability is not probable, revenue is deferred until the earlier of when collectability becomes probable or the receipt of payment. If there is uncertainty as to the customer’s acceptance of our deliverables, revenue is not recognized until the earlier of receipt of customer acceptance, expiration of the acceptance period, or when we can demonstrate we meet the acceptance criteria. We evaluate contract terms and customer information to ensure that these criteria are met prior to our recognition of license fee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use the residual method to recognize revenue when a software arrangement includes one or more elements to be delivered at a future date provided the following criteria are met: (i) vendor-specific objective evidence (“VSOE”) of the fair value does not exist for one or more of the delivered items but exists for all undelivered elements, (ii) all other applicable revenue recognition criteria are met and (iii) the fair value of all of the undelivered elements is less than the arrangement fee. VSOE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Changes to the elements in a software arrangement, the ability to identify VSOE for those elements, the fair value of the respective elements, and change to a product’s estimated life cycle could materially impact the amount of earned and unearned revenue.</w:t>
      </w:r>
    </w:p>
    <w:p>
      <w:pPr>
        <w:spacing w:after="0" w:line="12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When software licenses are sold together with implementation or consulting services, license fees are recognized upon delivery provided that the above criteria are met, payment of the license fees is not dependent upon the performance of the services, and the services do not provide significant customization or modification of the software products and are not essential to the functionality of the software that was delivered. For arrangements with services that are essential to the functionality of the software, the license and related service revenues are recognized using contract accounting as described below.</w:t>
      </w:r>
    </w:p>
    <w:p>
      <w:pPr>
        <w:spacing w:after="0" w:line="9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Transactional-based Revenues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Transactional-based revenue is recognized when persuasive evidence of an arrangement exists, fees are fixed or determinable, and collection is reasonably assured. Revenues from our credit scoring, data processing, data management and internet delivery services are recognized as these services are performed. Revenues from transactional or unit-based license fees under software license arrangements, network service and internally-hosted software agreements are recognized based on minimum contractual amounts or on system usage that exceeds minimum contractual amounts. Certain of our transactional-based revenues are based on transaction or active account volumes as reported by our clients. In instances where volumes are reported to us in arrears, we estimate volumes based on preliminary customer transaction information or average actual reported volumes for an immediate trailing period. Differences between our estimates and actual final volumes reported are recorded in the period in which actual volumes are reported. We have not experienced significant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is received, and this could have a material impact on our consolidated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provide consulting, training, model development and software integration services under both hourly-based time and materials and fixed-priced contracts. When consulting services qualify for separate accounting, revenues from these services are generally recognized as the services are performed. For fixed-price service contracts, we use a proportionate performance model with hours as the input method of attribution to determine progress towards completion, with consideration also given to output measures, such as contract milestones, when applicable. In such instances, management is required to estimate the total estimated hours of the project.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defer the associated revenue until the contract is completed. If we are unable to accurately estimate the input measures, revenue would be deferred until the contract is complete, and this could have a material impact on our consolidated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Hosting Services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an application service provider (“ASP”), where we provide hosting services that allow customers access to software that resides on our servers. The ASP model typically includes an up-front fee and a monthly commitment from the customer that commences upon completion of the implementation through the remainder of the contractual term. The up-front fee is the initial setup fee, or the implementation fee. The monthly commitment includes, but is not limited to, a fixed monthly fee or a transactional fee based on system usage that exceeds monthly minimums. Revenue is recognized from ASP transactions when there is persuasive evidence of an arrangement, the service has been provided to the customer, the amount of fees is fixed or determinable and the collection of the Company’s fees is probable. We do not view the activities of signing the contract or providing initial setup services as discrete earnings events. Revenue is typically deferred until the date the customer commences use of our services, at which point the up-front fees are recognized ratably over the contractual term of the customer arrangement. ASP transactional fees are recorded monthly as earned.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Arrangements including Non-Software</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deliverable within a multiple-deliverable revenue arrangement is accounted for as a separate unit of accounting if the following criteria are met: (i) the delivered item or items have value to the customer on a standalone basis and (ii) for an arrangement that includes a general right of return relative to the delivered item(s), delivery or performance of the undelivered item(s) is considered probable and substantially in our control. We consider a deliverable to have standalone value if we sell this item separately or if the item is sold by another vendor or could be resold by the customer. Further, our revenue arrangements generally do not include a general right of return relative to delivered products. Revenue for multiple element arrangements is allocated to the software and non-software deliverables based on a relative selling price. We use VSOE in our allocation of arrangement consideration when it is available. We define VSOE as a median price of recent standalone transactions that are priced within a narrow range, as defined by us. If a product or service is seldom sold separately, it is unlikely that we can determine VSOE. In circumstances when VSOE does not exist, we then assess whether we can obtain third-party evidence (“TPE”) of the selling price. It may be difficult for us to obtain sufficient information on competitor pricing to substantiate TPE and therefore we may not always be able to use TPE. When we are unable to establish selling price using VSOE or TPE, we use estimated selling price (“ESP”) in its allocation of arrangement consideration. The objective of ESP is to determine the price at which we would transact if the product or service were sold by us on a standalone basis. Our determination of ESP involves weighting several factors based on the specific facts and circumstances of each arrangement. The factors include, but are not limited to, geographies, market conditions, gross margin objectives, pricing practices and controls, customer segment pricing strategies and the product lifecycle. We analyze selling prices used in our allocation of arrangement consideration on an annual basis, or more frequently if necessary. Selling prices will be analyzed more frequently if a significant change in our business necessitates a more timely analysis or if we experience significant variances in our selling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vs. Net Revenue Reporting</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apply accounting guidance to determine whether we report revenue for certain transactions based upon the gross amount billed to the customer, or the net amount retained by us. In accordance with the guidance we record revenue on a gross basis for sales in which we have acted as the principal and on a net basis for those sales in which we have in substance acted as an agent or broker in the transaction.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make estimates regarding the collectability of our accounts receivable. When we evaluate the adequacy of our allowance for doubtful accounts, we analyze specific accounts receivable balances, historical bad debts, customer creditworthiness, current economic trends and changes in our customer payment cycles.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might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Goodwill and Other Intangible Assets – Impairment Assessment</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Our business acquisitions typically result in the recognition of goodwill and other intangible assets, which affect the amount of current and future period charges and amortization expense. Goodwill represents the excess of the purchase price over the fair value of net assets acquired, including identified intangible assets, in connection with our business combinations. We amortize our definite-lived intangible assets based on forecasted cash flows associated with the assets over the estimated useful lives. Goodwill is not amortized, but is assessed at least annually for impairment.</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determination of the value of these components of a business combination, as well as associated asset useful lives, requires management to make various estimates and assumptions. Critical estimates in valuing certain of the intangible assets include but are not limited to: future expected cash flows from product sales and services, maintenance agreements, consulting contracts, customer contracts, and acquired developed technologies and patents or trademarks; the acquired company’s brand awareness and market position, as well as assumptions about the period of time the acquired products and services will continue to be used in our product portfolio; and discount rates. Management’s estimates of fair value and useful lives are based upon assumptions believed to be reasonable. Estimates using different assumptions, or unanticipated events and circumstances could produce significantly different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assess potential impairments to our intangible assets when there is evidence that events and circumstances related to our financial performance and economic environment indicate the carrying amount of the assets may not be recoverable. When impairment indicators are identified with respect to our previously recorded intangible assets with finite useful lives,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discounted cash flows. Should different conditions prevail, material write downs of net intangible assets and other long-lived assets could occur. We periodically review the estimated remaining useful lives of our acquired intangible assets. A reduction in our estimate of remaining useful lives, if any, could result in increased amortization expense in future periods.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test goodwill for impairment at the reporting unit levels, which we have determined are the same as our reportable segments, at least annually during the fourth quarter of each fiscal year. The timing and frequency of our goodwill impairment test is based on an ongoing assessment of events and circumstances that would be an indicator of potential impairment of a reporting unit, with the fair value below its carrying value. The first step of the goodwill impairment test is a comparison of the fair value of a reporting unit to its carrying value. We estimate the fair values of our reporting units using a weighted combination of discounted cash flow valuation model (known as the income approach) and a comparison of our reporting units to guideline publicly-traded companies (known as the market approach). These methods require estimates of our future revenues, profits, capital expenditures, working capital, costs of capital and other relevant factors, as well as selecting appropriate guideline publicly-traded companies for each reporting unit. We evaluate historical trends, current budgets, operating plans, industry data, and other relevant factors when estimating these amounts. The determination of an impairment loss,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key assumptions that require significant management judgment for the income approach include revenue growth rates and weighted average cost of capital. In our analysis, revenue growth rates were primarily based on third party studies of industry growth rates for each of our reporting units. Within each reporting unit, management refined these estimates based on their knowledge of the product, the needs of our customers and expected market opportunity. The weighted average cost of capital was determined based on publicly available data such as the long-term yield on U.S. treasury bonds, the expected rate of return on high quality bonds and the returns and betas of various equity instruments. As it relates to the market approach, there is less management judgment in determining the fair value of our reporting units other than selecting which guideline publicly-traded companies are included in our peer group.</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fourth quarter of fiscal 2011 we performed our annual goodwill impairment test. In step one of that test we compared the estimated fair value of each reporting unit to its carrying value. The estimated fair value of each of our reporting units exceeded its respective carrying value in fiscal 2011, indicating the underlying goodwill of each reporting unit was not impaired as of our most recent testing date. Accordingly, we were not required to complete the second step of the goodwill impairment test and recorded no goodwill impairment charges for the twelve months ended September 30, 2011.</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our fiscal 2011 goodwill impairment analysis, we concluded the estimated fair values of all of our reporting units substantially exceeded their carrying values. As discussed above, estimates of fair value for all of our reporting units can be affected by a variety of external and internal factors. We believe that the assumptions and estimates utilized were appropriate based on the information available to management. The timing and recognition of impairment losses by us in the future, if any, may be highly dependent upon our estimates and assumptions.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account for share-based compensation using the fair value recognition provisions as required in the accounting literature. We estimate the fair value of options granted using the Black-Scholes option valuation model. We estimate the volatility of our common stock at the date of grant based on a combination of the implied volatility of publicly traded options on our common stock and our historical volatility rate. Our decision to use implied volatility was based upon the availability of actively traded options on our common stock and our assessment that implied volatility is more representative of future stock price trends than historical volatility. We estimate the expected term of options granted based on historical exercise patterns. The dividend yield assumption is based on historical dividend payouts. The risk-free interest rate assumption is based on observed interest rates appropriate for the term of our employee options. We use historical data to estimate pre-vesting option forfeitures and record share-based compensation expense only for those awards that are expected to vest. For options granted, we amortize the fair value on a straight-line basis. All options are amortized over the requisite service periods of the awards, which are generally the vesting periods. If factors change we may decide to use different assumptions under the Black-Scholes option valuation model in the future, which could materially affect our share-based compensation expense, net income and earnings per share.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We use the asset and liability approach to account for income taxes. This methodology recognizes deferred tax assets and liabilities for the expected future tax consequences of temporary differences between the carrying amounts and the tax base of assets and liabilities and operating loss and tax credit carryforwards. We then record a valuation allowance to reduce deferred tax assets to an amount that more likely than not will be realized. We consider future taxable income and ongoing prudent and feasible tax planning strategies in assessing the need for the valuation allowance, which requires the use of estimates. If we determine during any period that we could realize a larger net deferred tax asset than the recorded amount, we would adjust the deferred tax asset to increase income for the period or reduce goodwill if such deferred tax asset relates to an acquisition. Conversely, if we determine that we would be unable to realize a portion of our recorded deferred tax asset, we would adjust the deferred tax asset to record a charge to income. To the extent an adjustment in our deferred tax assets relates to a business combination the adjustment is recorded either in income from continuing operations in the period of the combination or directly in contributed capital, depending on the circumstances. Although we believe that our estimates are reasonable, there is no assurance that our valuation allowance will not need to be increased to cover additional deferred tax assets that may not be realizable, and such an increase could have a material adverse impact on our income tax provision and results of operations in the period in which such determination is made. In addition, the calculation of tax liabilities also involves significant judgment in estimating the impact of uncertainties in the application of complex tax laws. Resolution of these uncertainties in a manner inconsistent with management’s expectations could also have a material impact on our income tax provision and consolidated results of operations in the period in which such determination is made.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subject to various proceedings, lawsuits and claims relating to products and services, technology, labor, shareholder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exposed to market risk related to changes in interest rates, equity market prices, and foreign currency exchange rates. We do not use derivative financial instruments for speculative or trading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Equity Market Price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an investment portfolio consisting mainly of income securities with an average maturity of three years or less. These available-for-sale securities are subject to interest rate risk and will fall in value if market interest rates increase. We have the ability to hold our fixed income investments until maturity, and therefore we would not expect our operating results or cash flows to be affected to any significant degree by the effect of a sudden change in market interest rates on our securities portfolio. The following table presents the principal amounts and related weighted-average yields for our investments with interest rate risk at June 30, 2012 and September 30,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2012</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 2011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9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Carrying</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1"/>
                <w:szCs w:val="11"/>
                <w:color w:val="auto"/>
              </w:rPr>
            </w:pPr>
          </w:p>
        </w:tc>
      </w:t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Cost Basis</w:t>
            </w:r>
          </w:p>
        </w:tc>
        <w:tc>
          <w:tcPr>
            <w:tcW w:w="2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Yield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Cost Basis</w:t>
            </w:r>
          </w:p>
        </w:tc>
        <w:tc>
          <w:tcPr>
            <w:tcW w:w="3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Yield</w:t>
            </w:r>
          </w:p>
        </w:tc>
      </w:tr>
      <w:tr>
        <w:trPr>
          <w:trHeight w:val="142"/>
        </w:trPr>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$ 118,681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$ 118,681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$135,752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$135,752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32,029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32,022</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680" w:type="dxa"/>
            <w:vAlign w:val="bottom"/>
          </w:tcPr>
          <w:p>
            <w:pPr>
              <w:jc w:val="right"/>
              <w:spacing w:after="0"/>
              <w:rPr>
                <w:sz w:val="20"/>
                <w:szCs w:val="20"/>
                <w:color w:val="auto"/>
              </w:rPr>
            </w:pPr>
            <w:r>
              <w:rPr>
                <w:rFonts w:ascii="Arial" w:cs="Arial" w:eastAsia="Arial" w:hAnsi="Arial"/>
                <w:sz w:val="18"/>
                <w:szCs w:val="18"/>
                <w:color w:val="auto"/>
              </w:rPr>
              <w:t>105,819</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105,826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r>
      <w:tr>
        <w:trPr>
          <w:trHeight w:val="27"/>
        </w:trPr>
        <w:tc>
          <w:tcPr>
            <w:tcW w:w="3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150,710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150,703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241,571</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241,578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0"/>
        </w:trPr>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2008, we issued $275 million of Senior Notes to a group of institutional investors in a private placement. In July 2010 we issued an additional $245 million of Senior Notes to a group of institutional investors in a private placement. The fair value of our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above, for additional information on the Senior Notes. The following table presents the principal amounts, carrying amounts, and fair values for our Senior Notes at June 30, 2012 and September 30,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September 30, 2011</w:t>
            </w:r>
          </w:p>
        </w:tc>
      </w:tr>
      <w:tr>
        <w:trPr>
          <w:trHeight w:val="129"/>
        </w:trPr>
        <w:tc>
          <w:tcPr>
            <w:tcW w:w="7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Amounts</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Principal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Amounts</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r>
      <w:tr>
        <w:trPr>
          <w:trHeight w:val="142"/>
        </w:trPr>
        <w:tc>
          <w:tcPr>
            <w:tcW w:w="7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1"/>
              </w:rPr>
              <w:t>May 2008</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$275 million Senior Notes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$259,000</w:t>
            </w: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$274,961</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$267,000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$267,000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$305,874</w:t>
            </w:r>
          </w:p>
        </w:tc>
        <w:tc>
          <w:tcPr>
            <w:tcW w:w="100" w:type="dxa"/>
            <w:vAlign w:val="bottom"/>
            <w:shd w:val="clear" w:color="auto" w:fill="CCEEFF"/>
          </w:tcPr>
          <w:p>
            <w:pPr>
              <w:spacing w:after="0"/>
              <w:rPr>
                <w:sz w:val="18"/>
                <w:szCs w:val="18"/>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w w:val="93"/>
              </w:rPr>
              <w:t>July 2010</w:t>
            </w:r>
          </w:p>
        </w:tc>
        <w:tc>
          <w:tcPr>
            <w:tcW w:w="5520" w:type="dxa"/>
            <w:vAlign w:val="bottom"/>
          </w:tcPr>
          <w:p>
            <w:pPr>
              <w:spacing w:after="0"/>
              <w:rPr>
                <w:sz w:val="20"/>
                <w:szCs w:val="20"/>
                <w:color w:val="auto"/>
              </w:rPr>
            </w:pPr>
            <w:r>
              <w:rPr>
                <w:rFonts w:ascii="Arial" w:cs="Arial" w:eastAsia="Arial" w:hAnsi="Arial"/>
                <w:sz w:val="18"/>
                <w:szCs w:val="18"/>
                <w:color w:val="auto"/>
              </w:rPr>
              <w:t>$245 million Senior Notes</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$245,000</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$245,000</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$242,271</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7"/>
              </w:rPr>
              <w:t>$245,000</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$245,000</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$266,620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interest rate risk with respect to our five-year $200 million unsecured revolving line of credit. Interest on amounts borrowed under the line of credit is based on (i) a base rate, which is the greater of (a) the prime rate and (b) the Federal Funds rate plus 0.50% or (ii) LIBOR plus an applicable margin. The margin on LIBOR borrowings ranges from 1.000% to 1.625% and is determined based on our consolidated leverage ratio. A change in interest rates on this variable rate debt impacts the interest incurred and cash flows, but does not impact the fair value of the instrument. We had no borrowings outstanding under the credit facility as of June 30,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Foreign Currency Contracts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maintain a program to manage our foreign currency exchange rate risk on existing foreign currency receivable and cash balances by entering into forward contracts to sell or buy foreign currency. At period end, foreign-denominated receivables and cash balances held by our U.S. reporting entities are remeasured into the U.S. dollar functional currency at current market rates. The change in value from this remeasurement is then reported as a foreign exchange gain or loss for that period in our accompanying consolidated statements of income and the resulting gain or loss on the forward contract mitigates the exchange rate risk of the associated assets. All of our forward foreign currency contracts have maturity periods of less than three months. Such derivative financial instruments are subject to market risk.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outstanding forward foreign currency contracts, by currency at June 30, 2012 and September 30, 2011: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720" w:type="dxa"/>
            <w:vAlign w:val="bottom"/>
            <w:tcBorders>
              <w:bottom w:val="single" w:sz="8" w:color="auto"/>
            </w:tcBorders>
            <w:gridSpan w:val="4"/>
          </w:tcPr>
          <w:p>
            <w:pPr>
              <w:ind w:left="640"/>
              <w:spacing w:after="0" w:line="142" w:lineRule="exact"/>
              <w:rPr>
                <w:sz w:val="20"/>
                <w:szCs w:val="20"/>
                <w:color w:val="auto"/>
              </w:rPr>
            </w:pPr>
            <w:r>
              <w:rPr>
                <w:rFonts w:ascii="Arial" w:cs="Arial" w:eastAsia="Arial" w:hAnsi="Arial"/>
                <w:sz w:val="14"/>
                <w:szCs w:val="14"/>
                <w:b w:val="1"/>
                <w:bCs w:val="1"/>
                <w:color w:val="auto"/>
                <w:w w:val="92"/>
              </w:rPr>
              <w:t>Contract Amount</w:t>
            </w:r>
          </w:p>
        </w:tc>
        <w:tc>
          <w:tcPr>
            <w:tcW w:w="58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129"/>
        </w:trPr>
        <w:tc>
          <w:tcPr>
            <w:tcW w:w="5980" w:type="dxa"/>
            <w:vAlign w:val="bottom"/>
          </w:tcPr>
          <w:p>
            <w:pPr>
              <w:spacing w:after="0"/>
              <w:rPr>
                <w:sz w:val="11"/>
                <w:szCs w:val="11"/>
                <w:color w:val="auto"/>
              </w:rPr>
            </w:pPr>
          </w:p>
        </w:tc>
        <w:tc>
          <w:tcPr>
            <w:tcW w:w="10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Foreign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r>
      <w:tr>
        <w:trPr>
          <w:trHeight w:val="142"/>
        </w:trPr>
        <w:tc>
          <w:tcPr>
            <w:tcW w:w="59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 foreign currency: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Canadian dollar (CAD)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CAD 2,350</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2,293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(EUR)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EUR 2,700</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23"/>
        </w:trPr>
        <w:tc>
          <w:tcPr>
            <w:tcW w:w="5980" w:type="dxa"/>
            <w:vAlign w:val="bottom"/>
          </w:tcPr>
          <w:p>
            <w:pPr>
              <w:spacing w:after="0"/>
              <w:rPr>
                <w:sz w:val="20"/>
                <w:szCs w:val="20"/>
                <w:color w:val="auto"/>
              </w:rPr>
            </w:pPr>
            <w:r>
              <w:rPr>
                <w:rFonts w:ascii="Arial" w:cs="Arial" w:eastAsia="Arial" w:hAnsi="Arial"/>
                <w:sz w:val="18"/>
                <w:szCs w:val="18"/>
                <w:color w:val="auto"/>
              </w:rPr>
              <w:t>Buy foreign currency: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British pound (GBP)</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GBP 4,121</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51"/>
        </w:trPr>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6"/>
              </w:rPr>
              <w:t>September 30, 2011</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720" w:type="dxa"/>
            <w:vAlign w:val="bottom"/>
            <w:gridSpan w:val="4"/>
          </w:tcPr>
          <w:p>
            <w:pPr>
              <w:ind w:left="640"/>
              <w:spacing w:after="0"/>
              <w:rPr>
                <w:sz w:val="20"/>
                <w:szCs w:val="20"/>
                <w:color w:val="auto"/>
              </w:rPr>
            </w:pPr>
            <w:r>
              <w:rPr>
                <w:rFonts w:ascii="Arial" w:cs="Arial" w:eastAsia="Arial" w:hAnsi="Arial"/>
                <w:sz w:val="14"/>
                <w:szCs w:val="14"/>
                <w:b w:val="1"/>
                <w:bCs w:val="1"/>
                <w:color w:val="auto"/>
                <w:w w:val="92"/>
              </w:rPr>
              <w:t>Contract Amount</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29"/>
        </w:trPr>
        <w:tc>
          <w:tcPr>
            <w:tcW w:w="598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Foreign</w:t>
            </w: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r>
      <w:tr>
        <w:trPr>
          <w:trHeight w:val="142"/>
        </w:trPr>
        <w:tc>
          <w:tcPr>
            <w:tcW w:w="59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 foreign currency: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Canadian dollar (CAD)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CAD 8,000</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7,663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(EUR)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EUR 4,830</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23"/>
        </w:trPr>
        <w:tc>
          <w:tcPr>
            <w:tcW w:w="5980" w:type="dxa"/>
            <w:vAlign w:val="bottom"/>
          </w:tcPr>
          <w:p>
            <w:pPr>
              <w:spacing w:after="0"/>
              <w:rPr>
                <w:sz w:val="20"/>
                <w:szCs w:val="20"/>
                <w:color w:val="auto"/>
              </w:rPr>
            </w:pPr>
            <w:r>
              <w:rPr>
                <w:rFonts w:ascii="Arial" w:cs="Arial" w:eastAsia="Arial" w:hAnsi="Arial"/>
                <w:sz w:val="18"/>
                <w:szCs w:val="18"/>
                <w:color w:val="auto"/>
              </w:rPr>
              <w:t>Buy foreign currency: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British pound (GBP)</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GBP 3,911</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forward foreign currency contracts were all entered into on June 30, 2012 and September 30, 2011, respectively; therefore, the fair value was $0 on each of those 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 13a-15(e)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 13a-15(d) of the Exchange Act that occurred during the period covered by this quarterly report and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have expanded the pursuit of our Decision Management strategy, and we may not be successful, which could cause our growth prospects and results of operations to suffer.</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expanded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The market may be unreceptive to this general DM business approach, including being unreceptive to purchasing multiple products from us or unreceptive to our customized solutions. If our DM strategy is not successful, we may not be able to grow our business, growth may occur more slowly than we anticipate or our revenues and profits may decline.</w:t>
      </w:r>
    </w:p>
    <w:p>
      <w:pPr>
        <w:spacing w:after="0" w:line="201"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management solutions and tools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9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growth and the success of our DM strategy depend upon our ability to develop and sell new products or suites of products.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40" w:right="120"/>
        <w:spacing w:after="0" w:line="306" w:lineRule="auto"/>
        <w:rPr>
          <w:sz w:val="20"/>
          <w:szCs w:val="20"/>
          <w:color w:val="auto"/>
        </w:rPr>
      </w:pPr>
      <w:r>
        <w:rPr>
          <w:rFonts w:ascii="Arial" w:cs="Arial" w:eastAsia="Arial" w:hAnsi="Arial"/>
          <w:sz w:val="16"/>
          <w:szCs w:val="16"/>
          <w:b w:val="1"/>
          <w:bCs w:val="1"/>
          <w:i w:val="1"/>
          <w:iCs w:val="1"/>
          <w:color w:val="auto"/>
        </w:rPr>
        <w:t>We rely on relatively few customers, as well as our contracts with the three major credit reporting agencies, for a significant portion of our revenues and profits. Certain of our large customers were negatively impacted by the recent financial crisis. If these customers continue to be negatively impacted, or if the terms of these relationships otherwise change, our revenues and operating results could decline.</w:t>
      </w:r>
    </w:p>
    <w:p>
      <w:pPr>
        <w:spacing w:after="0" w:line="2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Most of our customers are relatively large enterprises, such as banks, credit card processors, insurance companies, healthcare firms and retailers. As a result, many of our customers and potential customers are significantly larger than we are and may have sufficient bargaining power to demand reduced prices and favorable nonstandard terms.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since mid-2007, global financial markets have suffered substantial stress, volatility, illiquidity and disruption. The potential for increased and continuing economic disruption presents considerable risks to our business, including potential bankruptcies or credit deterioration of financial institutions with which we have substantial relationships. Such disruption would result in a continued decline in the volume of transactions that we execute for our customers.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derive a substantial portion of our revenues and operating income from our contracts with the three major credit reporting agencies, TransUnion, Equifax and Experian,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10"/>
          <w:szCs w:val="10"/>
          <w:color w:val="auto"/>
        </w:rPr>
        <w:t>®</w:t>
      </w:r>
      <w:r>
        <w:rPr>
          <w:rFonts w:ascii="Arial" w:cs="Arial" w:eastAsia="Arial" w:hAnsi="Arial"/>
          <w:sz w:val="16"/>
          <w:szCs w:val="16"/>
          <w:color w:val="auto"/>
        </w:rPr>
        <w:t xml:space="preserve"> offerings, the loss of or a significant change in a relationship with a major customer, the loss of or a significant change in a relationship with a significant third-party distributor or the delay of significant revenues from these sources, could have a material adverse effect on our revenues and results of operations.</w:t>
      </w:r>
    </w:p>
    <w:p>
      <w:pPr>
        <w:spacing w:after="0" w:line="197"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Most of our products rely on distributors, and we intend to continue to market and distribute our products through existing and future distributor relationships. Our Scores segment relies on, among others, TransUnion, Equifax and Experian. Failure of our existing and future distributors to generate significant revenues,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TransUnion, Equifax and Experian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do not engage in acquisition activity, we may be unable to increase our revenues at comparable market growth rates.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past revenue growth has been augmented by numerous acquisitions, and we anticipate that acquisitions may be an important part of our future revenue growth. We may be unable to increase our revenues if we do not make acquisitions of similar size and at a comparable rate as in the past.</w:t>
      </w:r>
    </w:p>
    <w:p>
      <w:pPr>
        <w:spacing w:after="0" w:line="16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If we engage in acquisitions, significant investments in new businesses, or divestitures of existing businesses, we will incur a variety of risks, any of which may adversely affect our business.</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have made in the past, and may make in the future, acquisitions of, or significant investments in, businesses that offer complementary products, services and technologies. Any acquisitions or investments will be accompanied by the risks commonly encountered in acquisitions of businesses, which may include:</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the financial and strategic goals for the acquired and combined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overpayment for the acquired companies or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assimilating the operations and personnel of the acquired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and other exposure associated with acquired businesses or the sale of their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dilution of our existing stockholders and 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integration of new management personnel.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also divested ourselves of businesses in the past and may do so again in the future. Any divestitures will be accompanied by the risks commonly encountered in the sale of businesses, which may include:</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risks could harm our business, financial condition or results of operations, particularly if they occur in the context of a significant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Acquisitions of businesses having a significant presence outside the U.S. will increase our exposure to the risks of conducting operations in international markets.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reengineering initiative may cause our growth prospects and profitability to suffer.</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part of our management approach, we implemented an ongoing reengineering initiative designed to grow revenues through strategic resource allocation and improve profitability through cost reductions. Our reengineering initiative may not be successful over the long term as a result of our failure to reduce expenses at the anticipated level, or a lower, or no, positive impact on revenues from strategic resource allocation. If our reengineering initiative is not successful over the long term, our revenues, results of operations and business may suffer.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dissatisfaction with, or problems caused by, the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large installations on schedule and within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addition, the financial markets have experienced significant price and volume fluctuations that have particularly affected the stock prices of many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technology companies and financial services companies, and these fluctuations sometimes have been unrelated to the operating performance of these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Broad market fluctuations, as well as industry-specific and general economic conditions may adversely affect the market price of our common stock.</w:t>
      </w:r>
    </w:p>
    <w:p>
      <w:pPr>
        <w:spacing w:after="0" w:line="1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Due to recent uncertainty in economic conditions and weakness in financial credit markets, the fair value of our businesses has declined. If difficult market and economic conditions continue over a sustained period, we may experience a further decline in the fair value of one or more of our businesses. Such further declines in fair value may require us to record an impairment charge related to goodwill, which could adversely affect our results of operations, stock price and business.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51"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licensing our products typically ranges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20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Large portions of our software license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customer service and technical support personnel to assist customers with product installation and deployment.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United States. Limitations imposed by immigration laws in the United States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 based incentive plans to attract and retain personnel, and may require us to use alternative and more expensive forms of compensation for this purpose.</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must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alliances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alliances, or if they decline to provide such data due to legal privacy concerns, competition concerns, prohibitions or a lack of permission from their customers, we could lose access to required data and our products, and the development of new products might become less effective. Third parties have asserted copyright interests in these data, and these assertions, if successful, could prevent us from using these data. Any interruption of our supply of data could seriously harm our business, financial condition or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will continue to rely upon proprietary technology rights, and if we are unable to protect them, our business could be harmed.</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United States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Breaches of security, or the perception that e-commerce is not secure, could harm our business.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business requires the appropriate and secure utilization of consumer and other sensitive information. Internet-based electronic commerce requires the secure transmission of confidential information over public networks, and several of our products are accessed through the Internet, including our consumer services accessible through the www.myfico.com website. Security breaches in connection with the delivery of our products and services, including products and services utilizing the Internet, or well-publicized security breaches, and the trend toward broad consumer and general public notification of such incidents, could significantly harm our business, financial condition or results of operations.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protecting the networks that access our net-sourced products, consumer services and proprietary database information.</w:t>
      </w:r>
    </w:p>
    <w:p>
      <w:pPr>
        <w:spacing w:after="0" w:line="22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Protection from system interruptions is important to our business. If we experience a sustained interruption of our telecommunication systems, it could harm our business.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Systems or network interruptions could delay and disrupt our ability to develop, deliver or maintain our products and services, causing harm to our business and reputation and resulting in loss of customers or revenue. These interruptions can include fires, floods, earthquakes, power losses, equipment failures and other events beyond our control.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significant share of the available market in portions of our Scores segment and for certain services in our Applications segment, specifically, the markets for account management services at credit card processors and credit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technology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3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52"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If our competitors introduce new products and pricing strategies, it could decrease our product sales and market share, or could pressure us to reduce our product prices in a manner that reduces our margins.</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may not be able to compete successfully against our competitors, and this inability could impair our capacity to sell our products. The market for business analytics is new, rapidly evolving and highly competitive, and we expect competition in this market to persist and intensify. Our regional and global competitors vary in size and in the scope of the products and services they offer, and include:</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enterprise resource planning (ERP) and customer relationship management (CRM) packaged solutions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process management solution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account/workflow management software providers;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to experience additional competition from other estblished and emerging companies, as well as from other technologies. For example, certain of our fraud solutions products compete against other methods of preventing credit card fraud, such as credit cards that contain the cardholder’s photograph, smart cards, cardholder verification and authentication solutions and other card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authorization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TransUnion, Equifax and Experian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07" w:lineRule="exact"/>
        <w:rPr>
          <w:sz w:val="20"/>
          <w:szCs w:val="20"/>
          <w:color w:val="auto"/>
        </w:rPr>
      </w:pPr>
    </w:p>
    <w:p>
      <w:pPr>
        <w:ind w:left="240" w:right="120"/>
        <w:spacing w:after="0" w:line="298" w:lineRule="auto"/>
        <w:rPr>
          <w:sz w:val="20"/>
          <w:szCs w:val="20"/>
          <w:color w:val="auto"/>
        </w:rPr>
      </w:pPr>
      <w:r>
        <w:rPr>
          <w:rFonts w:ascii="Arial" w:cs="Arial" w:eastAsia="Arial" w:hAnsi="Arial"/>
          <w:sz w:val="16"/>
          <w:szCs w:val="16"/>
          <w:b w:val="1"/>
          <w:bCs w:val="1"/>
          <w:i w:val="1"/>
          <w:iCs w:val="1"/>
          <w:color w:val="auto"/>
        </w:rPr>
        <w:t>Legislation that is enacted by the U.S. Congress, the states, Canadian provinces, and other countries, and government regulations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current products and services, it could adversely affect our business and results of operations.</w:t>
      </w:r>
    </w:p>
    <w:p>
      <w:pPr>
        <w:spacing w:after="0" w:line="11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Legislation and governmental regulation affect how our business is conducted and, in some cases, subject us to the possibility of governmental supervision and future lawsuits arising from our products and services. Globally, legislation and governmental regulation also influence our current and prospective customers’ activities, as well as their expectations and needs in relation to our products and services. Both our core businesses and our newer initiatives are affected globally by federal, regional, provincial, state and other jurisdictional regulations, including those in the following significant regulatory areas:</w:t>
      </w:r>
    </w:p>
    <w:p>
      <w:pPr>
        <w:spacing w:after="0" w:line="17" w:lineRule="exact"/>
        <w:rPr>
          <w:sz w:val="20"/>
          <w:szCs w:val="20"/>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Examples in the U.S. include the Fair Credit Reporting Act (“FCRA”), as amended by the Fair and Accurate Credit Transactions Act (“FACTA”);</w:t>
      </w:r>
    </w:p>
    <w:p>
      <w:pPr>
        <w:spacing w:after="0" w:line="50" w:lineRule="exact"/>
        <w:rPr>
          <w:rFonts w:ascii="Arial" w:cs="Arial" w:eastAsia="Arial" w:hAnsi="Arial"/>
          <w:sz w:val="18"/>
          <w:szCs w:val="18"/>
          <w:color w:val="auto"/>
        </w:rPr>
      </w:pPr>
    </w:p>
    <w:p>
      <w:pPr>
        <w:ind w:left="900" w:right="6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Laws and regulations that limit the use of credit scoring models such as state “mortgage trigger” laws, state “inquiries” laws, state insurance restrictions on the use of credit based insurance scores, and the Consumer Credit Directive in the European Union;</w:t>
      </w:r>
    </w:p>
    <w:p>
      <w:pPr>
        <w:spacing w:after="0" w:line="4"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Fair lending laws, such as the Truth In Lending Act ("TILA") and Regulation Z, as amended by the Credit Card Accountability Responsibility and Disclosure Act of 2009 (“Credit CARD Act of 2009”), and the Equal Credit Opportunity Act (“ECOA”) and Regulation B;</w:t>
      </w:r>
    </w:p>
    <w:p>
      <w:pPr>
        <w:spacing w:after="0" w:line="4" w:lineRule="exact"/>
        <w:rPr>
          <w:rFonts w:ascii="Arial" w:cs="Arial" w:eastAsia="Arial" w:hAnsi="Arial"/>
          <w:sz w:val="16"/>
          <w:szCs w:val="16"/>
          <w:color w:val="auto"/>
        </w:rPr>
      </w:pPr>
    </w:p>
    <w:p>
      <w:pPr>
        <w:ind w:left="900" w:right="160" w:hanging="325"/>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Privacy and security laws and regulations that limit the use and disclosure of personally identifiable information or require security procedures, including but not limited to the provisions of the Financial Services Modernization Act of 1999, also known as the Gramm Leach Bliley Act (“GLBA”); the Health Insurance Portability and Accountability Act of 1996 (“HIPAA”) as amended by the Health Information Technology for Economic and Clinical Health Act (“HITECH”); the Uniting and Strengthening America by Providing Appropriate Tools Required to Intercept and Obstruct Terrorism Act of 2001 (“USA Patriot Act”); identity theft, file freezing, security breach notification and similar state privacy laws;</w:t>
      </w:r>
    </w:p>
    <w:p>
      <w:pPr>
        <w:spacing w:after="0" w:line="3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nongovernmental VISA and MasterCard electronic payment standards;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Regulations applicable to secondary market participants such as Fannie Mae and Freddie Mac that could have an impact on our products;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laws and regulations applicable to our insurance clients and their use of our insurance products and services;</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laws governing the use of the Internet and telemarketing, advertising, endorsements and testimonials and credit repair;</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applicable to operations in other countries, for example, the European Union’s Privacy Directive and the Foreign Corrupt Practices Act;</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Sarbanes-Oxley Act (“SOX”) requirements to maintain and verify internal process controls, including controls for material event awareness and notification;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implementation of the Emergency Economic Stabilization Act of 2008 by federal regulators to manage the financial crisis in the United States;</w:t>
      </w:r>
    </w:p>
    <w:p>
      <w:pPr>
        <w:spacing w:after="0" w:line="113"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authority of, the Bureau of Consumer Financial Protection (“CFPB”);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making credit evaluations of consumers, or in performing fraud screening or user authentication, our customers are subject to requirements of multiple jurisdictions, which may impose onerous and contradictory requirements. Privacy legislation such as GLBA or the European Union’s Privacy Directive may also affect the nature and extent of the products or services that we can provide to customers, as well as our ability to collect, monitor and disseminate information subject to privacy protection. In addition to existing regulation, changes in legislative, judicial, regulatory or consumer environments could harm our business, financial condition or results of operations. These regulations and amendments to them could affect the demand for or profitability of some of our products, including scoring and consumer products. New regulations pertaining to financial institutions could cause them to pursue new strategies, reducing the demand for our products.</w:t>
      </w:r>
    </w:p>
    <w:p>
      <w:pPr>
        <w:spacing w:after="0" w:line="14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response to market disruptions over the past several years, legislators and financial regulators implemented a number of mechanisms designed to add stability to the financial markets, including the provision of direct and indirect assistance to distressed financial institutions, assistance by the banking authorities in arranging acquisitions of weakened banks and broker-dealers, and implementation of programs by the Federal Reserve to provide liquidity to the commercial paper markets. The overall effects of these and other legislative and regulatory efforts on the financial markets are uncertain, and they may not have the intended stabilization effects. Should these or other legislative or regulatory initiatives fail to stabilize and add liquidity to the financial markets over the long term, our business, financial condition, results of operations and prospects could be materially and adversely affected. Whether or not legislative or regulatory initiatives or other efforts designed to address recent economic conditions successfully stabilize and add liquidity to the financial markets over the long term, we may need to modify our strategies, businesses or operations, and we may incur additional costs in order to compete in a changed business environment.</w:t>
      </w:r>
    </w:p>
    <w:p>
      <w:pPr>
        <w:spacing w:after="0" w:line="118" w:lineRule="exact"/>
        <w:rPr>
          <w:sz w:val="20"/>
          <w:szCs w:val="20"/>
          <w:color w:val="auto"/>
        </w:rPr>
      </w:pPr>
    </w:p>
    <w:p>
      <w:pPr>
        <w:ind w:left="240" w:right="300"/>
        <w:spacing w:after="0" w:line="332" w:lineRule="auto"/>
        <w:rPr>
          <w:sz w:val="20"/>
          <w:szCs w:val="20"/>
          <w:color w:val="auto"/>
        </w:rPr>
      </w:pPr>
      <w:r>
        <w:rPr>
          <w:rFonts w:ascii="Arial" w:cs="Arial" w:eastAsia="Arial" w:hAnsi="Arial"/>
          <w:sz w:val="16"/>
          <w:szCs w:val="16"/>
          <w:b w:val="1"/>
          <w:bCs w:val="1"/>
          <w:i w:val="1"/>
          <w:iCs w:val="1"/>
          <w:color w:val="auto"/>
        </w:rPr>
        <w:t>Our revenues depend, to a great extent, upon conditions in the banking (including consumer credit) and insurance industries. If our clients’ industries continue to experience a downturn, it will likely harm our business, financial condition or results of operations.</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fiscal 2011, 78% of our revenues were derived from sales of products and services to the banking and insurance industries. Since mid-2007, global credit and other financial markets have suffered substantial stress, volatility, illiquidity and disruption. These forces reached unprecedented levels in the fall of 2008, resulting in the bankruptcy or acquisition of, or government assistance to, several major domestic and international financial institutions. The potential for increased and continuing disruptions present considerable risks to our businesses and operations. These risks include potential bankruptcies or credit deterioration of financial institutions, many of which are our customers. Such increased or continuing disruption would result in a continued decline in the revenue we receive from financial and other institutions.</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While the rate of account growth in the U.S. bankcard industry has been slowing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External Conditions</w:t>
      </w:r>
    </w:p>
    <w:p>
      <w:pPr>
        <w:spacing w:after="0" w:line="96"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Since mid-2007, global credit and other financial markets have suffered substantial stress, volatility, illiquidity and disruption. The widespread economic downturn negatively affected the businesses and purchasing decisions of companies in the industries we serve. The potential for increased and continuing disruptions present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Whether or not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 operations outside the United States, we are subject to unique risks that may harm our business, financial condition or results of operations.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growing portion of our revenues is derived from international sales. During fiscal 2011, 37% of our revenues were derived from business outside the United States. As part of our growth strategy, we plan to continue to pursue opportunities outside the United States,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6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21"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subject to federal and state income taxes in the United States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40" w:type="dxa"/>
            <w:vAlign w:val="bottom"/>
          </w:tcPr>
          <w:p>
            <w:pPr>
              <w:spacing w:after="0"/>
              <w:rPr>
                <w:sz w:val="12"/>
                <w:szCs w:val="12"/>
                <w:color w:val="auto"/>
              </w:rPr>
            </w:pP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700" w:type="dxa"/>
            <w:vAlign w:val="bottom"/>
            <w:gridSpan w:val="2"/>
            <w:vMerge w:val="restart"/>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640" w:type="dxa"/>
            <w:vAlign w:val="bottom"/>
          </w:tcPr>
          <w:p>
            <w:pPr>
              <w:spacing w:after="0"/>
              <w:rPr>
                <w:sz w:val="12"/>
                <w:szCs w:val="12"/>
                <w:color w:val="auto"/>
              </w:rPr>
            </w:pPr>
          </w:p>
        </w:tc>
        <w:tc>
          <w:tcPr>
            <w:tcW w:w="122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6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 (1)</w:t>
            </w:r>
          </w:p>
        </w:tc>
        <w:tc>
          <w:tcPr>
            <w:tcW w:w="640" w:type="dxa"/>
            <w:vAlign w:val="bottom"/>
          </w:tcPr>
          <w:p>
            <w:pPr>
              <w:spacing w:after="0"/>
              <w:rPr>
                <w:sz w:val="14"/>
                <w:szCs w:val="14"/>
                <w:color w:val="auto"/>
              </w:rPr>
            </w:pPr>
          </w:p>
        </w:tc>
        <w:tc>
          <w:tcPr>
            <w:tcW w:w="1220" w:type="dxa"/>
            <w:vAlign w:val="bottom"/>
            <w:gridSpan w:val="3"/>
          </w:tcPr>
          <w:p>
            <w:pPr>
              <w:jc w:val="right"/>
              <w:ind w:right="640"/>
              <w:spacing w:after="0" w:line="148" w:lineRule="exact"/>
              <w:rPr>
                <w:sz w:val="20"/>
                <w:szCs w:val="20"/>
                <w:color w:val="auto"/>
              </w:rPr>
            </w:pPr>
            <w:r>
              <w:rPr>
                <w:rFonts w:ascii="Arial" w:cs="Arial" w:eastAsia="Arial" w:hAnsi="Arial"/>
                <w:sz w:val="14"/>
                <w:szCs w:val="14"/>
                <w:b w:val="1"/>
                <w:bCs w:val="1"/>
                <w:color w:val="auto"/>
                <w:w w:val="86"/>
              </w:rPr>
              <w:t>per Share</w:t>
            </w:r>
          </w:p>
        </w:tc>
        <w:tc>
          <w:tcPr>
            <w:tcW w:w="16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8"/>
              </w:rPr>
              <w:t>or Programs (2)</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1, 2012 through April 30, 2012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4,784</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42.74</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34,238,290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May 1, 2011 through May 31, 2012</w:t>
            </w:r>
          </w:p>
        </w:tc>
        <w:tc>
          <w:tcPr>
            <w:tcW w:w="800" w:type="dxa"/>
            <w:vAlign w:val="bottom"/>
          </w:tcPr>
          <w:p>
            <w:pPr>
              <w:jc w:val="right"/>
              <w:spacing w:after="0"/>
              <w:rPr>
                <w:sz w:val="20"/>
                <w:szCs w:val="20"/>
                <w:color w:val="auto"/>
              </w:rPr>
            </w:pPr>
            <w:r>
              <w:rPr>
                <w:rFonts w:ascii="Arial" w:cs="Arial" w:eastAsia="Arial" w:hAnsi="Arial"/>
                <w:sz w:val="18"/>
                <w:szCs w:val="18"/>
                <w:color w:val="auto"/>
              </w:rPr>
              <w:t>713,396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40.95</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713,190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5,034,380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2012 through June 30, 2012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39.31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841,620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40.72</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835,632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5,988 shares delivered in satisfaction of the tax withholding obligations resulting from the vesting of restricted stock units held by employees during the quarter ended June 30, 2012.</w:t>
      </w:r>
    </w:p>
    <w:p>
      <w:pPr>
        <w:ind w:left="460" w:right="72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November 2, 2011, our Board of Directors approved an open-ended stock repurchase program to acquire shares of our common stock up to an aggregate cost of $150.0 million in the open market or through negotiated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20" w:type="dxa"/>
            <w:vAlign w:val="bottom"/>
          </w:tcPr>
          <w:p>
            <w:pPr>
              <w:spacing w:after="0"/>
              <w:rPr>
                <w:sz w:val="14"/>
                <w:szCs w:val="14"/>
                <w:color w:val="auto"/>
              </w:rPr>
            </w:pPr>
          </w:p>
        </w:tc>
        <w:tc>
          <w:tcPr>
            <w:tcW w:w="10200" w:type="dxa"/>
            <w:vAlign w:val="bottom"/>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220" w:type="dxa"/>
            <w:vAlign w:val="bottom"/>
            <w:gridSpan w:val="2"/>
          </w:tcPr>
          <w:p>
            <w:pPr>
              <w:spacing w:after="0" w:line="20" w:lineRule="exact"/>
              <w:rPr>
                <w:sz w:val="1"/>
                <w:szCs w:val="1"/>
                <w:color w:val="auto"/>
              </w:rPr>
            </w:pPr>
          </w:p>
        </w:tc>
        <w:tc>
          <w:tcPr>
            <w:tcW w:w="10200" w:type="dxa"/>
            <w:vAlign w:val="bottom"/>
            <w:tcBorders>
              <w:bottom w:val="single" w:sz="8" w:color="auto"/>
            </w:tcBorders>
          </w:tcPr>
          <w:p>
            <w:pPr>
              <w:spacing w:after="0" w:line="20" w:lineRule="exact"/>
              <w:rPr>
                <w:sz w:val="1"/>
                <w:szCs w:val="1"/>
                <w:color w:val="auto"/>
              </w:rPr>
            </w:pPr>
          </w:p>
        </w:tc>
      </w:tr>
      <w:tr>
        <w:trPr>
          <w:trHeight w:val="283"/>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10200" w:type="dxa"/>
            <w:vAlign w:val="bottom"/>
          </w:tcPr>
          <w:p>
            <w:pPr>
              <w:spacing w:after="0"/>
              <w:rPr>
                <w:sz w:val="20"/>
                <w:szCs w:val="20"/>
                <w:color w:val="auto"/>
              </w:rPr>
            </w:pPr>
            <w:r>
              <w:rPr>
                <w:rFonts w:ascii="Arial" w:cs="Arial" w:eastAsia="Arial" w:hAnsi="Arial"/>
                <w:sz w:val="18"/>
                <w:szCs w:val="18"/>
                <w:color w:val="auto"/>
                <w:w w:val="90"/>
              </w:rPr>
              <w:t>Composite Restated Certificate of Incorporation of Fair Isaac Corporation (incorporated by reference to Exhibit 3.2 to the Company’s Form 10-</w:t>
            </w:r>
          </w:p>
        </w:tc>
      </w:tr>
      <w:tr>
        <w:trPr>
          <w:trHeight w:val="222"/>
        </w:trPr>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Q filed on February 8, 2010).</w:t>
            </w:r>
          </w:p>
        </w:tc>
      </w:tr>
      <w:tr>
        <w:trPr>
          <w:trHeight w:val="324"/>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10200" w:type="dxa"/>
            <w:vAlign w:val="bottom"/>
          </w:tcPr>
          <w:p>
            <w:pPr>
              <w:spacing w:after="0"/>
              <w:rPr>
                <w:sz w:val="20"/>
                <w:szCs w:val="20"/>
                <w:color w:val="auto"/>
              </w:rPr>
            </w:pPr>
            <w:r>
              <w:rPr>
                <w:rFonts w:ascii="Arial" w:cs="Arial" w:eastAsia="Arial" w:hAnsi="Arial"/>
                <w:sz w:val="18"/>
                <w:szCs w:val="18"/>
                <w:color w:val="auto"/>
              </w:rPr>
              <w:t>By-laws of Fair Isaac Corporation (incorporated by reference to Exhibit 3.1 to the Company’s 10-Q filed on February 8, 2010).</w:t>
            </w:r>
          </w:p>
        </w:tc>
      </w:tr>
      <w:tr>
        <w:trPr>
          <w:trHeight w:val="318"/>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10.1</w:t>
            </w:r>
          </w:p>
        </w:tc>
        <w:tc>
          <w:tcPr>
            <w:tcW w:w="10200" w:type="dxa"/>
            <w:vAlign w:val="bottom"/>
          </w:tcPr>
          <w:p>
            <w:pPr>
              <w:spacing w:after="0"/>
              <w:rPr>
                <w:sz w:val="20"/>
                <w:szCs w:val="20"/>
                <w:color w:val="auto"/>
              </w:rPr>
            </w:pPr>
            <w:r>
              <w:rPr>
                <w:rFonts w:ascii="Arial" w:cs="Arial" w:eastAsia="Arial" w:hAnsi="Arial"/>
                <w:sz w:val="18"/>
                <w:szCs w:val="18"/>
                <w:color w:val="auto"/>
                <w:w w:val="95"/>
              </w:rPr>
              <w:t>Transition Agreement, dated April 25, 2012, between Deborah Kerr and the Company (Incorporated by reference to Exhibit 10.1 to the</w:t>
            </w:r>
          </w:p>
        </w:tc>
      </w:tr>
      <w:tr>
        <w:trPr>
          <w:trHeight w:val="222"/>
        </w:trPr>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Company’s Form 8-K filed on April 25, 2012).</w:t>
            </w:r>
          </w:p>
        </w:tc>
      </w:tr>
      <w:tr>
        <w:trPr>
          <w:trHeight w:val="318"/>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10200" w:type="dxa"/>
            <w:vAlign w:val="bottom"/>
          </w:tcPr>
          <w:p>
            <w:pPr>
              <w:spacing w:after="0"/>
              <w:rPr>
                <w:sz w:val="20"/>
                <w:szCs w:val="20"/>
                <w:color w:val="auto"/>
              </w:rPr>
            </w:pPr>
            <w:r>
              <w:rPr>
                <w:rFonts w:ascii="Arial" w:cs="Arial" w:eastAsia="Arial" w:hAnsi="Arial"/>
                <w:sz w:val="18"/>
                <w:szCs w:val="18"/>
                <w:color w:val="auto"/>
                <w:w w:val="96"/>
              </w:rPr>
              <w:t>Transition Agreement, dated April 25, 2012, between Charles L. Ill and the Company (Incorporated by reference to Exhibit 10.2 to the</w:t>
            </w:r>
          </w:p>
        </w:tc>
      </w:tr>
      <w:tr>
        <w:trPr>
          <w:trHeight w:val="222"/>
        </w:trPr>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Company’s Form 8-K filed on April 25, 2012).</w:t>
            </w:r>
          </w:p>
        </w:tc>
      </w:tr>
      <w:tr>
        <w:trPr>
          <w:trHeight w:val="318"/>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10200" w:type="dxa"/>
            <w:vAlign w:val="bottom"/>
          </w:tcPr>
          <w:p>
            <w:pPr>
              <w:spacing w:after="0"/>
              <w:rPr>
                <w:sz w:val="20"/>
                <w:szCs w:val="20"/>
                <w:color w:val="auto"/>
              </w:rPr>
            </w:pPr>
            <w:r>
              <w:rPr>
                <w:rFonts w:ascii="Arial" w:cs="Arial" w:eastAsia="Arial" w:hAnsi="Arial"/>
                <w:sz w:val="18"/>
                <w:szCs w:val="18"/>
                <w:color w:val="auto"/>
                <w:w w:val="90"/>
              </w:rPr>
              <w:t>Amended and Restated Management Agreement, dated April 25, 2012, between Charles L. Ill and the Company (Incorporated by reference to</w:t>
            </w:r>
          </w:p>
        </w:tc>
      </w:tr>
      <w:tr>
        <w:trPr>
          <w:trHeight w:val="222"/>
        </w:trPr>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Exhibit 10.3 to the Company’s Form 8-K filed on April 25, 2012).</w:t>
            </w:r>
          </w:p>
        </w:tc>
      </w:tr>
      <w:tr>
        <w:trPr>
          <w:trHeight w:val="324"/>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10200" w:type="dxa"/>
            <w:vAlign w:val="bottom"/>
          </w:tcPr>
          <w:p>
            <w:pPr>
              <w:spacing w:after="0"/>
              <w:rPr>
                <w:sz w:val="20"/>
                <w:szCs w:val="20"/>
                <w:color w:val="auto"/>
              </w:rPr>
            </w:pPr>
            <w:r>
              <w:rPr>
                <w:rFonts w:ascii="Arial" w:cs="Arial" w:eastAsia="Arial" w:hAnsi="Arial"/>
                <w:sz w:val="18"/>
                <w:szCs w:val="18"/>
                <w:color w:val="auto"/>
              </w:rPr>
              <w:t>Rule 13a-14(a)/15d-14(a) Certifications of CEO.</w:t>
            </w:r>
          </w:p>
        </w:tc>
      </w:tr>
      <w:tr>
        <w:trPr>
          <w:trHeight w:val="324"/>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31.2</w:t>
            </w:r>
          </w:p>
        </w:tc>
        <w:tc>
          <w:tcPr>
            <w:tcW w:w="10200" w:type="dxa"/>
            <w:vAlign w:val="bottom"/>
          </w:tcPr>
          <w:p>
            <w:pPr>
              <w:spacing w:after="0"/>
              <w:rPr>
                <w:sz w:val="20"/>
                <w:szCs w:val="20"/>
                <w:color w:val="auto"/>
              </w:rPr>
            </w:pPr>
            <w:r>
              <w:rPr>
                <w:rFonts w:ascii="Arial" w:cs="Arial" w:eastAsia="Arial" w:hAnsi="Arial"/>
                <w:sz w:val="18"/>
                <w:szCs w:val="18"/>
                <w:color w:val="auto"/>
              </w:rPr>
              <w:t>Rule 13a-14(a)/15d-14(a) Certifications of CFO.</w:t>
            </w:r>
          </w:p>
        </w:tc>
      </w:tr>
      <w:tr>
        <w:trPr>
          <w:trHeight w:val="324"/>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32.1</w:t>
            </w:r>
          </w:p>
        </w:tc>
        <w:tc>
          <w:tcPr>
            <w:tcW w:w="10200" w:type="dxa"/>
            <w:vAlign w:val="bottom"/>
          </w:tcPr>
          <w:p>
            <w:pPr>
              <w:spacing w:after="0"/>
              <w:rPr>
                <w:sz w:val="20"/>
                <w:szCs w:val="20"/>
                <w:color w:val="auto"/>
              </w:rPr>
            </w:pPr>
            <w:r>
              <w:rPr>
                <w:rFonts w:ascii="Arial" w:cs="Arial" w:eastAsia="Arial" w:hAnsi="Arial"/>
                <w:sz w:val="18"/>
                <w:szCs w:val="18"/>
                <w:color w:val="auto"/>
              </w:rPr>
              <w:t>Section 1350 Certification of CEO.</w:t>
            </w:r>
          </w:p>
        </w:tc>
      </w:tr>
      <w:tr>
        <w:trPr>
          <w:trHeight w:val="324"/>
        </w:trPr>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32.2</w:t>
            </w:r>
          </w:p>
        </w:tc>
        <w:tc>
          <w:tcPr>
            <w:tcW w:w="10200" w:type="dxa"/>
            <w:vAlign w:val="bottom"/>
          </w:tcPr>
          <w:p>
            <w:pPr>
              <w:spacing w:after="0"/>
              <w:rPr>
                <w:sz w:val="20"/>
                <w:szCs w:val="20"/>
                <w:color w:val="auto"/>
              </w:rPr>
            </w:pPr>
            <w:r>
              <w:rPr>
                <w:rFonts w:ascii="Arial" w:cs="Arial" w:eastAsia="Arial" w:hAnsi="Arial"/>
                <w:sz w:val="18"/>
                <w:szCs w:val="18"/>
                <w:color w:val="auto"/>
              </w:rPr>
              <w:t>Section 1350 Certification of CFO.</w:t>
            </w:r>
          </w:p>
        </w:tc>
      </w:tr>
      <w:tr>
        <w:trPr>
          <w:trHeight w:val="324"/>
        </w:trPr>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101.INS*</w:t>
            </w:r>
          </w:p>
        </w:tc>
        <w:tc>
          <w:tcPr>
            <w:tcW w:w="10200" w:type="dxa"/>
            <w:vAlign w:val="bottom"/>
          </w:tcPr>
          <w:p>
            <w:pPr>
              <w:spacing w:after="0"/>
              <w:rPr>
                <w:sz w:val="20"/>
                <w:szCs w:val="20"/>
                <w:color w:val="auto"/>
              </w:rPr>
            </w:pPr>
            <w:r>
              <w:rPr>
                <w:rFonts w:ascii="Arial" w:cs="Arial" w:eastAsia="Arial" w:hAnsi="Arial"/>
                <w:sz w:val="18"/>
                <w:szCs w:val="18"/>
                <w:color w:val="auto"/>
              </w:rPr>
              <w:t>XBRL Instance Document.</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1000" w:type="dxa"/>
            <w:vAlign w:val="bottom"/>
          </w:tcPr>
          <w:p>
            <w:pPr>
              <w:jc w:val="right"/>
              <w:ind w:right="152"/>
              <w:spacing w:after="0"/>
              <w:rPr>
                <w:sz w:val="20"/>
                <w:szCs w:val="20"/>
                <w:color w:val="auto"/>
              </w:rPr>
            </w:pPr>
            <w:r>
              <w:rPr>
                <w:rFonts w:ascii="Arial" w:cs="Arial" w:eastAsia="Arial" w:hAnsi="Arial"/>
                <w:sz w:val="18"/>
                <w:szCs w:val="18"/>
                <w:color w:val="auto"/>
                <w:w w:val="92"/>
              </w:rPr>
              <w:t>101.SCH*</w:t>
            </w:r>
          </w:p>
        </w:tc>
        <w:tc>
          <w:tcPr>
            <w:tcW w:w="46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tcPr>
          <w:p>
            <w:pPr>
              <w:jc w:val="right"/>
              <w:ind w:right="152"/>
              <w:spacing w:after="0"/>
              <w:rPr>
                <w:sz w:val="20"/>
                <w:szCs w:val="20"/>
                <w:color w:val="auto"/>
              </w:rPr>
            </w:pPr>
            <w:r>
              <w:rPr>
                <w:rFonts w:ascii="Arial" w:cs="Arial" w:eastAsia="Arial" w:hAnsi="Arial"/>
                <w:sz w:val="18"/>
                <w:szCs w:val="18"/>
                <w:color w:val="auto"/>
                <w:w w:val="95"/>
              </w:rPr>
              <w:t>101.CAL*</w:t>
            </w:r>
          </w:p>
        </w:tc>
        <w:tc>
          <w:tcPr>
            <w:tcW w:w="466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324"/>
        </w:trPr>
        <w:tc>
          <w:tcPr>
            <w:tcW w:w="1000" w:type="dxa"/>
            <w:vAlign w:val="bottom"/>
          </w:tcPr>
          <w:p>
            <w:pPr>
              <w:jc w:val="right"/>
              <w:ind w:right="152"/>
              <w:spacing w:after="0"/>
              <w:rPr>
                <w:sz w:val="20"/>
                <w:szCs w:val="20"/>
                <w:color w:val="auto"/>
              </w:rPr>
            </w:pPr>
            <w:r>
              <w:rPr>
                <w:rFonts w:ascii="Arial" w:cs="Arial" w:eastAsia="Arial" w:hAnsi="Arial"/>
                <w:sz w:val="18"/>
                <w:szCs w:val="18"/>
                <w:color w:val="auto"/>
                <w:w w:val="94"/>
              </w:rPr>
              <w:t>101.DEF*</w:t>
            </w:r>
          </w:p>
        </w:tc>
        <w:tc>
          <w:tcPr>
            <w:tcW w:w="4660" w:type="dxa"/>
            <w:vAlign w:val="bottom"/>
          </w:tcPr>
          <w:p>
            <w:pPr>
              <w:ind w:left="240"/>
              <w:spacing w:after="0"/>
              <w:rPr>
                <w:sz w:val="20"/>
                <w:szCs w:val="20"/>
                <w:color w:val="auto"/>
              </w:rPr>
            </w:pPr>
            <w:r>
              <w:rPr>
                <w:rFonts w:ascii="Arial" w:cs="Arial" w:eastAsia="Arial" w:hAnsi="Arial"/>
                <w:sz w:val="18"/>
                <w:szCs w:val="18"/>
                <w:color w:val="auto"/>
                <w:w w:val="93"/>
              </w:rPr>
              <w:t>XBRL Taxonomy Extension Definition Linkbase Document.</w:t>
            </w:r>
          </w:p>
        </w:tc>
      </w:tr>
      <w:tr>
        <w:trPr>
          <w:trHeight w:val="324"/>
        </w:trPr>
        <w:tc>
          <w:tcPr>
            <w:tcW w:w="1000" w:type="dxa"/>
            <w:vAlign w:val="bottom"/>
          </w:tcPr>
          <w:p>
            <w:pPr>
              <w:jc w:val="right"/>
              <w:ind w:right="152"/>
              <w:spacing w:after="0"/>
              <w:rPr>
                <w:sz w:val="20"/>
                <w:szCs w:val="20"/>
                <w:color w:val="auto"/>
              </w:rPr>
            </w:pPr>
            <w:r>
              <w:rPr>
                <w:rFonts w:ascii="Arial" w:cs="Arial" w:eastAsia="Arial" w:hAnsi="Arial"/>
                <w:sz w:val="18"/>
                <w:szCs w:val="18"/>
                <w:color w:val="auto"/>
                <w:w w:val="97"/>
              </w:rPr>
              <w:t>101.LAB*</w:t>
            </w:r>
          </w:p>
        </w:tc>
        <w:tc>
          <w:tcPr>
            <w:tcW w:w="46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00" w:type="dxa"/>
            <w:vAlign w:val="bottom"/>
          </w:tcPr>
          <w:p>
            <w:pPr>
              <w:jc w:val="right"/>
              <w:ind w:right="152"/>
              <w:spacing w:after="0"/>
              <w:rPr>
                <w:sz w:val="20"/>
                <w:szCs w:val="20"/>
                <w:color w:val="auto"/>
              </w:rPr>
            </w:pPr>
            <w:r>
              <w:rPr>
                <w:rFonts w:ascii="Arial" w:cs="Arial" w:eastAsia="Arial" w:hAnsi="Arial"/>
                <w:sz w:val="18"/>
                <w:szCs w:val="18"/>
                <w:color w:val="auto"/>
                <w:w w:val="93"/>
              </w:rPr>
              <w:t>101.PRE*</w:t>
            </w:r>
          </w:p>
        </w:tc>
        <w:tc>
          <w:tcPr>
            <w:tcW w:w="4660" w:type="dxa"/>
            <w:vAlign w:val="bottom"/>
          </w:tcPr>
          <w:p>
            <w:pPr>
              <w:ind w:left="240"/>
              <w:spacing w:after="0"/>
              <w:rPr>
                <w:sz w:val="20"/>
                <w:szCs w:val="20"/>
                <w:color w:val="auto"/>
              </w:rPr>
            </w:pPr>
            <w:r>
              <w:rPr>
                <w:rFonts w:ascii="Arial" w:cs="Arial" w:eastAsia="Arial" w:hAnsi="Arial"/>
                <w:sz w:val="18"/>
                <w:szCs w:val="18"/>
                <w:color w:val="auto"/>
                <w:w w:val="88"/>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2400"/>
              <w:spacing w:after="0"/>
              <w:rPr>
                <w:sz w:val="20"/>
                <w:szCs w:val="20"/>
                <w:color w:val="auto"/>
              </w:rPr>
            </w:pPr>
            <w:r>
              <w:rPr>
                <w:rFonts w:ascii="Arial" w:cs="Arial" w:eastAsia="Arial" w:hAnsi="Arial"/>
                <w:sz w:val="18"/>
                <w:szCs w:val="18"/>
                <w:color w:val="auto"/>
              </w:rPr>
              <w:t>FAIR ISAAC CORPORATION</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July 30, 2012</w:t>
            </w:r>
          </w:p>
        </w:tc>
        <w:tc>
          <w:tcPr>
            <w:tcW w:w="2620" w:type="dxa"/>
            <w:vAlign w:val="bottom"/>
          </w:tcPr>
          <w:p>
            <w:pPr>
              <w:ind w:left="2400"/>
              <w:spacing w:after="0"/>
              <w:rPr>
                <w:sz w:val="20"/>
                <w:szCs w:val="20"/>
                <w:color w:val="auto"/>
              </w:rPr>
            </w:pPr>
            <w:r>
              <w:rPr>
                <w:rFonts w:ascii="Arial" w:cs="Arial" w:eastAsia="Arial" w:hAnsi="Arial"/>
                <w:sz w:val="18"/>
                <w:szCs w:val="18"/>
                <w:color w:val="auto"/>
                <w:w w:val="94"/>
              </w:rPr>
              <w:t>By</w:t>
            </w:r>
          </w:p>
        </w:tc>
        <w:tc>
          <w:tcPr>
            <w:tcW w:w="524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3"/>
              </w:rPr>
              <w:t>/s/ MICHAEL J. PUNG</w:t>
            </w:r>
          </w:p>
        </w:tc>
      </w:tr>
      <w:tr>
        <w:trPr>
          <w:trHeight w:val="202"/>
        </w:trPr>
        <w:tc>
          <w:tcPr>
            <w:tcW w:w="35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8"/>
              </w:rPr>
              <w:t>Michael J. Pung</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i w:val="1"/>
                <w:iCs w:val="1"/>
                <w:color w:val="auto"/>
                <w:w w:val="89"/>
              </w:rPr>
              <w:t>Executive Vice President and Chief Financial Officer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i w:val="1"/>
                <w:iCs w:val="1"/>
                <w:color w:val="auto"/>
                <w:w w:val="89"/>
              </w:rPr>
              <w:t>(for Registrant as duly authorized officer and</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i w:val="1"/>
                <w:iCs w:val="1"/>
                <w:color w:val="auto"/>
                <w:w w:val="93"/>
              </w:rPr>
              <w:t>as Principal Financial Officer)</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July 30, 2012</w:t>
            </w:r>
          </w:p>
        </w:tc>
        <w:tc>
          <w:tcPr>
            <w:tcW w:w="2620" w:type="dxa"/>
            <w:vAlign w:val="bottom"/>
          </w:tcPr>
          <w:p>
            <w:pPr>
              <w:ind w:left="2400"/>
              <w:spacing w:after="0"/>
              <w:rPr>
                <w:sz w:val="20"/>
                <w:szCs w:val="20"/>
                <w:color w:val="auto"/>
              </w:rPr>
            </w:pPr>
            <w:r>
              <w:rPr>
                <w:rFonts w:ascii="Arial" w:cs="Arial" w:eastAsia="Arial" w:hAnsi="Arial"/>
                <w:sz w:val="18"/>
                <w:szCs w:val="18"/>
                <w:color w:val="auto"/>
                <w:w w:val="94"/>
              </w:rPr>
              <w:t>By</w:t>
            </w:r>
          </w:p>
        </w:tc>
        <w:tc>
          <w:tcPr>
            <w:tcW w:w="524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5"/>
              </w:rPr>
              <w:t>/s/ MICHAEL S. LEONARD</w:t>
            </w:r>
          </w:p>
        </w:tc>
      </w:tr>
      <w:tr>
        <w:trPr>
          <w:trHeight w:val="202"/>
        </w:trPr>
        <w:tc>
          <w:tcPr>
            <w:tcW w:w="35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8"/>
              </w:rPr>
              <w:t>Michael S. Leonard</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jc w:val="center"/>
              <w:ind w:left="32"/>
              <w:spacing w:after="0"/>
              <w:rPr>
                <w:sz w:val="20"/>
                <w:szCs w:val="20"/>
                <w:color w:val="auto"/>
              </w:rPr>
            </w:pPr>
            <w:r>
              <w:rPr>
                <w:rFonts w:ascii="Arial" w:cs="Arial" w:eastAsia="Arial" w:hAnsi="Arial"/>
                <w:sz w:val="18"/>
                <w:szCs w:val="18"/>
                <w:i w:val="1"/>
                <w:iCs w:val="1"/>
                <w:color w:val="auto"/>
                <w:w w:val="89"/>
              </w:rPr>
              <w:t>Vice President and Chief Accounting Officer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jc w:val="center"/>
              <w:ind w:left="32"/>
              <w:spacing w:after="0"/>
              <w:rPr>
                <w:sz w:val="20"/>
                <w:szCs w:val="20"/>
                <w:color w:val="auto"/>
              </w:rPr>
            </w:pPr>
            <w:r>
              <w:rPr>
                <w:rFonts w:ascii="Arial" w:cs="Arial" w:eastAsia="Arial" w:hAnsi="Arial"/>
                <w:sz w:val="18"/>
                <w:szCs w:val="18"/>
                <w:i w:val="1"/>
                <w:iCs w:val="1"/>
                <w:color w:val="auto"/>
                <w:w w:val="92"/>
              </w:rPr>
              <w:t>(Principal Accounting Officer)</w:t>
            </w:r>
          </w:p>
        </w:tc>
      </w:tr>
      <w:tr>
        <w:trPr>
          <w:trHeight w:val="365"/>
        </w:trPr>
        <w:tc>
          <w:tcPr>
            <w:tcW w:w="3560" w:type="dxa"/>
            <w:vAlign w:val="bottom"/>
          </w:tcPr>
          <w:p>
            <w:pPr>
              <w:spacing w:after="0"/>
              <w:rPr>
                <w:sz w:val="24"/>
                <w:szCs w:val="24"/>
                <w:color w:val="auto"/>
              </w:rPr>
            </w:pPr>
          </w:p>
        </w:tc>
        <w:tc>
          <w:tcPr>
            <w:tcW w:w="262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To Fair Isaac Corporation Report On Form 10-Q</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8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880" w:type="dxa"/>
            <w:vAlign w:val="bottom"/>
          </w:tcPr>
          <w:p>
            <w:pPr>
              <w:ind w:left="3600"/>
              <w:spacing w:after="0"/>
              <w:rPr>
                <w:sz w:val="20"/>
                <w:szCs w:val="20"/>
                <w:color w:val="auto"/>
              </w:rPr>
            </w:pPr>
            <w:r>
              <w:rPr>
                <w:rFonts w:ascii="Arial" w:cs="Arial" w:eastAsia="Arial" w:hAnsi="Arial"/>
                <w:sz w:val="14"/>
                <w:szCs w:val="14"/>
                <w:b w:val="1"/>
                <w:bCs w:val="1"/>
                <w:color w:val="auto"/>
              </w:rPr>
              <w:t>Description</w:t>
            </w:r>
          </w:p>
        </w:tc>
        <w:tc>
          <w:tcPr>
            <w:tcW w:w="2080" w:type="dxa"/>
            <w:vAlign w:val="bottom"/>
          </w:tcPr>
          <w:p>
            <w:pPr>
              <w:spacing w:after="0"/>
              <w:rPr>
                <w:sz w:val="14"/>
                <w:szCs w:val="14"/>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8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Composite Restated Certificate of Incorporation of Fair Isaac Corporation</w:t>
            </w:r>
          </w:p>
        </w:tc>
        <w:tc>
          <w:tcPr>
            <w:tcW w:w="2080" w:type="dxa"/>
            <w:vAlign w:val="bottom"/>
          </w:tcPr>
          <w:p>
            <w:pPr>
              <w:ind w:left="20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By-laws of Fair Isaac Corporation</w:t>
            </w:r>
          </w:p>
        </w:tc>
        <w:tc>
          <w:tcPr>
            <w:tcW w:w="2080" w:type="dxa"/>
            <w:vAlign w:val="bottom"/>
          </w:tcPr>
          <w:p>
            <w:pPr>
              <w:ind w:left="20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Transition Agreement, dated April 25, 2012, between Deborah Kerr and the Company</w:t>
            </w:r>
          </w:p>
        </w:tc>
        <w:tc>
          <w:tcPr>
            <w:tcW w:w="2080" w:type="dxa"/>
            <w:vAlign w:val="bottom"/>
          </w:tcPr>
          <w:p>
            <w:pPr>
              <w:ind w:left="20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Transition Agreement, dated April 25, 2012, between Charles L. Ill and the Company</w:t>
            </w:r>
          </w:p>
        </w:tc>
        <w:tc>
          <w:tcPr>
            <w:tcW w:w="2080" w:type="dxa"/>
            <w:vAlign w:val="bottom"/>
          </w:tcPr>
          <w:p>
            <w:pPr>
              <w:ind w:left="200"/>
              <w:spacing w:after="0"/>
              <w:rPr>
                <w:sz w:val="20"/>
                <w:szCs w:val="20"/>
                <w:color w:val="auto"/>
              </w:rPr>
            </w:pPr>
            <w:r>
              <w:rPr>
                <w:rFonts w:ascii="Arial" w:cs="Arial" w:eastAsia="Arial" w:hAnsi="Arial"/>
                <w:sz w:val="18"/>
                <w:szCs w:val="18"/>
                <w:color w:val="auto"/>
                <w:w w:val="87"/>
              </w:rPr>
              <w:t>Incorporated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w w:val="96"/>
              </w:rPr>
              <w:t>Amended and Restated Management Agreement, dated April 25, 2012, between Charles L. Ill and the</w:t>
            </w:r>
          </w:p>
        </w:tc>
        <w:tc>
          <w:tcPr>
            <w:tcW w:w="2080" w:type="dxa"/>
            <w:vAlign w:val="bottom"/>
          </w:tcPr>
          <w:p>
            <w:pPr>
              <w:ind w:left="200"/>
              <w:spacing w:after="0"/>
              <w:rPr>
                <w:sz w:val="20"/>
                <w:szCs w:val="20"/>
                <w:color w:val="auto"/>
              </w:rPr>
            </w:pPr>
            <w:r>
              <w:rPr>
                <w:rFonts w:ascii="Arial" w:cs="Arial" w:eastAsia="Arial" w:hAnsi="Arial"/>
                <w:sz w:val="18"/>
                <w:szCs w:val="18"/>
                <w:color w:val="auto"/>
                <w:w w:val="87"/>
              </w:rPr>
              <w:t>Incorporated by Reference</w:t>
            </w: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Company</w:t>
            </w:r>
          </w:p>
        </w:tc>
        <w:tc>
          <w:tcPr>
            <w:tcW w:w="2080" w:type="dxa"/>
            <w:vAlign w:val="bottom"/>
          </w:tcPr>
          <w:p>
            <w:pPr>
              <w:spacing w:after="0"/>
              <w:rPr>
                <w:sz w:val="19"/>
                <w:szCs w:val="19"/>
                <w:color w:val="auto"/>
              </w:rPr>
            </w:pP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Rule 13a-14(a)/15d-14(a) Certifications of CEO.</w:t>
            </w:r>
          </w:p>
        </w:tc>
        <w:tc>
          <w:tcPr>
            <w:tcW w:w="2080" w:type="dxa"/>
            <w:vAlign w:val="bottom"/>
          </w:tcPr>
          <w:p>
            <w:pPr>
              <w:ind w:left="200"/>
              <w:spacing w:after="0"/>
              <w:rPr>
                <w:sz w:val="20"/>
                <w:szCs w:val="20"/>
                <w:color w:val="auto"/>
              </w:rPr>
            </w:pPr>
            <w:r>
              <w:rPr>
                <w:rFonts w:ascii="Arial" w:cs="Arial" w:eastAsia="Arial" w:hAnsi="Arial"/>
                <w:sz w:val="18"/>
                <w:szCs w:val="18"/>
                <w:color w:val="auto"/>
              </w:rPr>
              <w:t>Filed Electronically</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Rule 13a-14(a)/15d-14(a) Certifications of CFO.</w:t>
            </w:r>
          </w:p>
        </w:tc>
        <w:tc>
          <w:tcPr>
            <w:tcW w:w="2080" w:type="dxa"/>
            <w:vAlign w:val="bottom"/>
          </w:tcPr>
          <w:p>
            <w:pPr>
              <w:ind w:left="200"/>
              <w:spacing w:after="0"/>
              <w:rPr>
                <w:sz w:val="20"/>
                <w:szCs w:val="20"/>
                <w:color w:val="auto"/>
              </w:rPr>
            </w:pPr>
            <w:r>
              <w:rPr>
                <w:rFonts w:ascii="Arial" w:cs="Arial" w:eastAsia="Arial" w:hAnsi="Arial"/>
                <w:sz w:val="18"/>
                <w:szCs w:val="18"/>
                <w:color w:val="auto"/>
              </w:rPr>
              <w:t>Filed Electronically</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32.1</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Section 1350 Certification of CEO.</w:t>
            </w:r>
          </w:p>
        </w:tc>
        <w:tc>
          <w:tcPr>
            <w:tcW w:w="2080" w:type="dxa"/>
            <w:vAlign w:val="bottom"/>
          </w:tcPr>
          <w:p>
            <w:pPr>
              <w:ind w:left="200"/>
              <w:spacing w:after="0"/>
              <w:rPr>
                <w:sz w:val="20"/>
                <w:szCs w:val="20"/>
                <w:color w:val="auto"/>
              </w:rPr>
            </w:pPr>
            <w:r>
              <w:rPr>
                <w:rFonts w:ascii="Arial" w:cs="Arial" w:eastAsia="Arial" w:hAnsi="Arial"/>
                <w:sz w:val="18"/>
                <w:szCs w:val="18"/>
                <w:color w:val="auto"/>
              </w:rPr>
              <w:t>Filed Electronically</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32.2</w:t>
            </w:r>
          </w:p>
        </w:tc>
        <w:tc>
          <w:tcPr>
            <w:tcW w:w="70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Section 1350 Certification of CFO.</w:t>
            </w:r>
          </w:p>
        </w:tc>
        <w:tc>
          <w:tcPr>
            <w:tcW w:w="2080" w:type="dxa"/>
            <w:vAlign w:val="bottom"/>
          </w:tcPr>
          <w:p>
            <w:pPr>
              <w:ind w:left="200"/>
              <w:spacing w:after="0"/>
              <w:rPr>
                <w:sz w:val="20"/>
                <w:szCs w:val="20"/>
                <w:color w:val="auto"/>
              </w:rPr>
            </w:pPr>
            <w:r>
              <w:rPr>
                <w:rFonts w:ascii="Arial" w:cs="Arial" w:eastAsia="Arial" w:hAnsi="Arial"/>
                <w:sz w:val="18"/>
                <w:szCs w:val="18"/>
                <w:color w:val="auto"/>
              </w:rPr>
              <w:t>Filed Electronically</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2080" w:type="dxa"/>
            <w:vAlign w:val="bottom"/>
          </w:tcPr>
          <w:p>
            <w:pPr>
              <w:spacing w:after="0"/>
              <w:rPr>
                <w:sz w:val="24"/>
                <w:szCs w:val="24"/>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2080" w:type="dxa"/>
            <w:vAlign w:val="bottom"/>
          </w:tcPr>
          <w:p>
            <w:pPr>
              <w:spacing w:after="0"/>
              <w:rPr>
                <w:sz w:val="24"/>
                <w:szCs w:val="24"/>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80" w:type="dxa"/>
            <w:vAlign w:val="bottom"/>
          </w:tcPr>
          <w:p>
            <w:pPr>
              <w:spacing w:after="0"/>
              <w:rPr>
                <w:sz w:val="24"/>
                <w:szCs w:val="24"/>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80" w:type="dxa"/>
            <w:vAlign w:val="bottom"/>
          </w:tcPr>
          <w:p>
            <w:pPr>
              <w:spacing w:after="0"/>
              <w:rPr>
                <w:sz w:val="24"/>
                <w:szCs w:val="24"/>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2080" w:type="dxa"/>
            <w:vAlign w:val="bottom"/>
          </w:tcPr>
          <w:p>
            <w:pPr>
              <w:spacing w:after="0"/>
              <w:rPr>
                <w:sz w:val="24"/>
                <w:szCs w:val="24"/>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J. Lansing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3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Pung, certify that:</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Pung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3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6"/>
          <w:szCs w:val="16"/>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William J. Lansing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6"/>
          <w:szCs w:val="16"/>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Pung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lowerRoman"/>
      <w:start w:val="2"/>
    </w:lvl>
  </w:abstractNum>
  <w:abstractNum w:abstractNumId="15">
    <w:nsid w:val="75A2A8D4"/>
    <w:multiLevelType w:val="hybridMultilevel"/>
    <w:lvl w:ilvl="0">
      <w:lvlJc w:val="left"/>
      <w:lvlText w:val="(%1)"/>
      <w:numFmt w:val="lowerRoman"/>
      <w:start w:val="4"/>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2019-12-09T09:30:17Z</dcterms:created>
  <dcterms:modified xsi:type="dcterms:W3CDTF">2019-12-09T09:30:17Z</dcterms:modified>
</cp:coreProperties>
</file>