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377825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109855</wp:posOffset>
            </wp:positionV>
            <wp:extent cx="1545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640" w:hanging="617"/>
        <w:spacing w:after="0"/>
        <w:tabs>
          <w:tab w:leader="none" w:pos="640" w:val="left"/>
        </w:tabs>
        <w:numPr>
          <w:ilvl w:val="0"/>
          <w:numId w:val="1"/>
        </w:numPr>
        <w:rPr>
          <w:rFonts w:ascii="MS PGothic" w:cs="MS PGothic" w:eastAsia="MS PGothic" w:hAnsi="MS PGothic"/>
          <w:sz w:val="19"/>
          <w:szCs w:val="19"/>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 the fiscal year ended September 30, 2023</w:t>
      </w:r>
    </w:p>
    <w:p>
      <w:pPr>
        <w:spacing w:after="0" w:line="140" w:lineRule="exact"/>
        <w:rPr>
          <w:sz w:val="24"/>
          <w:szCs w:val="24"/>
          <w:color w:val="auto"/>
        </w:rPr>
      </w:pPr>
    </w:p>
    <w:p>
      <w:pPr>
        <w:ind w:left="640" w:hanging="617"/>
        <w:spacing w:after="0"/>
        <w:tabs>
          <w:tab w:leader="none" w:pos="6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2" w:lineRule="exact"/>
        <w:rPr>
          <w:sz w:val="24"/>
          <w:szCs w:val="24"/>
          <w:color w:val="auto"/>
        </w:rPr>
      </w:pPr>
    </w:p>
    <w:p>
      <w:pPr>
        <w:jc w:val="right"/>
        <w:ind w:right="4520"/>
        <w:spacing w:after="0"/>
        <w:tabs>
          <w:tab w:leader="none" w:pos="46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 w:lineRule="exact"/>
        <w:rPr>
          <w:sz w:val="24"/>
          <w:szCs w:val="24"/>
          <w:color w:val="auto"/>
        </w:rPr>
      </w:pPr>
    </w:p>
    <w:p>
      <w:pPr>
        <w:jc w:val="right"/>
        <w:ind w:right="4480"/>
        <w:spacing w:after="0"/>
        <w:rPr>
          <w:sz w:val="20"/>
          <w:szCs w:val="20"/>
          <w:color w:val="auto"/>
        </w:rPr>
      </w:pPr>
      <w:r>
        <w:rPr>
          <w:rFonts w:ascii="Arial" w:cs="Arial" w:eastAsia="Arial" w:hAnsi="Arial"/>
          <w:sz w:val="16"/>
          <w:szCs w:val="16"/>
          <w:b w:val="1"/>
          <w:bCs w:val="1"/>
          <w:color w:val="auto"/>
        </w:rPr>
        <w:t>Commission File Number 1-11689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113030</wp:posOffset>
            </wp:positionV>
            <wp:extent cx="1545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426"/>
        </w:trPr>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gridSpan w:val="3"/>
          </w:tcPr>
          <w:p>
            <w:pPr>
              <w:jc w:val="center"/>
              <w:ind w:left="124"/>
              <w:spacing w:after="0"/>
              <w:rPr>
                <w:sz w:val="20"/>
                <w:szCs w:val="20"/>
                <w:color w:val="auto"/>
              </w:rPr>
            </w:pPr>
            <w:r>
              <w:rPr>
                <w:rFonts w:ascii="Arial" w:cs="Arial" w:eastAsia="Arial" w:hAnsi="Arial"/>
                <w:sz w:val="35"/>
                <w:szCs w:val="35"/>
                <w:b w:val="1"/>
                <w:bCs w:val="1"/>
                <w:color w:val="auto"/>
                <w:w w:val="93"/>
              </w:rPr>
              <w:t>Fair Isaac Corporation</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5"/>
          </w:tcPr>
          <w:p>
            <w:pPr>
              <w:jc w:val="center"/>
              <w:ind w:right="31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1520" w:type="dxa"/>
            <w:vAlign w:val="bottom"/>
          </w:tcPr>
          <w:p>
            <w:pPr>
              <w:spacing w:after="0"/>
              <w:rPr>
                <w:sz w:val="24"/>
                <w:szCs w:val="24"/>
                <w:color w:val="auto"/>
              </w:rPr>
            </w:pPr>
          </w:p>
        </w:tc>
        <w:tc>
          <w:tcPr>
            <w:tcW w:w="2100" w:type="dxa"/>
            <w:vAlign w:val="bottom"/>
            <w:gridSpan w:val="3"/>
          </w:tcPr>
          <w:p>
            <w:pPr>
              <w:jc w:val="center"/>
              <w:ind w:left="6"/>
              <w:spacing w:after="0"/>
              <w:rPr>
                <w:sz w:val="20"/>
                <w:szCs w:val="20"/>
                <w:color w:val="auto"/>
              </w:rPr>
            </w:pPr>
            <w:r>
              <w:rPr>
                <w:rFonts w:ascii="Arial" w:cs="Arial" w:eastAsia="Arial" w:hAnsi="Arial"/>
                <w:sz w:val="16"/>
                <w:szCs w:val="16"/>
                <w:b w:val="1"/>
                <w:bCs w:val="1"/>
                <w:color w:val="auto"/>
                <w:w w:val="88"/>
              </w:rPr>
              <w:t>Delaware</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gridSpan w:val="2"/>
          </w:tcPr>
          <w:p>
            <w:pPr>
              <w:jc w:val="center"/>
              <w:ind w:right="501"/>
              <w:spacing w:after="0"/>
              <w:rPr>
                <w:sz w:val="20"/>
                <w:szCs w:val="20"/>
                <w:color w:val="auto"/>
              </w:rPr>
            </w:pPr>
            <w:r>
              <w:rPr>
                <w:rFonts w:ascii="Arial" w:cs="Arial" w:eastAsia="Arial" w:hAnsi="Arial"/>
                <w:sz w:val="16"/>
                <w:szCs w:val="16"/>
                <w:b w:val="1"/>
                <w:bCs w:val="1"/>
                <w:color w:val="auto"/>
                <w:w w:val="91"/>
              </w:rPr>
              <w:t>94-1499887</w:t>
            </w: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100" w:type="dxa"/>
            <w:vAlign w:val="bottom"/>
            <w:gridSpan w:val="3"/>
          </w:tcPr>
          <w:p>
            <w:pPr>
              <w:jc w:val="center"/>
              <w:ind w:left="6"/>
              <w:spacing w:after="0" w:line="145" w:lineRule="exact"/>
              <w:rPr>
                <w:sz w:val="20"/>
                <w:szCs w:val="20"/>
                <w:color w:val="auto"/>
              </w:rPr>
            </w:pPr>
            <w:r>
              <w:rPr>
                <w:rFonts w:ascii="Arial" w:cs="Arial" w:eastAsia="Arial" w:hAnsi="Arial"/>
                <w:sz w:val="14"/>
                <w:szCs w:val="14"/>
                <w:b w:val="1"/>
                <w:bCs w:val="1"/>
                <w:color w:val="auto"/>
                <w:w w:val="90"/>
              </w:rPr>
              <w:t>(State or other jurisdiction of</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40" w:type="dxa"/>
            <w:vAlign w:val="bottom"/>
            <w:gridSpan w:val="2"/>
          </w:tcPr>
          <w:p>
            <w:pPr>
              <w:jc w:val="center"/>
              <w:ind w:right="501"/>
              <w:spacing w:after="0" w:line="145"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100" w:type="dxa"/>
            <w:vAlign w:val="bottom"/>
            <w:gridSpan w:val="3"/>
          </w:tcPr>
          <w:p>
            <w:pPr>
              <w:jc w:val="center"/>
              <w:ind w:left="6"/>
              <w:spacing w:after="0"/>
              <w:rPr>
                <w:sz w:val="20"/>
                <w:szCs w:val="20"/>
                <w:color w:val="auto"/>
              </w:rPr>
            </w:pPr>
            <w:r>
              <w:rPr>
                <w:rFonts w:ascii="Arial" w:cs="Arial" w:eastAsia="Arial" w:hAnsi="Arial"/>
                <w:sz w:val="14"/>
                <w:szCs w:val="14"/>
                <w:b w:val="1"/>
                <w:bCs w:val="1"/>
                <w:color w:val="auto"/>
                <w:w w:val="91"/>
              </w:rPr>
              <w:t>incorporation or organization)</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gridSpan w:val="2"/>
          </w:tcPr>
          <w:p>
            <w:pPr>
              <w:jc w:val="center"/>
              <w:ind w:right="50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438"/>
        </w:trPr>
        <w:tc>
          <w:tcPr>
            <w:tcW w:w="1520" w:type="dxa"/>
            <w:vAlign w:val="bottom"/>
          </w:tcPr>
          <w:p>
            <w:pPr>
              <w:spacing w:after="0"/>
              <w:rPr>
                <w:sz w:val="24"/>
                <w:szCs w:val="24"/>
                <w:color w:val="auto"/>
              </w:rPr>
            </w:pPr>
          </w:p>
        </w:tc>
        <w:tc>
          <w:tcPr>
            <w:tcW w:w="5900" w:type="dxa"/>
            <w:vAlign w:val="bottom"/>
            <w:gridSpan w:val="6"/>
          </w:tcPr>
          <w:p>
            <w:pPr>
              <w:jc w:val="center"/>
              <w:ind w:right="3100"/>
              <w:spacing w:after="0"/>
              <w:rPr>
                <w:sz w:val="20"/>
                <w:szCs w:val="20"/>
                <w:color w:val="auto"/>
              </w:rPr>
            </w:pPr>
            <w:r>
              <w:rPr>
                <w:rFonts w:ascii="Arial" w:cs="Arial" w:eastAsia="Arial" w:hAnsi="Arial"/>
                <w:sz w:val="16"/>
                <w:szCs w:val="16"/>
                <w:b w:val="1"/>
                <w:bCs w:val="1"/>
                <w:color w:val="auto"/>
                <w:w w:val="89"/>
              </w:rPr>
              <w:t>5 West Mendenhall, Suite 105</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520" w:type="dxa"/>
            <w:vAlign w:val="bottom"/>
          </w:tcPr>
          <w:p>
            <w:pPr>
              <w:spacing w:after="0"/>
              <w:rPr>
                <w:sz w:val="18"/>
                <w:szCs w:val="18"/>
                <w:color w:val="auto"/>
              </w:rPr>
            </w:pPr>
          </w:p>
        </w:tc>
        <w:tc>
          <w:tcPr>
            <w:tcW w:w="2100" w:type="dxa"/>
            <w:vAlign w:val="bottom"/>
            <w:gridSpan w:val="3"/>
          </w:tcPr>
          <w:p>
            <w:pPr>
              <w:ind w:left="720"/>
              <w:spacing w:after="0"/>
              <w:rPr>
                <w:sz w:val="20"/>
                <w:szCs w:val="20"/>
                <w:color w:val="auto"/>
              </w:rPr>
            </w:pPr>
            <w:r>
              <w:rPr>
                <w:rFonts w:ascii="Arial" w:cs="Arial" w:eastAsia="Arial" w:hAnsi="Arial"/>
                <w:sz w:val="16"/>
                <w:szCs w:val="16"/>
                <w:b w:val="1"/>
                <w:bCs w:val="1"/>
                <w:color w:val="auto"/>
                <w:w w:val="93"/>
              </w:rPr>
              <w:t>Bozeman, Montana</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center"/>
              <w:ind w:right="961"/>
              <w:spacing w:after="0"/>
              <w:rPr>
                <w:sz w:val="20"/>
                <w:szCs w:val="20"/>
                <w:color w:val="auto"/>
              </w:rPr>
            </w:pPr>
            <w:r>
              <w:rPr>
                <w:rFonts w:ascii="Arial" w:cs="Arial" w:eastAsia="Arial" w:hAnsi="Arial"/>
                <w:sz w:val="16"/>
                <w:szCs w:val="16"/>
                <w:b w:val="1"/>
                <w:bCs w:val="1"/>
                <w:color w:val="auto"/>
                <w:w w:val="89"/>
              </w:rPr>
              <w:t>59715</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5900" w:type="dxa"/>
            <w:vAlign w:val="bottom"/>
            <w:gridSpan w:val="6"/>
          </w:tcPr>
          <w:p>
            <w:pPr>
              <w:jc w:val="center"/>
              <w:ind w:right="310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86"/>
        </w:trPr>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gridSpan w:val="3"/>
          </w:tcPr>
          <w:p>
            <w:pPr>
              <w:jc w:val="center"/>
              <w:ind w:left="104"/>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0" w:type="dxa"/>
            <w:vAlign w:val="bottom"/>
            <w:gridSpan w:val="3"/>
          </w:tcPr>
          <w:p>
            <w:pPr>
              <w:jc w:val="center"/>
              <w:ind w:left="124"/>
              <w:spacing w:after="0"/>
              <w:rPr>
                <w:sz w:val="20"/>
                <w:szCs w:val="20"/>
                <w:color w:val="auto"/>
              </w:rPr>
            </w:pPr>
            <w:r>
              <w:rPr>
                <w:rFonts w:ascii="Arial" w:cs="Arial" w:eastAsia="Arial" w:hAnsi="Arial"/>
                <w:sz w:val="16"/>
                <w:szCs w:val="16"/>
                <w:b w:val="1"/>
                <w:bCs w:val="1"/>
                <w:color w:val="auto"/>
                <w:w w:val="90"/>
              </w:rPr>
              <w:t>406-982-7276</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0" w:type="dxa"/>
            <w:vAlign w:val="bottom"/>
            <w:gridSpan w:val="5"/>
          </w:tcPr>
          <w:p>
            <w:pPr>
              <w:jc w:val="center"/>
              <w:ind w:right="292"/>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8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89"/>
              </w:rPr>
              <w:t>Trading Symbol(s)</w:t>
            </w:r>
          </w:p>
        </w:tc>
        <w:tc>
          <w:tcPr>
            <w:tcW w:w="2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620" w:type="dxa"/>
            <w:vAlign w:val="bottom"/>
            <w:gridSpan w:val="4"/>
          </w:tcPr>
          <w:p>
            <w:pPr>
              <w:jc w:val="center"/>
              <w:ind w:left="418"/>
              <w:spacing w:after="0"/>
              <w:rPr>
                <w:sz w:val="20"/>
                <w:szCs w:val="20"/>
                <w:color w:val="auto"/>
              </w:rPr>
            </w:pPr>
            <w:r>
              <w:rPr>
                <w:rFonts w:ascii="Arial" w:cs="Arial" w:eastAsia="Arial" w:hAnsi="Arial"/>
                <w:sz w:val="18"/>
                <w:szCs w:val="18"/>
                <w:color w:val="auto"/>
                <w:w w:val="87"/>
              </w:rPr>
              <w:t>Common Stock, $0.01 par value per share</w:t>
            </w:r>
          </w:p>
        </w:tc>
        <w:tc>
          <w:tcPr>
            <w:tcW w:w="1020" w:type="dxa"/>
            <w:vAlign w:val="bottom"/>
          </w:tcPr>
          <w:p>
            <w:pPr>
              <w:spacing w:after="0"/>
              <w:rPr>
                <w:sz w:val="22"/>
                <w:szCs w:val="22"/>
                <w:color w:val="auto"/>
              </w:rPr>
            </w:pPr>
          </w:p>
        </w:tc>
        <w:tc>
          <w:tcPr>
            <w:tcW w:w="2780" w:type="dxa"/>
            <w:vAlign w:val="bottom"/>
            <w:gridSpan w:val="2"/>
          </w:tcPr>
          <w:p>
            <w:pPr>
              <w:jc w:val="center"/>
              <w:ind w:right="1680"/>
              <w:spacing w:after="0"/>
              <w:rPr>
                <w:sz w:val="20"/>
                <w:szCs w:val="20"/>
                <w:color w:val="auto"/>
              </w:rPr>
            </w:pPr>
            <w:r>
              <w:rPr>
                <w:rFonts w:ascii="Arial" w:cs="Arial" w:eastAsia="Arial" w:hAnsi="Arial"/>
                <w:sz w:val="14"/>
                <w:szCs w:val="14"/>
                <w:color w:val="auto"/>
                <w:w w:val="89"/>
              </w:rPr>
              <w:t>FICO</w:t>
            </w:r>
          </w:p>
        </w:tc>
        <w:tc>
          <w:tcPr>
            <w:tcW w:w="20" w:type="dxa"/>
            <w:vAlign w:val="bottom"/>
          </w:tcPr>
          <w:p>
            <w:pPr>
              <w:spacing w:after="0"/>
              <w:rPr>
                <w:sz w:val="22"/>
                <w:szCs w:val="22"/>
                <w:color w:val="auto"/>
              </w:rPr>
            </w:pPr>
          </w:p>
        </w:tc>
        <w:tc>
          <w:tcPr>
            <w:tcW w:w="2620" w:type="dxa"/>
            <w:vAlign w:val="bottom"/>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0" w:type="dxa"/>
            <w:vAlign w:val="bottom"/>
            <w:gridSpan w:val="5"/>
          </w:tcPr>
          <w:p>
            <w:pPr>
              <w:jc w:val="center"/>
              <w:ind w:right="292"/>
              <w:spacing w:after="0"/>
              <w:rPr>
                <w:sz w:val="20"/>
                <w:szCs w:val="20"/>
                <w:color w:val="auto"/>
              </w:rPr>
            </w:pPr>
            <w:r>
              <w:rPr>
                <w:rFonts w:ascii="Arial" w:cs="Arial" w:eastAsia="Arial" w:hAnsi="Arial"/>
                <w:sz w:val="16"/>
                <w:szCs w:val="16"/>
                <w:b w:val="1"/>
                <w:bCs w:val="1"/>
                <w:color w:val="auto"/>
                <w:w w:val="87"/>
              </w:rPr>
              <w:t>Securities registered pursuant to Section 12(g) of the Act:</w:t>
            </w: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89"/>
              </w:rPr>
              <w:t>None</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40" w:type="dxa"/>
            <w:vAlign w:val="bottom"/>
            <w:tcBorders>
              <w:bottom w:val="single" w:sz="8" w:color="auto"/>
            </w:tcBorders>
            <w:gridSpan w:val="2"/>
          </w:tcPr>
          <w:p>
            <w:pPr>
              <w:spacing w:after="0"/>
              <w:rPr>
                <w:sz w:val="14"/>
                <w:szCs w:val="14"/>
                <w:color w:val="auto"/>
              </w:rPr>
            </w:pPr>
          </w:p>
        </w:tc>
        <w:tc>
          <w:tcPr>
            <w:tcW w:w="5580" w:type="dxa"/>
            <w:vAlign w:val="bottom"/>
            <w:gridSpan w:val="7"/>
          </w:tcPr>
          <w:p>
            <w:pPr>
              <w:spacing w:after="0"/>
              <w:rPr>
                <w:sz w:val="14"/>
                <w:szCs w:val="14"/>
                <w:color w:val="auto"/>
              </w:rPr>
            </w:pPr>
          </w:p>
        </w:tc>
        <w:tc>
          <w:tcPr>
            <w:tcW w:w="480" w:type="dxa"/>
            <w:vAlign w:val="bottom"/>
            <w:vMerge w:val="restart"/>
          </w:tcPr>
          <w:p>
            <w:pPr>
              <w:ind w:left="40"/>
              <w:spacing w:after="0" w:line="184" w:lineRule="exact"/>
              <w:rPr>
                <w:sz w:val="20"/>
                <w:szCs w:val="20"/>
                <w:color w:val="auto"/>
              </w:rPr>
            </w:pPr>
            <w:r>
              <w:rPr>
                <w:rFonts w:ascii="Arial" w:cs="Arial" w:eastAsia="Arial" w:hAnsi="Arial"/>
                <w:sz w:val="16"/>
                <w:szCs w:val="16"/>
                <w:color w:val="auto"/>
                <w:w w:val="87"/>
              </w:rPr>
              <w:t xml:space="preserve">Yes </w:t>
            </w:r>
            <w:r>
              <w:rPr>
                <w:rFonts w:ascii="MS PGothic" w:cs="MS PGothic" w:eastAsia="MS PGothic" w:hAnsi="MS PGothic"/>
                <w:sz w:val="16"/>
                <w:szCs w:val="16"/>
                <w:color w:val="auto"/>
                <w:w w:val="87"/>
              </w:rPr>
              <w:t>☒</w:t>
            </w:r>
          </w:p>
        </w:tc>
        <w:tc>
          <w:tcPr>
            <w:tcW w:w="1560" w:type="dxa"/>
            <w:vAlign w:val="bottom"/>
            <w:vMerge w:val="restart"/>
          </w:tcPr>
          <w:p>
            <w:pPr>
              <w:jc w:val="center"/>
              <w:ind w:right="741"/>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3"/>
        </w:trPr>
        <w:tc>
          <w:tcPr>
            <w:tcW w:w="8020" w:type="dxa"/>
            <w:vAlign w:val="bottom"/>
            <w:gridSpan w:val="9"/>
          </w:tcPr>
          <w:p>
            <w:pPr>
              <w:ind w:left="440"/>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4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20" w:type="dxa"/>
            <w:vAlign w:val="bottom"/>
            <w:gridSpan w:val="9"/>
          </w:tcPr>
          <w:p>
            <w:pPr>
              <w:ind w:left="440"/>
              <w:spacing w:after="0"/>
              <w:rPr>
                <w:sz w:val="20"/>
                <w:szCs w:val="20"/>
                <w:color w:val="auto"/>
              </w:rPr>
            </w:pPr>
            <w:r>
              <w:rPr>
                <w:rFonts w:ascii="Arial" w:cs="Arial" w:eastAsia="Arial" w:hAnsi="Arial"/>
                <w:sz w:val="16"/>
                <w:szCs w:val="16"/>
                <w:color w:val="auto"/>
                <w:w w:val="90"/>
              </w:rPr>
              <w:t>Indicate by check mark if the registrant is not required to file reports pursuant to Section 13 or Section 15(d) of the Act.</w:t>
            </w:r>
          </w:p>
        </w:tc>
        <w:tc>
          <w:tcPr>
            <w:tcW w:w="480" w:type="dxa"/>
            <w:vAlign w:val="bottom"/>
          </w:tcPr>
          <w:p>
            <w:pPr>
              <w:ind w:left="180"/>
              <w:spacing w:after="0"/>
              <w:rPr>
                <w:sz w:val="20"/>
                <w:szCs w:val="20"/>
                <w:color w:val="auto"/>
              </w:rPr>
            </w:pPr>
            <w:r>
              <w:rPr>
                <w:rFonts w:ascii="Arial" w:cs="Arial" w:eastAsia="Arial" w:hAnsi="Arial"/>
                <w:sz w:val="16"/>
                <w:szCs w:val="16"/>
                <w:color w:val="auto"/>
              </w:rPr>
              <w:t>Yes</w:t>
            </w:r>
          </w:p>
        </w:tc>
        <w:tc>
          <w:tcPr>
            <w:tcW w:w="1560" w:type="dxa"/>
            <w:vAlign w:val="bottom"/>
          </w:tcPr>
          <w:p>
            <w:pPr>
              <w:jc w:val="center"/>
              <w:ind w:right="761"/>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firstLine="434"/>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jc w:val="both"/>
        <w:ind w:firstLine="434"/>
        <w:spacing w:after="0" w:line="19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434"/>
        <w:spacing w:after="0" w:line="31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1"/>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67"/>
        </w:trPr>
        <w:tc>
          <w:tcPr>
            <w:tcW w:w="19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120" w:type="dxa"/>
            <w:vAlign w:val="bottom"/>
          </w:tcPr>
          <w:p>
            <w:pPr>
              <w:ind w:left="28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3" w:lineRule="exact"/>
        <w:rPr>
          <w:sz w:val="24"/>
          <w:szCs w:val="24"/>
          <w:color w:val="auto"/>
        </w:rPr>
      </w:pPr>
    </w:p>
    <w:p>
      <w:pPr>
        <w:ind w:right="460" w:firstLine="395"/>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6"/>
          <w:szCs w:val="16"/>
          <w:color w:val="auto"/>
        </w:rPr>
        <w:t>☐</w:t>
      </w:r>
    </w:p>
    <w:p>
      <w:pPr>
        <w:jc w:val="both"/>
        <w:ind w:firstLine="395"/>
        <w:spacing w:after="0" w:line="191"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95"/>
        <w:spacing w:after="0" w:line="18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ind w:firstLine="395"/>
        <w:spacing w:after="0" w:line="205"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3" w:lineRule="exact"/>
        <w:rPr>
          <w:sz w:val="24"/>
          <w:szCs w:val="24"/>
          <w:color w:val="auto"/>
        </w:rPr>
      </w:pPr>
    </w:p>
    <w:p>
      <w:pPr>
        <w:ind w:left="7740"/>
        <w:spacing w:after="0" w:line="184" w:lineRule="exact"/>
        <w:tabs>
          <w:tab w:leader="none" w:pos="8260" w:val="left"/>
          <w:tab w:leader="none" w:pos="8920" w:val="left"/>
          <w:tab w:leader="none" w:pos="93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jc w:val="both"/>
        <w:ind w:firstLine="395"/>
        <w:spacing w:after="0" w:line="246" w:lineRule="auto"/>
        <w:rPr>
          <w:sz w:val="20"/>
          <w:szCs w:val="20"/>
          <w:color w:val="auto"/>
        </w:rPr>
      </w:pPr>
      <w:r>
        <w:rPr>
          <w:rFonts w:ascii="Arial" w:cs="Arial" w:eastAsia="Arial" w:hAnsi="Arial"/>
          <w:sz w:val="16"/>
          <w:szCs w:val="16"/>
          <w:color w:val="auto"/>
        </w:rPr>
        <w:t>As of March 31, 2023, the aggregate market value of the registrant’s common stock held by non-affiliates of the registrant was $14,169,078,627 based on the last transaction price as reported on the New York Stock Exchange on such date. This calculation does not reflect a determination that certain persons are affiliates of the registrant for any other purposes.</w:t>
      </w:r>
    </w:p>
    <w:p>
      <w:pPr>
        <w:ind w:left="400"/>
        <w:spacing w:after="0"/>
        <w:rPr>
          <w:sz w:val="20"/>
          <w:szCs w:val="20"/>
          <w:color w:val="auto"/>
        </w:rPr>
      </w:pPr>
      <w:r>
        <w:rPr>
          <w:rFonts w:ascii="Arial" w:cs="Arial" w:eastAsia="Arial" w:hAnsi="Arial"/>
          <w:sz w:val="15"/>
          <w:szCs w:val="15"/>
          <w:color w:val="auto"/>
        </w:rPr>
        <w:t>The number of shares of common stock outstanding on October 27, 2023 was 24,713,557 (excluding 64,143,226 shares held by the Company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226060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DOCUMENTS INCORPORATED BY REFERENCE</w:t>
      </w:r>
    </w:p>
    <w:p>
      <w:pPr>
        <w:spacing w:after="0" w:line="124"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6"/>
          <w:szCs w:val="16"/>
          <w:color w:val="auto"/>
        </w:rPr>
        <w:t>Portions of the Registrant’s definitive proxy statement relating to its 2024 Annual Meeting of Stockholders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32"/>
          </w:tcPr>
          <w:p>
            <w:pPr>
              <w:spacing w:after="0"/>
              <w:rPr>
                <w:sz w:val="20"/>
                <w:szCs w:val="20"/>
                <w:color w:val="auto"/>
              </w:rPr>
            </w:pPr>
            <w:r>
              <w:rPr>
                <w:rFonts w:ascii="Arial" w:cs="Arial" w:eastAsia="Arial" w:hAnsi="Arial"/>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69"/>
        </w:trPr>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20" w:type="dxa"/>
            <w:vAlign w:val="bottom"/>
            <w:gridSpan w:val="16"/>
          </w:tcPr>
          <w:p>
            <w:pPr>
              <w:jc w:val="center"/>
              <w:ind w:right="408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512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Business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1A.</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Risk Factors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14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FF"/>
            </w:tcBorders>
            <w:gridSpan w:val="10"/>
          </w:tcPr>
          <w:p>
            <w:pPr>
              <w:spacing w:after="0" w:line="204" w:lineRule="exact"/>
              <w:rPr>
                <w:sz w:val="20"/>
                <w:szCs w:val="20"/>
                <w:color w:val="auto"/>
              </w:rPr>
            </w:pPr>
            <w:r>
              <w:rPr>
                <w:rFonts w:ascii="Arial" w:cs="Arial" w:eastAsia="Arial" w:hAnsi="Arial"/>
                <w:sz w:val="18"/>
                <w:szCs w:val="18"/>
                <w:color w:val="0000FF"/>
                <w:w w:val="87"/>
              </w:rPr>
              <w:t>Unresolved Staff Comments</w:t>
            </w:r>
          </w:p>
        </w:tc>
        <w:tc>
          <w:tcPr>
            <w:tcW w:w="7960" w:type="dxa"/>
            <w:vAlign w:val="bottom"/>
            <w:gridSpan w:val="19"/>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27</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FF"/>
            </w:tcBorders>
            <w:gridSpan w:val="3"/>
          </w:tcPr>
          <w:p>
            <w:pPr>
              <w:spacing w:after="0" w:line="204" w:lineRule="exact"/>
              <w:rPr>
                <w:sz w:val="20"/>
                <w:szCs w:val="20"/>
                <w:color w:val="auto"/>
              </w:rPr>
            </w:pPr>
            <w:r>
              <w:rPr>
                <w:rFonts w:ascii="Arial" w:cs="Arial" w:eastAsia="Arial" w:hAnsi="Arial"/>
                <w:sz w:val="18"/>
                <w:szCs w:val="18"/>
                <w:color w:val="0000FF"/>
                <w:w w:val="85"/>
              </w:rPr>
              <w:t>Properties</w:t>
            </w:r>
          </w:p>
        </w:tc>
        <w:tc>
          <w:tcPr>
            <w:tcW w:w="9240" w:type="dxa"/>
            <w:vAlign w:val="bottom"/>
            <w:gridSpan w:val="26"/>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27</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3.</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28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4.</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28</w:t>
            </w:r>
          </w:p>
        </w:tc>
      </w:tr>
      <w:tr>
        <w:trPr>
          <w:trHeight w:val="46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64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b w:val="1"/>
                <w:bCs w:val="1"/>
                <w:color w:val="0000FF"/>
                <w:w w:val="99"/>
              </w:rPr>
              <w:t>PART II</w:t>
            </w:r>
          </w:p>
        </w:tc>
        <w:tc>
          <w:tcPr>
            <w:tcW w:w="5080" w:type="dxa"/>
            <w:vAlign w:val="bottom"/>
            <w:gridSpan w:val="8"/>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FF"/>
            </w:tcBorders>
            <w:gridSpan w:val="28"/>
          </w:tcPr>
          <w:p>
            <w:pPr>
              <w:spacing w:after="0" w:line="204" w:lineRule="exact"/>
              <w:rPr>
                <w:sz w:val="20"/>
                <w:szCs w:val="20"/>
                <w:color w:val="auto"/>
              </w:rPr>
            </w:pPr>
            <w:r>
              <w:rPr>
                <w:rFonts w:ascii="Arial" w:cs="Arial" w:eastAsia="Arial" w:hAnsi="Arial"/>
                <w:sz w:val="18"/>
                <w:szCs w:val="18"/>
                <w:color w:val="0000FF"/>
                <w:w w:val="88"/>
              </w:rPr>
              <w:t>Market for Registrant’s Common Equity, Related Stockholder Matters and Issuer Purchases of Equity Securities</w:t>
            </w:r>
          </w:p>
        </w:tc>
        <w:tc>
          <w:tcPr>
            <w:tcW w:w="20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29</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6.</w:t>
            </w:r>
          </w:p>
        </w:tc>
        <w:tc>
          <w:tcPr>
            <w:tcW w:w="780" w:type="dxa"/>
            <w:vAlign w:val="bottom"/>
            <w:tcBorders>
              <w:bottom w:val="single" w:sz="8" w:color="0000FF"/>
            </w:tcBorders>
            <w:gridSpan w:val="4"/>
          </w:tcPr>
          <w:p>
            <w:pPr>
              <w:spacing w:after="0" w:line="204" w:lineRule="exact"/>
              <w:rPr>
                <w:sz w:val="20"/>
                <w:szCs w:val="20"/>
                <w:color w:val="auto"/>
              </w:rPr>
            </w:pPr>
            <w:r>
              <w:rPr>
                <w:rFonts w:ascii="Arial" w:cs="Arial" w:eastAsia="Arial" w:hAnsi="Arial"/>
                <w:sz w:val="18"/>
                <w:szCs w:val="18"/>
                <w:color w:val="0000FF"/>
                <w:w w:val="87"/>
              </w:rPr>
              <w:t>[Reserved]</w:t>
            </w:r>
          </w:p>
        </w:tc>
        <w:tc>
          <w:tcPr>
            <w:tcW w:w="9180" w:type="dxa"/>
            <w:vAlign w:val="bottom"/>
            <w:gridSpan w:val="25"/>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30</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FF"/>
            </w:tcBorders>
            <w:gridSpan w:val="25"/>
          </w:tcPr>
          <w:p>
            <w:pPr>
              <w:spacing w:after="0" w:line="204"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660" w:type="dxa"/>
            <w:vAlign w:val="bottom"/>
            <w:gridSpan w:val="4"/>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31</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7A.</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46</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FF"/>
            </w:tcBorders>
            <w:gridSpan w:val="17"/>
          </w:tcPr>
          <w:p>
            <w:pPr>
              <w:spacing w:after="0" w:line="204" w:lineRule="exact"/>
              <w:rPr>
                <w:sz w:val="20"/>
                <w:szCs w:val="20"/>
                <w:color w:val="auto"/>
              </w:rPr>
            </w:pPr>
            <w:r>
              <w:rPr>
                <w:rFonts w:ascii="Arial" w:cs="Arial" w:eastAsia="Arial" w:hAnsi="Arial"/>
                <w:sz w:val="18"/>
                <w:szCs w:val="18"/>
                <w:color w:val="0000FF"/>
              </w:rPr>
              <w:t>Financial Statements and Supplementary Data</w:t>
            </w:r>
          </w:p>
        </w:tc>
        <w:tc>
          <w:tcPr>
            <w:tcW w:w="5720" w:type="dxa"/>
            <w:vAlign w:val="bottom"/>
            <w:gridSpan w:val="12"/>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48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FF"/>
            </w:tcBorders>
            <w:gridSpan w:val="26"/>
          </w:tcPr>
          <w:p>
            <w:pPr>
              <w:spacing w:after="0" w:line="204" w:lineRule="exact"/>
              <w:rPr>
                <w:sz w:val="20"/>
                <w:szCs w:val="20"/>
                <w:color w:val="auto"/>
              </w:rPr>
            </w:pPr>
            <w:r>
              <w:rPr>
                <w:rFonts w:ascii="Arial" w:cs="Arial" w:eastAsia="Arial" w:hAnsi="Arial"/>
                <w:sz w:val="18"/>
                <w:szCs w:val="18"/>
                <w:color w:val="0000FF"/>
                <w:w w:val="88"/>
              </w:rPr>
              <w:t>Changes in and Disagreements with Accountants on Accounting and Financial Disclosure</w:t>
            </w:r>
          </w:p>
        </w:tc>
        <w:tc>
          <w:tcPr>
            <w:tcW w:w="3640" w:type="dxa"/>
            <w:vAlign w:val="bottom"/>
            <w:gridSpan w:val="3"/>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82</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9A.</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82</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FF"/>
            </w:tcBorders>
            <w:gridSpan w:val="8"/>
          </w:tcPr>
          <w:p>
            <w:pPr>
              <w:spacing w:after="0" w:line="204" w:lineRule="exact"/>
              <w:rPr>
                <w:sz w:val="20"/>
                <w:szCs w:val="20"/>
                <w:color w:val="auto"/>
              </w:rPr>
            </w:pPr>
            <w:r>
              <w:rPr>
                <w:rFonts w:ascii="Arial" w:cs="Arial" w:eastAsia="Arial" w:hAnsi="Arial"/>
                <w:sz w:val="18"/>
                <w:szCs w:val="18"/>
                <w:color w:val="0000FF"/>
              </w:rPr>
              <w:t>Other Information</w:t>
            </w:r>
          </w:p>
        </w:tc>
        <w:tc>
          <w:tcPr>
            <w:tcW w:w="8240" w:type="dxa"/>
            <w:vAlign w:val="bottom"/>
            <w:gridSpan w:val="21"/>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9C.</w:t>
            </w:r>
          </w:p>
        </w:tc>
        <w:tc>
          <w:tcPr>
            <w:tcW w:w="4780" w:type="dxa"/>
            <w:vAlign w:val="bottom"/>
            <w:tcBorders>
              <w:bottom w:val="single" w:sz="8" w:color="0000FF"/>
            </w:tcBorders>
            <w:gridSpan w:val="19"/>
          </w:tcPr>
          <w:p>
            <w:pPr>
              <w:spacing w:after="0" w:line="204" w:lineRule="exact"/>
              <w:rPr>
                <w:sz w:val="20"/>
                <w:szCs w:val="20"/>
                <w:color w:val="auto"/>
              </w:rPr>
            </w:pPr>
            <w:r>
              <w:rPr>
                <w:rFonts w:ascii="Arial" w:cs="Arial" w:eastAsia="Arial" w:hAnsi="Arial"/>
                <w:sz w:val="18"/>
                <w:szCs w:val="18"/>
                <w:color w:val="0000FF"/>
                <w:w w:val="88"/>
              </w:rPr>
              <w:t>Disclosure Regarding Foreign Jurisdictions that Prevent Inspections</w:t>
            </w:r>
          </w:p>
        </w:tc>
        <w:tc>
          <w:tcPr>
            <w:tcW w:w="5180" w:type="dxa"/>
            <w:vAlign w:val="bottom"/>
            <w:gridSpan w:val="10"/>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83</w:t>
            </w:r>
          </w:p>
        </w:tc>
      </w:tr>
      <w:tr>
        <w:trPr>
          <w:trHeight w:val="46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60" w:type="dxa"/>
            <w:vAlign w:val="bottom"/>
            <w:gridSpan w:val="15"/>
          </w:tcPr>
          <w:p>
            <w:pPr>
              <w:jc w:val="center"/>
              <w:ind w:right="4860"/>
              <w:spacing w:after="0"/>
              <w:rPr>
                <w:sz w:val="20"/>
                <w:szCs w:val="20"/>
                <w:color w:val="auto"/>
              </w:rPr>
            </w:pPr>
            <w:r>
              <w:rPr>
                <w:rFonts w:ascii="Arial" w:cs="Arial" w:eastAsia="Arial" w:hAnsi="Arial"/>
                <w:sz w:val="18"/>
                <w:szCs w:val="18"/>
                <w:b w:val="1"/>
                <w:bCs w:val="1"/>
                <w:color w:val="0000FF"/>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FF"/>
            </w:tcBorders>
            <w:gridSpan w:val="14"/>
          </w:tcPr>
          <w:p>
            <w:pPr>
              <w:spacing w:after="0" w:line="204" w:lineRule="exact"/>
              <w:rPr>
                <w:sz w:val="20"/>
                <w:szCs w:val="20"/>
                <w:color w:val="auto"/>
              </w:rPr>
            </w:pPr>
            <w:r>
              <w:rPr>
                <w:rFonts w:ascii="Arial" w:cs="Arial" w:eastAsia="Arial" w:hAnsi="Arial"/>
                <w:sz w:val="18"/>
                <w:szCs w:val="18"/>
                <w:color w:val="0000FF"/>
                <w:w w:val="88"/>
              </w:rPr>
              <w:t>Directors, Executive Officers and Corporate Governance</w:t>
            </w:r>
          </w:p>
        </w:tc>
        <w:tc>
          <w:tcPr>
            <w:tcW w:w="200" w:type="dxa"/>
            <w:vAlign w:val="bottom"/>
          </w:tcPr>
          <w:p>
            <w:pPr>
              <w:spacing w:after="0"/>
              <w:rPr>
                <w:sz w:val="17"/>
                <w:szCs w:val="17"/>
                <w:color w:val="auto"/>
              </w:rPr>
            </w:pPr>
          </w:p>
        </w:tc>
        <w:tc>
          <w:tcPr>
            <w:tcW w:w="720" w:type="dxa"/>
            <w:vAlign w:val="bottom"/>
            <w:tcBorders>
              <w:top w:val="single" w:sz="8" w:color="0000FF"/>
            </w:tcBorders>
            <w:gridSpan w:val="8"/>
          </w:tcPr>
          <w:p>
            <w:pPr>
              <w:spacing w:after="0"/>
              <w:rPr>
                <w:sz w:val="17"/>
                <w:szCs w:val="17"/>
                <w:color w:val="auto"/>
              </w:rPr>
            </w:pPr>
          </w:p>
        </w:tc>
        <w:tc>
          <w:tcPr>
            <w:tcW w:w="5040" w:type="dxa"/>
            <w:vAlign w:val="bottom"/>
            <w:gridSpan w:val="6"/>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84</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11.</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Executive Compensation</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86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12.</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86</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FF"/>
              <w:bottom w:val="single" w:sz="8" w:color="0000FF"/>
            </w:tcBorders>
            <w:gridSpan w:val="24"/>
          </w:tcPr>
          <w:p>
            <w:pPr>
              <w:spacing w:after="0" w:line="204" w:lineRule="exact"/>
              <w:rPr>
                <w:sz w:val="20"/>
                <w:szCs w:val="20"/>
                <w:color w:val="auto"/>
              </w:rPr>
            </w:pPr>
            <w:r>
              <w:rPr>
                <w:rFonts w:ascii="Arial" w:cs="Arial" w:eastAsia="Arial" w:hAnsi="Arial"/>
                <w:sz w:val="18"/>
                <w:szCs w:val="18"/>
                <w:color w:val="0000FF"/>
                <w:w w:val="87"/>
              </w:rPr>
              <w:t>Certain Relationships and Related Transactions, and Director Independence</w:t>
            </w:r>
          </w:p>
        </w:tc>
        <w:tc>
          <w:tcPr>
            <w:tcW w:w="1780" w:type="dxa"/>
            <w:vAlign w:val="bottom"/>
            <w:tcBorders>
              <w:top w:val="single" w:sz="8" w:color="0000FF"/>
            </w:tcBorders>
            <w:gridSpan w:val="3"/>
          </w:tcPr>
          <w:p>
            <w:pPr>
              <w:spacing w:after="0"/>
              <w:rPr>
                <w:sz w:val="17"/>
                <w:szCs w:val="17"/>
                <w:color w:val="auto"/>
              </w:rPr>
            </w:pPr>
          </w:p>
        </w:tc>
        <w:tc>
          <w:tcPr>
            <w:tcW w:w="28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86</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14.</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Principal Accountant Fees and Services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86</w:t>
            </w:r>
          </w:p>
        </w:tc>
      </w:tr>
      <w:tr>
        <w:trPr>
          <w:trHeight w:val="46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5"/>
              </w:rPr>
              <w:t>PART IV</w:t>
            </w:r>
          </w:p>
        </w:tc>
        <w:tc>
          <w:tcPr>
            <w:tcW w:w="5060" w:type="dxa"/>
            <w:vAlign w:val="bottom"/>
            <w:gridSpan w:val="7"/>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15.</w:t>
            </w:r>
          </w:p>
        </w:tc>
        <w:tc>
          <w:tcPr>
            <w:tcW w:w="9960" w:type="dxa"/>
            <w:vAlign w:val="bottom"/>
            <w:gridSpan w:val="29"/>
          </w:tcPr>
          <w:p>
            <w:pPr>
              <w:spacing w:after="0" w:line="204" w:lineRule="exact"/>
              <w:rPr>
                <w:sz w:val="20"/>
                <w:szCs w:val="20"/>
                <w:color w:val="auto"/>
              </w:rPr>
            </w:pPr>
            <w:r>
              <w:rPr>
                <w:rFonts w:ascii="Arial" w:cs="Arial" w:eastAsia="Arial" w:hAnsi="Arial"/>
                <w:sz w:val="18"/>
                <w:szCs w:val="18"/>
                <w:color w:val="0000FF"/>
              </w:rPr>
              <w:t>Exhibits, Financial Statement Schedules</w:t>
            </w:r>
          </w:p>
        </w:tc>
        <w:tc>
          <w:tcPr>
            <w:tcW w:w="180" w:type="dxa"/>
            <w:vAlign w:val="bottom"/>
            <w:gridSpan w:val="2"/>
          </w:tcPr>
          <w:p>
            <w:pPr>
              <w:jc w:val="right"/>
              <w:spacing w:after="0" w:line="204" w:lineRule="exact"/>
              <w:rPr>
                <w:sz w:val="20"/>
                <w:szCs w:val="20"/>
                <w:color w:val="auto"/>
              </w:rPr>
            </w:pPr>
            <w:r>
              <w:rPr>
                <w:rFonts w:ascii="Arial" w:cs="Arial" w:eastAsia="Arial" w:hAnsi="Arial"/>
                <w:sz w:val="18"/>
                <w:szCs w:val="18"/>
                <w:color w:val="0000FF"/>
                <w:w w:val="79"/>
              </w:rPr>
              <w:t>87</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auto"/>
              </w:rPr>
              <w:t>Item 16.</w:t>
            </w:r>
          </w:p>
        </w:tc>
        <w:tc>
          <w:tcPr>
            <w:tcW w:w="2820" w:type="dxa"/>
            <w:vAlign w:val="bottom"/>
            <w:tcBorders>
              <w:top w:val="single" w:sz="8" w:color="0000FF"/>
            </w:tcBorders>
            <w:gridSpan w:val="12"/>
          </w:tcPr>
          <w:p>
            <w:pPr>
              <w:spacing w:after="0" w:line="204" w:lineRule="exact"/>
              <w:rPr>
                <w:sz w:val="20"/>
                <w:szCs w:val="20"/>
                <w:color w:val="auto"/>
              </w:rPr>
            </w:pPr>
            <w:r>
              <w:rPr>
                <w:rFonts w:ascii="Arial" w:cs="Arial" w:eastAsia="Arial" w:hAnsi="Arial"/>
                <w:sz w:val="18"/>
                <w:szCs w:val="18"/>
                <w:color w:val="0000FF"/>
              </w:rPr>
              <w:t>Form 10-K Summary</w:t>
            </w:r>
          </w:p>
        </w:tc>
        <w:tc>
          <w:tcPr>
            <w:tcW w:w="7140" w:type="dxa"/>
            <w:vAlign w:val="bottom"/>
            <w:gridSpan w:val="17"/>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91</w:t>
            </w:r>
          </w:p>
        </w:tc>
      </w:tr>
      <w:tr>
        <w:trPr>
          <w:trHeight w:val="204"/>
        </w:trPr>
        <w:tc>
          <w:tcPr>
            <w:tcW w:w="20" w:type="dxa"/>
            <w:vAlign w:val="bottom"/>
          </w:tcPr>
          <w:p>
            <w:pPr>
              <w:spacing w:after="0"/>
              <w:rPr>
                <w:sz w:val="17"/>
                <w:szCs w:val="17"/>
                <w:color w:val="auto"/>
              </w:rPr>
            </w:pPr>
          </w:p>
        </w:tc>
        <w:tc>
          <w:tcPr>
            <w:tcW w:w="1040" w:type="dxa"/>
            <w:vAlign w:val="bottom"/>
            <w:gridSpan w:val="2"/>
          </w:tcPr>
          <w:p>
            <w:pPr>
              <w:spacing w:after="0" w:line="204" w:lineRule="exact"/>
              <w:rPr>
                <w:sz w:val="20"/>
                <w:szCs w:val="20"/>
                <w:color w:val="auto"/>
              </w:rPr>
            </w:pPr>
            <w:r>
              <w:rPr>
                <w:rFonts w:ascii="Arial" w:cs="Arial" w:eastAsia="Arial" w:hAnsi="Arial"/>
                <w:sz w:val="18"/>
                <w:szCs w:val="18"/>
                <w:color w:val="0000FF"/>
              </w:rPr>
              <w:t>Signatures</w:t>
            </w:r>
          </w:p>
        </w:tc>
        <w:tc>
          <w:tcPr>
            <w:tcW w:w="1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sz w:val="20"/>
                <w:szCs w:val="20"/>
                <w:color w:val="auto"/>
              </w:rPr>
            </w:pPr>
            <w:r>
              <w:rPr>
                <w:rFonts w:ascii="Arial" w:cs="Arial" w:eastAsia="Arial" w:hAnsi="Arial"/>
                <w:sz w:val="18"/>
                <w:szCs w:val="18"/>
                <w:color w:val="0000FF"/>
                <w:w w:val="79"/>
              </w:rPr>
              <w:t>92</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15"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“Risk Factors,” below.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46" w:lineRule="exact"/>
        <w:rPr>
          <w:sz w:val="20"/>
          <w:szCs w:val="20"/>
          <w:color w:val="auto"/>
        </w:rPr>
      </w:pPr>
    </w:p>
    <w:p>
      <w:pPr>
        <w:jc w:val="both"/>
        <w:ind w:firstLine="316"/>
        <w:spacing w:after="0" w:line="279" w:lineRule="auto"/>
        <w:rPr>
          <w:sz w:val="20"/>
          <w:szCs w:val="20"/>
          <w:color w:val="auto"/>
        </w:rPr>
      </w:pPr>
      <w:r>
        <w:rPr>
          <w:rFonts w:ascii="Arial" w:cs="Arial" w:eastAsia="Arial" w:hAnsi="Arial"/>
          <w:sz w:val="16"/>
          <w:szCs w:val="16"/>
          <w:color w:val="auto"/>
        </w:rPr>
        <w:t>Fair Isaac Corporation (NYSE: FICO) (together with its consolidated subsidiaries, the “Company,” which may also be referred to in this report as “we,” “us,” “our,” and “FICO”) is a leading applied analytics company. We were founded in 1956 on the premise that data, used intelligently, can improve business decisions. Today, FICO’s software and the widely used FICO® 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 Scores — the standard measure in the U.S. of consumer credit risk — empowering them to increase financial literacy and manage their financial health. More information about us can be found on our website, www.fico.com. We make our Annual Reports on Forms 10-K, Quarterly Reports on Forms 10-Q, and Current Reports on Forms 8-K, as well as amendments to those reports, available free of charge through our website as soon as reasonably practicable after we electronically file them with the U.S. Securities and Exchange Commission (“SEC”). References to our website address in this report do not constitute an incorporation by reference. Information on our website is not part of this report.</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PRODUCTS AND SERVICES</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business consists of two operating segments: Scores and Software.</w:t>
      </w:r>
    </w:p>
    <w:p>
      <w:pPr>
        <w:spacing w:after="0" w:line="16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spacing w:after="0" w:line="138" w:lineRule="exact"/>
        <w:rPr>
          <w:sz w:val="20"/>
          <w:szCs w:val="20"/>
          <w:color w:val="auto"/>
        </w:rPr>
      </w:pPr>
    </w:p>
    <w:p>
      <w:pPr>
        <w:jc w:val="both"/>
        <w:ind w:firstLine="395"/>
        <w:spacing w:after="0" w:line="251" w:lineRule="auto"/>
        <w:rPr>
          <w:sz w:val="20"/>
          <w:szCs w:val="20"/>
          <w:color w:val="auto"/>
        </w:rPr>
      </w:pPr>
      <w:r>
        <w:rPr>
          <w:rFonts w:ascii="Arial" w:cs="Arial" w:eastAsia="Arial" w:hAnsi="Arial"/>
          <w:sz w:val="17"/>
          <w:szCs w:val="17"/>
          <w:color w:val="auto"/>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Scores</w:t>
      </w:r>
    </w:p>
    <w:p>
      <w:pPr>
        <w:spacing w:after="0" w:line="161" w:lineRule="exact"/>
        <w:rPr>
          <w:sz w:val="20"/>
          <w:szCs w:val="20"/>
          <w:color w:val="auto"/>
        </w:rPr>
      </w:pPr>
    </w:p>
    <w:p>
      <w:pPr>
        <w:jc w:val="both"/>
        <w:ind w:firstLine="395"/>
        <w:spacing w:after="0" w:line="236" w:lineRule="auto"/>
        <w:rPr>
          <w:sz w:val="20"/>
          <w:szCs w:val="20"/>
          <w:color w:val="auto"/>
        </w:rPr>
      </w:pPr>
      <w:r>
        <w:rPr>
          <w:rFonts w:ascii="Arial" w:cs="Arial" w:eastAsia="Arial" w:hAnsi="Arial"/>
          <w:sz w:val="18"/>
          <w:szCs w:val="18"/>
          <w:color w:val="auto"/>
        </w:rPr>
        <w:t>Our B2B scoring solutions include the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 which is the standard measure of consumer credit risk in the U.S. It is used in most U.S. credit decisions, by nearly all major banks, credit card issuers, mortgage lenders, and auto loan originators. Our B2B scoring solutions are primarily distributed through major consumer reporting agencies worldwide. Our B2C scores are sold directly to consumers through our myFICO.com website and other direct-to-consumer channels.</w:t>
      </w:r>
    </w:p>
    <w:p>
      <w:pPr>
        <w:spacing w:after="0" w:line="140" w:lineRule="exact"/>
        <w:rPr>
          <w:sz w:val="20"/>
          <w:szCs w:val="20"/>
          <w:color w:val="auto"/>
        </w:rPr>
      </w:pPr>
    </w:p>
    <w:p>
      <w:pPr>
        <w:jc w:val="both"/>
        <w:ind w:firstLine="395"/>
        <w:spacing w:after="0" w:line="254" w:lineRule="auto"/>
        <w:rPr>
          <w:sz w:val="20"/>
          <w:szCs w:val="20"/>
          <w:color w:val="auto"/>
        </w:rPr>
      </w:pPr>
      <w:r>
        <w:rPr>
          <w:rFonts w:ascii="Arial" w:cs="Arial" w:eastAsia="Arial" w:hAnsi="Arial"/>
          <w:sz w:val="17"/>
          <w:szCs w:val="17"/>
          <w:color w:val="auto"/>
        </w:rPr>
        <w:t>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is a three-digit number ranging from 300-850. Our proprietary analytic algorithms are applied to credit data collected and maintained by the three U.S. national consumer reporting agencies — Experian, TransUnion and Equifax — to produce standard scores that are used across the credit lifecycle, including in origination, account management and consumer marketing. Users of our scores generally pay the consumer reporting agencies a fee for each individual score generated by our algorithms, and the consumer reporting agencies pay an associated fee to us. Except for product development using de-personalized data, FICO does not collect or store the consumer credit data used in the calculation of our scores, and in most cases, we do not sell our scores directly to lenders or other end-users.</w:t>
      </w:r>
    </w:p>
    <w:p>
      <w:pPr>
        <w:spacing w:after="0" w:line="131" w:lineRule="exact"/>
        <w:rPr>
          <w:sz w:val="20"/>
          <w:szCs w:val="20"/>
          <w:color w:val="auto"/>
        </w:rPr>
      </w:pPr>
    </w:p>
    <w:p>
      <w:pPr>
        <w:jc w:val="both"/>
        <w:ind w:firstLine="395"/>
        <w:spacing w:after="0" w:line="230" w:lineRule="auto"/>
        <w:rPr>
          <w:sz w:val="20"/>
          <w:szCs w:val="20"/>
          <w:color w:val="auto"/>
        </w:rPr>
      </w:pPr>
      <w:r>
        <w:rPr>
          <w:rFonts w:ascii="Arial" w:cs="Arial" w:eastAsia="Arial" w:hAnsi="Arial"/>
          <w:sz w:val="17"/>
          <w:szCs w:val="17"/>
          <w:color w:val="auto"/>
        </w:rPr>
        <w:t>Since the introduction of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in the U.S. in 1989, we have regularly updated the score to take advantage of newly available data and enhanced analytics. Our most recent and most predictive scores,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10 and 10 T, were introduced in January 2020. To increase its predictive power, FICO Score 10 T builds on FICO Score 10 but also incorporates trended credit data. Trended data considers a longer historical view, giving lenders even more insight into how individuals are managing their credit. When we introduced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9 in 2015, it also made use of newly available data such as reported rental payment history, while also de-emphasizing medical debt and disregarding paid collections.</w:t>
      </w:r>
    </w:p>
    <w:p>
      <w:pPr>
        <w:spacing w:after="0" w:line="142"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Most of our scores distributed today are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 8 and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 9. Our new FICO Scores are generally designed to provide greater predictive accuracy than the scores they replace, and to be compatible with prior versions of the FICO Score.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95"/>
        <w:spacing w:after="0" w:line="264" w:lineRule="auto"/>
        <w:rPr>
          <w:sz w:val="20"/>
          <w:szCs w:val="20"/>
          <w:color w:val="auto"/>
        </w:rPr>
      </w:pPr>
      <w:r>
        <w:rPr>
          <w:rFonts w:ascii="Arial" w:cs="Arial" w:eastAsia="Arial" w:hAnsi="Arial"/>
          <w:sz w:val="17"/>
          <w:szCs w:val="17"/>
          <w:color w:val="auto"/>
        </w:rPr>
        <w:t>In addition to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we offer several other broad-based scores, including specific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Industry Scores. For example, in July 2021 we introduced Bankcard and Auto Industry versions of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10. We also develop various custom scores for our financial services clients.</w:t>
      </w:r>
    </w:p>
    <w:p>
      <w:pPr>
        <w:spacing w:after="0" w:line="48" w:lineRule="exact"/>
        <w:rPr>
          <w:sz w:val="20"/>
          <w:szCs w:val="20"/>
          <w:color w:val="auto"/>
        </w:rPr>
      </w:pPr>
    </w:p>
    <w:p>
      <w:pPr>
        <w:jc w:val="both"/>
        <w:ind w:firstLine="395"/>
        <w:spacing w:after="0" w:line="249" w:lineRule="auto"/>
        <w:rPr>
          <w:sz w:val="20"/>
          <w:szCs w:val="20"/>
          <w:color w:val="auto"/>
        </w:rPr>
      </w:pPr>
      <w:r>
        <w:rPr>
          <w:rFonts w:ascii="Arial" w:cs="Arial" w:eastAsia="Arial" w:hAnsi="Arial"/>
          <w:sz w:val="17"/>
          <w:szCs w:val="17"/>
          <w:color w:val="auto"/>
        </w:rPr>
        <w:t>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Resilience Index offering is designed to complement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models by identifying those consumers who are more resilient to economic stress relative to other consumers within the same FICO Score bands. The FICO Resilience Index is designed to enable lenders to continue to lend and better manage risk by providing a more precise assessment of loan default risk during periods of economic stress.</w:t>
      </w:r>
    </w:p>
    <w:p>
      <w:pPr>
        <w:spacing w:after="0" w:line="140"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FICO has invested significant resources in the development of scores that can help expand credit access and lower borrowing costs for consumers that have limited credit history or who have sparse or inactive credit files. These scores use alternative data sources to enhance conventional credit bureau data and generate scores for otherwise un-scorable consumers and in many cases improve the credit scores of scorable consumers.</w:t>
      </w:r>
    </w:p>
    <w:p>
      <w:pPr>
        <w:spacing w:after="0" w:line="95" w:lineRule="exact"/>
        <w:rPr>
          <w:sz w:val="20"/>
          <w:szCs w:val="20"/>
          <w:color w:val="auto"/>
        </w:rPr>
      </w:pPr>
    </w:p>
    <w:p>
      <w:pPr>
        <w:jc w:val="both"/>
        <w:ind w:left="640" w:hanging="319"/>
        <w:spacing w:after="0" w:line="218"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 XD uses public records and property data, and a consumer’s history with mobile phone, landline phone and cable payments, to generate scores on the same 300-850 scale as standard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FICO Score XD is available to lenders through our distribution partners, LexisNexis Risk Solutions and Equifax.</w:t>
      </w:r>
    </w:p>
    <w:p>
      <w:pPr>
        <w:spacing w:after="0" w:line="36" w:lineRule="exact"/>
        <w:rPr>
          <w:rFonts w:ascii="Arial" w:cs="Arial" w:eastAsia="Arial" w:hAnsi="Arial"/>
          <w:sz w:val="18"/>
          <w:szCs w:val="18"/>
          <w:color w:val="auto"/>
        </w:rPr>
      </w:pPr>
    </w:p>
    <w:p>
      <w:pPr>
        <w:jc w:val="both"/>
        <w:ind w:left="640" w:hanging="319"/>
        <w:spacing w:after="0" w:line="230"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UltraFICO</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Score uses consumer-permissioned data such as checking, savings, or money market account data, to generate scores on the same 300-850 scale as standard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Scores. Incorporating consumer-permissioned data helps empower consumers to establish or improve their creditworthiness by using data that reflects sound financial activity, but that is not part of a conventional credit report.</w:t>
      </w:r>
    </w:p>
    <w:p>
      <w:pPr>
        <w:spacing w:after="0" w:line="139"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Both scores maintain the same score to risk relationship as standard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Scores, enhancing their compatibility with existing credit underwriting systems and models.</w:t>
      </w:r>
    </w:p>
    <w:p>
      <w:pPr>
        <w:spacing w:after="0" w:line="141"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6"/>
          <w:szCs w:val="16"/>
          <w:color w:val="auto"/>
        </w:rPr>
        <w:t>Outside the U.S., we offer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Scores for consumer loans, and in some cases for small and medium business loans. These scores are typically sold to end-users through consumer reporting agencies in those countries, as they are in the U.S. We have also developed client-specific versions of the FICO Score in over ten countries that we sell directly to end-user customers. FICO Scores have been made available in over 40 countries.</w:t>
      </w:r>
    </w:p>
    <w:p>
      <w:pPr>
        <w:spacing w:after="0" w:line="117"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7"/>
          <w:szCs w:val="17"/>
          <w:color w:val="auto"/>
        </w:rPr>
        <w:t>We also provide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Scores to consumers in the U.S. through our B2C scoring solutions. These Scores are distributed directly by us through our myFICO.com subscription offering and indirectly through our licensed distribution partners, including Experian and certain lenders through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Open Access Program. Through myFICO.com and other direct-to-consumer channels, consumers can purchase their FICO Scores, including credit reports associated with the scores, explanations of the factors affecting their scores, and customized educational information on how to manage their scores. Consumers can use products to simulate how taking specific actions could affect their FICO Score. Consumers can also subscribe to credit monitoring, which deliver alerts via email and text when changes to a user’s FICO Scores or other credit report content are detected. In addition, consumers can purchase identity theft monitoring products that alert them to potential risks of identity fraud.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115"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Our software harnesses the power of analytics and digital decisioning technology to help businesses automate, improve, and connect decisions across their enterprise. Most of our solutions address customer engagement, including acquisition and pricing, onboarding, servicing and management, and fraud protection. We also help businesses improve non-customer facing decisions such as supply chain optimization, scheduling management and policy adherence.</w:t>
      </w:r>
    </w:p>
    <w:p>
      <w:pPr>
        <w:spacing w:after="0" w:line="8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FICO provides software solutions to business customers in more than 100 countries around the world. Our software can be deployed in the cloud utilizing third-party cloud services, or on-premises using our customers’ IT infrastructure. We typically sell our software as multi-year subscriptions, with payments based on usage metrics such as the number of accounts, transactions or decisioning use cases deployed, often subject to contracted minimum payments.</w:t>
      </w:r>
    </w:p>
    <w:p>
      <w:pPr>
        <w:spacing w:after="0" w:line="95" w:lineRule="exact"/>
        <w:rPr>
          <w:sz w:val="20"/>
          <w:szCs w:val="20"/>
          <w:color w:val="auto"/>
        </w:rPr>
      </w:pPr>
    </w:p>
    <w:p>
      <w:pPr>
        <w:jc w:val="both"/>
        <w:ind w:firstLine="395"/>
        <w:spacing w:after="0" w:line="233" w:lineRule="auto"/>
        <w:rPr>
          <w:sz w:val="20"/>
          <w:szCs w:val="20"/>
          <w:color w:val="auto"/>
        </w:rPr>
      </w:pPr>
      <w:r>
        <w:rPr>
          <w:rFonts w:ascii="Arial" w:cs="Arial" w:eastAsia="Arial" w:hAnsi="Arial"/>
          <w:sz w:val="18"/>
          <w:szCs w:val="18"/>
          <w:color w:val="auto"/>
        </w:rPr>
        <w:t>A significant and growing number of our software solutions run natively on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 a modular software offering designed to support advanced analytics and decisioning use cases. While not all our software runs on FICO Platform today, we are continuing to invest significant development resources to enable substantially all of our software to run on FICO Platform in the future.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Principal Areas of Expertise</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specialize in solutions that empower businesses to operationalize analytics to uncover new opportunities, make timely decisions that matter, and execute them at scale. With more than 65 years of analytics and software experience, we have found that bringing human and digital intelligence together allows our customers to target and acquire customers more efficiently, increase customer value, reduce fraud and credit losses, lower operating expenses, and enter new markets more profitably.</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principal areas of research and development expertise are focused on the following four analytic domains.</w:t>
      </w:r>
    </w:p>
    <w:p>
      <w:pPr>
        <w:spacing w:after="0" w:line="161" w:lineRule="exact"/>
        <w:rPr>
          <w:sz w:val="20"/>
          <w:szCs w:val="20"/>
          <w:color w:val="auto"/>
        </w:rPr>
      </w:pPr>
    </w:p>
    <w:p>
      <w:pPr>
        <w:ind w:left="640" w:hanging="319"/>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Predictive Modeling</w:t>
      </w:r>
    </w:p>
    <w:p>
      <w:pPr>
        <w:spacing w:after="0" w:line="108" w:lineRule="exact"/>
        <w:rPr>
          <w:rFonts w:ascii="Arial" w:cs="Arial" w:eastAsia="Arial" w:hAnsi="Arial"/>
          <w:sz w:val="18"/>
          <w:szCs w:val="18"/>
          <w:i w:val="1"/>
          <w:iCs w:val="1"/>
          <w:color w:val="auto"/>
        </w:rPr>
      </w:pPr>
    </w:p>
    <w:p>
      <w:pPr>
        <w:jc w:val="both"/>
        <w:ind w:left="640"/>
        <w:spacing w:after="0" w:line="287" w:lineRule="auto"/>
        <w:rPr>
          <w:rFonts w:ascii="Arial" w:cs="Arial" w:eastAsia="Arial" w:hAnsi="Arial"/>
          <w:sz w:val="18"/>
          <w:szCs w:val="18"/>
          <w:i w:val="1"/>
          <w:iCs w:val="1"/>
          <w:color w:val="auto"/>
        </w:rPr>
      </w:pPr>
      <w:r>
        <w:rPr>
          <w:rFonts w:ascii="Arial" w:cs="Arial" w:eastAsia="Arial" w:hAnsi="Arial"/>
          <w:sz w:val="16"/>
          <w:szCs w:val="16"/>
          <w:color w:val="auto"/>
        </w:rPr>
        <w:t>Predictive modeling identifies and mathematically represents underlying relationships in historical data to make predictions or classifications about future events. Predictive models typically analyze current and historical data about individuals to produce easily understood metrics such as scores. These scores rank-order individuals or specific transactions against a particular variable such as the likelihood of making credit payments on time, the likelihood of a transaction being fraudulent or the probability of responding to a particular offer for services. Our predictive models are frequently used in mission-critical transactional systems and drive decisions and actions in near real time.</w:t>
      </w:r>
    </w:p>
    <w:p>
      <w:pPr>
        <w:spacing w:after="0" w:line="110" w:lineRule="exact"/>
        <w:rPr>
          <w:rFonts w:ascii="Arial" w:cs="Arial" w:eastAsia="Arial" w:hAnsi="Arial"/>
          <w:sz w:val="18"/>
          <w:szCs w:val="18"/>
          <w:i w:val="1"/>
          <w:iCs w:val="1"/>
          <w:color w:val="auto"/>
        </w:rPr>
      </w:pPr>
    </w:p>
    <w:p>
      <w:pPr>
        <w:jc w:val="both"/>
        <w:ind w:left="640"/>
        <w:spacing w:after="0" w:line="299" w:lineRule="auto"/>
        <w:rPr>
          <w:rFonts w:ascii="Arial" w:cs="Arial" w:eastAsia="Arial" w:hAnsi="Arial"/>
          <w:sz w:val="18"/>
          <w:szCs w:val="18"/>
          <w:i w:val="1"/>
          <w:iCs w:val="1"/>
          <w:color w:val="auto"/>
        </w:rPr>
      </w:pPr>
      <w:r>
        <w:rPr>
          <w:rFonts w:ascii="Arial" w:cs="Arial" w:eastAsia="Arial" w:hAnsi="Arial"/>
          <w:sz w:val="16"/>
          <w:szCs w:val="16"/>
          <w:color w:val="auto"/>
        </w:rPr>
        <w:t>Several analytic methodologies underlie our products in this area. These include proprietary applications of both linear and nonlinear optimization algorithms, advanced neural systems, machine learning and AI. We also apply various statistical techniques for analysis and pattern detection within large datasets and can derive insights and predictive features from various forms of data, including unstructured data.</w:t>
      </w:r>
    </w:p>
    <w:p>
      <w:pPr>
        <w:spacing w:after="0" w:line="101" w:lineRule="exact"/>
        <w:rPr>
          <w:rFonts w:ascii="Arial" w:cs="Arial" w:eastAsia="Arial" w:hAnsi="Arial"/>
          <w:sz w:val="18"/>
          <w:szCs w:val="18"/>
          <w:i w:val="1"/>
          <w:iCs w:val="1"/>
          <w:color w:val="auto"/>
        </w:rPr>
      </w:pPr>
    </w:p>
    <w:p>
      <w:pPr>
        <w:ind w:left="640" w:hanging="319"/>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Decision Analysis and Optimization</w:t>
      </w:r>
    </w:p>
    <w:p>
      <w:pPr>
        <w:spacing w:after="0" w:line="108" w:lineRule="exact"/>
        <w:rPr>
          <w:rFonts w:ascii="Arial" w:cs="Arial" w:eastAsia="Arial" w:hAnsi="Arial"/>
          <w:sz w:val="18"/>
          <w:szCs w:val="18"/>
          <w:i w:val="1"/>
          <w:iCs w:val="1"/>
          <w:color w:val="auto"/>
        </w:rPr>
      </w:pPr>
    </w:p>
    <w:p>
      <w:pPr>
        <w:jc w:val="both"/>
        <w:ind w:left="640"/>
        <w:spacing w:after="0" w:line="280" w:lineRule="auto"/>
        <w:rPr>
          <w:rFonts w:ascii="Arial" w:cs="Arial" w:eastAsia="Arial" w:hAnsi="Arial"/>
          <w:sz w:val="18"/>
          <w:szCs w:val="18"/>
          <w:i w:val="1"/>
          <w:iCs w:val="1"/>
          <w:color w:val="auto"/>
        </w:rPr>
      </w:pPr>
      <w:r>
        <w:rPr>
          <w:rFonts w:ascii="Arial" w:cs="Arial" w:eastAsia="Arial" w:hAnsi="Arial"/>
          <w:sz w:val="16"/>
          <w:szCs w:val="16"/>
          <w:color w:val="auto"/>
        </w:rPr>
        <w:t>Decision analysis refers to the broad quantitative field that deals with modeling, analyzing, and optimizing decisions made by individuals, groups, and organizations. Whereas predictive models analyze multiple aspects of individual behavior to forecast future behavior, decision analysis analyzes multiple aspects of a given decision to identify the most effective action to take to reach a desired result. This is often referred to as prescriptive analytics. Our integrated approach to decision analysis incorporates a decision model that mathematically maps the entire decision structure; proprietary optimization technology that identifies the most effective strategies, given both the performance objective and constraints; testing and simulation required for active, continuous learning; and the robust extrapolation of an optimized strategy to a wider set of scenarios than historically encountered. Our optimization capabilities also include native support for Python modeling, as well as our own proprietary mathematical modeling and programming language, an easy-to-use authoring environment, a configurable business simulation and scenario management interface and a set of pre-built optimization algorithms.</w:t>
      </w:r>
    </w:p>
    <w:p>
      <w:pPr>
        <w:spacing w:after="0" w:line="120" w:lineRule="exact"/>
        <w:rPr>
          <w:rFonts w:ascii="Arial" w:cs="Arial" w:eastAsia="Arial" w:hAnsi="Arial"/>
          <w:sz w:val="18"/>
          <w:szCs w:val="18"/>
          <w:i w:val="1"/>
          <w:iCs w:val="1"/>
          <w:color w:val="auto"/>
        </w:rPr>
      </w:pPr>
    </w:p>
    <w:p>
      <w:pPr>
        <w:ind w:left="640" w:hanging="319"/>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 Profiling</w:t>
      </w:r>
    </w:p>
    <w:p>
      <w:pPr>
        <w:spacing w:after="0" w:line="108" w:lineRule="exact"/>
        <w:rPr>
          <w:rFonts w:ascii="Arial" w:cs="Arial" w:eastAsia="Arial" w:hAnsi="Arial"/>
          <w:sz w:val="18"/>
          <w:szCs w:val="18"/>
          <w:i w:val="1"/>
          <w:iCs w:val="1"/>
          <w:color w:val="auto"/>
        </w:rPr>
      </w:pPr>
    </w:p>
    <w:p>
      <w:pPr>
        <w:jc w:val="both"/>
        <w:ind w:left="640"/>
        <w:spacing w:after="0" w:line="280" w:lineRule="auto"/>
        <w:rPr>
          <w:rFonts w:ascii="Arial" w:cs="Arial" w:eastAsia="Arial" w:hAnsi="Arial"/>
          <w:sz w:val="18"/>
          <w:szCs w:val="18"/>
          <w:i w:val="1"/>
          <w:iCs w:val="1"/>
          <w:color w:val="auto"/>
        </w:rPr>
      </w:pPr>
      <w:r>
        <w:rPr>
          <w:rFonts w:ascii="Arial" w:cs="Arial" w:eastAsia="Arial" w:hAnsi="Arial"/>
          <w:sz w:val="16"/>
          <w:szCs w:val="16"/>
          <w:color w:val="auto"/>
        </w:rPr>
        <w:t>Transaction profiling is a patent-protected technique used to extract meaningful information and reduce the complexity of transaction data used in modeling. Many of our products operate using transactional data, such as credit card purchase transactions, consumer interactions, or other types of data that change over time. In its raw form, this data is very difficult to use in predictive models for several reasons. First, an isolated transaction contains very little information about the behavior of the individual who generated the transaction. Second, transaction patterns change rapidly over time. Third, this type of data can often be highly complex. To overcome these issues, we have developed a set of techniques that transform raw transactional data into a mathematical representation that reveals latent information, and which make the data more usable by predictive models. This profiling technology accumulates data across multiple transactions of many types to create and update profiles of transaction patterns. These profiles enable our neural network models to efficiently and effectively make accurate assessments of, for example, fraud risk and credit risk within real-time transaction streams.</w:t>
      </w:r>
    </w:p>
    <w:p>
      <w:pPr>
        <w:spacing w:after="0" w:line="120" w:lineRule="exact"/>
        <w:rPr>
          <w:rFonts w:ascii="Arial" w:cs="Arial" w:eastAsia="Arial" w:hAnsi="Arial"/>
          <w:sz w:val="18"/>
          <w:szCs w:val="18"/>
          <w:i w:val="1"/>
          <w:iCs w:val="1"/>
          <w:color w:val="auto"/>
        </w:rPr>
      </w:pPr>
    </w:p>
    <w:p>
      <w:pPr>
        <w:ind w:left="640" w:hanging="319"/>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Customer Data Integration</w:t>
      </w:r>
    </w:p>
    <w:p>
      <w:pPr>
        <w:spacing w:after="0" w:line="108" w:lineRule="exact"/>
        <w:rPr>
          <w:rFonts w:ascii="Arial" w:cs="Arial" w:eastAsia="Arial" w:hAnsi="Arial"/>
          <w:sz w:val="18"/>
          <w:szCs w:val="18"/>
          <w:i w:val="1"/>
          <w:iCs w:val="1"/>
          <w:color w:val="auto"/>
        </w:rPr>
      </w:pPr>
    </w:p>
    <w:p>
      <w:pPr>
        <w:jc w:val="both"/>
        <w:ind w:left="640"/>
        <w:spacing w:after="0" w:line="287" w:lineRule="auto"/>
        <w:rPr>
          <w:rFonts w:ascii="Arial" w:cs="Arial" w:eastAsia="Arial" w:hAnsi="Arial"/>
          <w:sz w:val="18"/>
          <w:szCs w:val="18"/>
          <w:i w:val="1"/>
          <w:iCs w:val="1"/>
          <w:color w:val="auto"/>
        </w:rPr>
      </w:pPr>
      <w:r>
        <w:rPr>
          <w:rFonts w:ascii="Arial" w:cs="Arial" w:eastAsia="Arial" w:hAnsi="Arial"/>
          <w:sz w:val="16"/>
          <w:szCs w:val="16"/>
          <w:color w:val="auto"/>
        </w:rPr>
        <w:t>Decisions made about customers or prospects can benefit from data stored in multiple sources, both inside and outside the enterprise. In the areas of analytics and digital decisioning, more data is generally better. We have developed proprietary data ingestion and management tools that are able to assemble and integrate disparate data sources into a unified view of the customer, household, or other subject through the application of persistent keying technology. This data can include structured or unstructured data. In addition, our technology can integrate multiple data sources in real-time and make them available for rapid analysis and decisions such as credit approval, fraud detection and “next best offer” workflows.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believe our analytic tools and solutions are among the best commercially available, and that we are uniquely positioned to integrate advanced analytic, software and data technologies into mission-critical business solutions that offer superior returns on investment.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FICO</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Platform</w:t>
      </w:r>
    </w:p>
    <w:p>
      <w:pPr>
        <w:spacing w:after="0" w:line="63" w:lineRule="exact"/>
        <w:rPr>
          <w:sz w:val="20"/>
          <w:szCs w:val="20"/>
          <w:color w:val="auto"/>
        </w:rPr>
      </w:pPr>
    </w:p>
    <w:p>
      <w:pPr>
        <w:jc w:val="both"/>
        <w:ind w:firstLine="395"/>
        <w:spacing w:after="0" w:line="255" w:lineRule="auto"/>
        <w:rPr>
          <w:sz w:val="20"/>
          <w:szCs w:val="20"/>
          <w:color w:val="auto"/>
        </w:rPr>
      </w:pPr>
      <w:r>
        <w:rPr>
          <w:rFonts w:ascii="Arial" w:cs="Arial" w:eastAsia="Arial" w:hAnsi="Arial"/>
          <w:sz w:val="17"/>
          <w:szCs w:val="17"/>
          <w:color w:val="auto"/>
        </w:rPr>
        <w:t>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is an analytic and decisioning environment that empowers businesses to configure solutions that orchestrate and operationalize high velocity decisions that matter, at scale. Users of FICO Platform can bring together data from multiple sources, apply advanced analytics to derive insights, and translate those insights into actions and workflows that can be executed in real-time. Based on a modular cloud architecture, FICO Platform can be configured by our customers to solve a vast array of business challenges. FICO Platform delivers increasing value to our customers over time as they add additional analytic capabilities, configure their own solutions or utilize pre-configured solutions to address a diverse set of use cases and integrate disparate analytic and decisioning silos onto a centralized, scalable platform. This drives additional subscription software revenue for FICO over time as customers purchase more FICO Platform capabilities and pay for more usage of those capabilities.</w:t>
      </w:r>
    </w:p>
    <w:p>
      <w:pPr>
        <w:spacing w:after="0" w:line="128" w:lineRule="exact"/>
        <w:rPr>
          <w:sz w:val="20"/>
          <w:szCs w:val="20"/>
          <w:color w:val="auto"/>
        </w:rPr>
      </w:pPr>
    </w:p>
    <w:p>
      <w:pPr>
        <w:jc w:val="both"/>
        <w:ind w:firstLine="395"/>
        <w:spacing w:after="0"/>
        <w:rPr>
          <w:sz w:val="20"/>
          <w:szCs w:val="20"/>
          <w:color w:val="auto"/>
        </w:rPr>
      </w:pPr>
      <w:r>
        <w:rPr>
          <w:rFonts w:ascii="Arial" w:cs="Arial" w:eastAsia="Arial" w:hAnsi="Arial"/>
          <w:sz w:val="17"/>
          <w:szCs w:val="17"/>
          <w:color w:val="auto"/>
        </w:rPr>
        <w:t>Our goal is to move substantially all of FICO’s current software products onto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For example, FICO’s industry leading rules-based decisioning engine, FICO® Blaze Advisor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decision rules management system, is now available on FICO Platform as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Decision Modeler. In addition, many core capabilities of FICO’s current software products are now part of FICO Platform, such as Originations and Fraud. We believe this strategy of moving our software products to FICO Platform will result in revenue growth through follow-on “land and expand” sales to existing Platform customers and more sales to medium-sized businesses typically served through value-added resellers and systems integrators.</w:t>
      </w:r>
    </w:p>
    <w:p>
      <w:pPr>
        <w:spacing w:after="0" w:line="142" w:lineRule="exact"/>
        <w:rPr>
          <w:sz w:val="20"/>
          <w:szCs w:val="20"/>
          <w:color w:val="auto"/>
        </w:rPr>
      </w:pPr>
    </w:p>
    <w:p>
      <w:pPr>
        <w:jc w:val="both"/>
        <w:ind w:firstLine="395"/>
        <w:spacing w:after="0" w:line="229" w:lineRule="auto"/>
        <w:rPr>
          <w:sz w:val="20"/>
          <w:szCs w:val="20"/>
          <w:color w:val="auto"/>
        </w:rPr>
      </w:pPr>
      <w:r>
        <w:rPr>
          <w:rFonts w:ascii="Arial" w:cs="Arial" w:eastAsia="Arial" w:hAnsi="Arial"/>
          <w:sz w:val="18"/>
          <w:szCs w:val="18"/>
          <w:color w:val="auto"/>
        </w:rPr>
        <w:t>Our annual recurring revenue (“ARR”) from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 based products was $173.2 million as of September 30, 2023, representing 26% of our total software ARR.</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Offerings</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sell our software primarily as analytic and decisioning software or pre-configured solutions. Our software offerings are sold both individually and as integrated bundles of multiple products.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Analytic and Decisioning Software</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FICO analytic and decisioning software offerings use proprietary and open source microservices and capabilities to enable both business users and data scientists to develop and execute advanced analytics and decision modeling. Our key products in this category include:</w:t>
      </w:r>
    </w:p>
    <w:p>
      <w:pPr>
        <w:spacing w:after="0" w:line="23" w:lineRule="exact"/>
        <w:rPr>
          <w:sz w:val="20"/>
          <w:szCs w:val="20"/>
          <w:color w:val="auto"/>
        </w:rPr>
      </w:pPr>
    </w:p>
    <w:p>
      <w:pPr>
        <w:jc w:val="both"/>
        <w:ind w:left="640" w:hanging="319"/>
        <w:spacing w:after="0" w:line="224"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Decision Modeler and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Blaze Advisor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are our core decision rules modeling tools, which enable users to flexibly author and manage decision rules and strategies. FICO Decision Modeler delivers the functionality of our industry leading FICO Blaze Advisor product, with the added benefit of seamless integration into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 FICO Blaze Advisor, the predecessor to FICO Decision Modeler, is available as an off-platform product.</w:t>
      </w:r>
    </w:p>
    <w:p>
      <w:pPr>
        <w:spacing w:after="0" w:line="36" w:lineRule="exact"/>
        <w:rPr>
          <w:rFonts w:ascii="Arial" w:cs="Arial" w:eastAsia="Arial" w:hAnsi="Arial"/>
          <w:sz w:val="18"/>
          <w:szCs w:val="18"/>
          <w:color w:val="auto"/>
        </w:rPr>
      </w:pPr>
    </w:p>
    <w:p>
      <w:pPr>
        <w:jc w:val="both"/>
        <w:ind w:left="640" w:hanging="319"/>
        <w:spacing w:after="0" w:line="262" w:lineRule="auto"/>
        <w:tabs>
          <w:tab w:leader="none" w:pos="636" w:val="left"/>
        </w:tabs>
        <w:numPr>
          <w:ilvl w:val="0"/>
          <w:numId w:val="5"/>
        </w:numPr>
        <w:rPr>
          <w:rFonts w:ascii="Arial" w:cs="Arial" w:eastAsia="Arial" w:hAnsi="Arial"/>
          <w:sz w:val="16"/>
          <w:szCs w:val="16"/>
          <w:color w:val="auto"/>
        </w:rPr>
      </w:pPr>
      <w:r>
        <w:rPr>
          <w:rFonts w:ascii="Arial" w:cs="Arial" w:eastAsia="Arial" w:hAnsi="Arial"/>
          <w:sz w:val="16"/>
          <w:szCs w:val="16"/>
          <w:color w:val="auto"/>
        </w:rPr>
        <w:t>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Xpress Optimization provides operations research professionals and business analysts with world-class solvers and productivity tools to determine optimal outcomes for a wide range of industry problems. FICO Xpress Optimization includes a powerful modeling and programming language to quickly model and solve even the largest optimization problems. FICO Xpress Optimization runs on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w:t>
      </w:r>
    </w:p>
    <w:p>
      <w:pPr>
        <w:spacing w:after="0" w:line="2" w:lineRule="exact"/>
        <w:rPr>
          <w:rFonts w:ascii="Arial" w:cs="Arial" w:eastAsia="Arial" w:hAnsi="Arial"/>
          <w:sz w:val="16"/>
          <w:szCs w:val="16"/>
          <w:color w:val="auto"/>
        </w:rPr>
      </w:pPr>
    </w:p>
    <w:p>
      <w:pPr>
        <w:jc w:val="both"/>
        <w:ind w:left="640" w:hanging="319"/>
        <w:spacing w:after="0" w:line="211"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Analytics Workbench</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is a predictive analytics tool that allows businesses to create and deploy explainable machine learning models for use in decisions that typically require strict governance and compliance, often including regulatory oversight. FICO Analytics Workbench runs on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w:t>
      </w:r>
    </w:p>
    <w:p>
      <w:pPr>
        <w:spacing w:after="0" w:line="36" w:lineRule="exact"/>
        <w:rPr>
          <w:rFonts w:ascii="Arial" w:cs="Arial" w:eastAsia="Arial" w:hAnsi="Arial"/>
          <w:sz w:val="18"/>
          <w:szCs w:val="18"/>
          <w:color w:val="auto"/>
        </w:rPr>
      </w:pPr>
    </w:p>
    <w:p>
      <w:pPr>
        <w:ind w:left="640" w:hanging="319"/>
        <w:spacing w:after="0" w:line="234"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Data Orchestrator is a data retrieval and mapping solution that can access, gather, and transform data from corporate or public facing information services. FICO Data Orchestrator runs on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w:t>
      </w:r>
    </w:p>
    <w:p>
      <w:pPr>
        <w:spacing w:after="0" w:line="1" w:lineRule="exact"/>
        <w:rPr>
          <w:rFonts w:ascii="Arial" w:cs="Arial" w:eastAsia="Arial" w:hAnsi="Arial"/>
          <w:sz w:val="18"/>
          <w:szCs w:val="18"/>
          <w:color w:val="auto"/>
        </w:rPr>
      </w:pPr>
    </w:p>
    <w:p>
      <w:pPr>
        <w:ind w:left="640" w:hanging="319"/>
        <w:spacing w:after="0" w:line="218" w:lineRule="auto"/>
        <w:tabs>
          <w:tab w:leader="none" w:pos="636" w:val="left"/>
        </w:tabs>
        <w:numPr>
          <w:ilvl w:val="0"/>
          <w:numId w:val="5"/>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DMP Streaming is a real-time and batch data ingestion solution that uniquely delivers in-stream analytics for real-time data insights and complex event processing.</w:t>
      </w:r>
    </w:p>
    <w:p>
      <w:pPr>
        <w:spacing w:after="0" w:line="34" w:lineRule="exact"/>
        <w:rPr>
          <w:rFonts w:ascii="Arial" w:cs="Arial" w:eastAsia="Arial" w:hAnsi="Arial"/>
          <w:sz w:val="18"/>
          <w:szCs w:val="18"/>
          <w:color w:val="auto"/>
        </w:rPr>
      </w:pPr>
    </w:p>
    <w:p>
      <w:pPr>
        <w:jc w:val="both"/>
        <w:ind w:left="640" w:hanging="319"/>
        <w:spacing w:after="0" w:line="279" w:lineRule="auto"/>
        <w:tabs>
          <w:tab w:leader="none" w:pos="636" w:val="left"/>
        </w:tabs>
        <w:numPr>
          <w:ilvl w:val="0"/>
          <w:numId w:val="5"/>
        </w:numPr>
        <w:rPr>
          <w:rFonts w:ascii="Arial" w:cs="Arial" w:eastAsia="Arial" w:hAnsi="Arial"/>
          <w:sz w:val="16"/>
          <w:szCs w:val="16"/>
          <w:color w:val="auto"/>
        </w:rPr>
      </w:pPr>
      <w:r>
        <w:rPr>
          <w:rFonts w:ascii="Arial" w:cs="Arial" w:eastAsia="Arial" w:hAnsi="Arial"/>
          <w:sz w:val="16"/>
          <w:szCs w:val="16"/>
          <w:color w:val="auto"/>
        </w:rPr>
        <w:t>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Outcome Simulator enables business users to run a wide variety of insightful scenarios to assess how their business is likely to perform under varying conditions and assumptions. It unlocks insights into how key outcomes will likely shift in the face of changing competitor strategy, macroeconomic changes, evolving customer preferences, and more. FICO Business Outcome Simulator runs on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left="640" w:hanging="319"/>
        <w:spacing w:after="0" w:line="243"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Decision Optimizer helps business users understand how different customers will react to a variety of different actions that are being considered. Once that link is understood, FICO Decision Optimizer identifies the combination of actions most likely to lead to the desired portfolio outcomes through decisions such as who to offer a new product, what limit and/or price to offer, or how to treat delinquent customers. FICO Decision Optimizer runs on 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Platform.</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Pre-Configured Solutions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FICO's pre-configured solutions optimize customer interactions in real-time, driving greater customer engagement and improving business results. They enable acquisition and growth marketing, account activation and management, omni-channel communication, risk assessment, and fraud detection and prevention. Key FICO solutions offered today include:</w:t>
      </w:r>
    </w:p>
    <w:p>
      <w:pPr>
        <w:spacing w:after="0" w:line="130" w:lineRule="exact"/>
        <w:rPr>
          <w:sz w:val="20"/>
          <w:szCs w:val="20"/>
          <w:color w:val="auto"/>
        </w:rPr>
      </w:pPr>
    </w:p>
    <w:p>
      <w:pPr>
        <w:jc w:val="both"/>
        <w:ind w:left="640" w:hanging="319"/>
        <w:spacing w:after="0" w:line="244"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Fraud Solutions empower organizations to safeguard the business and their customers from payments fraud and application fraud. Leveraging advanced analytic capabilities on a large scale and in real-time, FICO Fraud Solutions identify fraud and enable strategies designed to prevent fraud across payment cards, money transfers, and instances where stolen or synthetic identities are exploited to open accounts. Our models that identify transaction fraud are continually improved using a proprietary, global data set of transaction data contributed by more than 9,000 institutions that participate in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Falcon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Intelligence Network. Certain Fraud Solutions capabilities are available on FICO Platform today, and we plan to make additional Fraud Solutions capabilities available on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in the future.</w:t>
      </w:r>
    </w:p>
    <w:p>
      <w:pPr>
        <w:spacing w:after="0" w:line="4" w:lineRule="exact"/>
        <w:rPr>
          <w:rFonts w:ascii="Arial" w:cs="Arial" w:eastAsia="Arial" w:hAnsi="Arial"/>
          <w:sz w:val="17"/>
          <w:szCs w:val="17"/>
          <w:color w:val="auto"/>
        </w:rPr>
      </w:pPr>
    </w:p>
    <w:p>
      <w:pPr>
        <w:jc w:val="both"/>
        <w:ind w:left="640" w:hanging="319"/>
        <w:spacing w:after="0" w:line="262"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color w:val="auto"/>
        </w:rPr>
        <w:t>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Originations Solution is an application-to-decision credit originations solution. It enables banks, credit unions, finance companies, online lenders, auto lenders, and other companies to automate and improve the processing of requests for credit. Our Originations Solution increases the speed, consistency and efficiency with which requests are handled, reducing losses, and increasing approval rates through the application of sophisticated policies and analytics that assess applicant risk and reduce the need for manual review by underwriters. Certain Originations capabilities are available on FICO Platform today, and we plan to make additional Originations capabilities available on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 in the future.</w:t>
      </w:r>
    </w:p>
    <w:p>
      <w:pPr>
        <w:jc w:val="both"/>
        <w:ind w:left="640" w:hanging="319"/>
        <w:spacing w:after="0" w:line="250"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Customer Communication Service is an intelligent omnichannel digital communication manager for resolving customer interactions. It enables businesses to automate individualized customer dialogues with the same consistency and regulatory compliance as their human agents. With Customer Communication Service, businesses can be available 24/7 for one-way or two-way communication through any channel their consumers choose. Businesses can rapidly launch mobile alerts, messaging, virtual agents, self-service options, and other auto-resolution capabilities. It helps make the full customer journey more efficient and raises the level of data-driven digital intelligence behind lifecycle communications. Certain Customer Communication products are available on FICO Platform today, and we plan to make additional Customer Communication products available on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in the future.</w:t>
      </w:r>
    </w:p>
    <w:p>
      <w:pPr>
        <w:spacing w:after="0" w:line="5" w:lineRule="exact"/>
        <w:rPr>
          <w:rFonts w:ascii="Arial" w:cs="Arial" w:eastAsia="Arial" w:hAnsi="Arial"/>
          <w:sz w:val="17"/>
          <w:szCs w:val="17"/>
          <w:color w:val="auto"/>
        </w:rPr>
      </w:pPr>
    </w:p>
    <w:p>
      <w:pPr>
        <w:jc w:val="both"/>
        <w:ind w:left="640" w:hanging="319"/>
        <w:spacing w:after="0" w:line="235"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Strategy Director and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TRIAD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Customer Manager enable businesses to automate and improve risk-based decisions for their existing credit customers. These products help businesses apply advanced analytics in credit account and customer decisions to increase portfolio revenue and reduce risk exposure and losses, while improving customer retention. They also allow users to manage risk and communications at both the account and customer level from a single place. FICO Strategy Director runs on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FICO TRIAD Customer Manager, the predecessor to FICO Strategy Director, is available as an off-platform product.</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FICO</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Professional Services</w:t>
      </w:r>
    </w:p>
    <w:p>
      <w:pPr>
        <w:spacing w:after="0" w:line="6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FICO offers a range of professional services designed to help customers install and configure our software, develop and deploy advanced analytics using our software, and improve customer satisfaction and retention.</w:t>
      </w:r>
    </w:p>
    <w:p>
      <w:pPr>
        <w:spacing w:after="0" w:line="122" w:lineRule="exact"/>
        <w:rPr>
          <w:sz w:val="20"/>
          <w:szCs w:val="20"/>
          <w:color w:val="auto"/>
        </w:rPr>
      </w:pPr>
    </w:p>
    <w:p>
      <w:pPr>
        <w:jc w:val="both"/>
        <w:ind w:left="640" w:hanging="319"/>
        <w:spacing w:after="0" w:line="249" w:lineRule="auto"/>
        <w:tabs>
          <w:tab w:leader="none" w:pos="636" w:val="left"/>
        </w:tabs>
        <w:numPr>
          <w:ilvl w:val="0"/>
          <w:numId w:val="8"/>
        </w:numPr>
        <w:rPr>
          <w:rFonts w:ascii="Arial" w:cs="Arial" w:eastAsia="Arial" w:hAnsi="Arial"/>
          <w:sz w:val="17"/>
          <w:szCs w:val="17"/>
          <w:color w:val="auto"/>
        </w:rPr>
      </w:pPr>
      <w:r>
        <w:rPr>
          <w:rFonts w:ascii="Arial" w:cs="Arial" w:eastAsia="Arial" w:hAnsi="Arial"/>
          <w:sz w:val="17"/>
          <w:szCs w:val="17"/>
          <w:color w:val="auto"/>
        </w:rPr>
        <w:t>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Implementation Services. We often sell software implementation and configuration services in conjunction with our on-premise and SaaS subscriptions, and our perpetual license sales. The FICO implementation services team leverages their deep expertise in our products and their extensive industry-specific knowledge to help our customers implement and configure FICO software rapidly and effectively.</w:t>
      </w:r>
    </w:p>
    <w:p>
      <w:pPr>
        <w:spacing w:after="0" w:line="28" w:lineRule="exact"/>
        <w:rPr>
          <w:rFonts w:ascii="Arial" w:cs="Arial" w:eastAsia="Arial" w:hAnsi="Arial"/>
          <w:sz w:val="17"/>
          <w:szCs w:val="17"/>
          <w:color w:val="auto"/>
        </w:rPr>
      </w:pPr>
    </w:p>
    <w:p>
      <w:pPr>
        <w:jc w:val="both"/>
        <w:ind w:left="640" w:hanging="319"/>
        <w:spacing w:after="0" w:line="236"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Analytic Services. We build custom analytics, decision models and related analytics, and perform machine learning projects for clients in multiple industries. These analytic services help to improve critical business processes and operationalize analytics using FICO software products. Most of our engagements utilize predictive analytics, decision modeling and optimization to provide greater insight into customer preferences and help predict future customer behavior.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left="640" w:hanging="319"/>
        <w:spacing w:after="0" w:line="23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Advisors. FICO Advisors are business consultants accelerating the practical use of FICO solutions through data-driven analytics, strategic design, and software applications. Our seasoned practitioners are uniquely valued for their credit lifecycle risk and fraud knowledge and can help drive measurable results in an ever-dynamic economic market.</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professional services are sold on an hourly time and materials basis or for a fixed project fee.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MARKETS AND CUSTOMERS</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scores and software products and services serve clients in multiple industries, including banking, insurance, retail, healthcare and public agencies. End users of our products include three-quarters of each of the largest 100 financial institutions in the U.S. and the largest 100 banks in the world. Our clients also include more than 600 insurers, including nine of the top ten U.S. property and casualty insurers; more than 300 retailers and general merchandisers; and more than 200 government or public agencies. Eight of the top ten companies on the 2023 Fortune 500 list use one or more of our solutions. In addition, our consumer solutions are marketed to more than 200 million U.S. consumers whose credit relationships are reported to the three major U.S. consumer reporting agencies.</w:t>
      </w:r>
    </w:p>
    <w:p>
      <w:pPr>
        <w:spacing w:after="0" w:line="143"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majority of our scores are marketed and sold through consumer reporting agencies. During fiscal 2023, 2022 and 2021, revenues generated from our agreements with Experian, TransUnion and Equifax collectively accounted for 41%, 39% and 38% of our total revenues, respectively. We also sell our scores and credit monitoring directly to consumers through our myFICO.com on-line subscription offerings. Outside of the U.S., we sell our scores through consumer reporting agencies, other third-party distributors, and in some cases directly to large end-users.</w:t>
      </w:r>
    </w:p>
    <w:p>
      <w:pPr>
        <w:spacing w:after="0" w:line="10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market our software products and services primarily through our own direct sales organization that is organized around vertical and geographic markets. Sales teams are based in our headquarters and in field offices strategically located around the world. We also market our products through indirect channels, including alliance partners and other resellers. As more of our products are made available on FICO® Platform, we expect our sales through indirect channels to grow. We are investing significant resources to develop our indirect channel relationships.</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largest market segment is financial services, representing 91% of our total revenue in 2023. Our largest geographic market is the Americas, representing 85% of our total revenue in 2023.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market for our solutions is intensely competitive and is constantly changing. Our competitors vary both in size and in the scope of the products and services they offer. We encounter competition from several sources, including:</w:t>
      </w:r>
    </w:p>
    <w:p>
      <w:pPr>
        <w:spacing w:after="0" w:line="129"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fraud solution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providers of credit reports and credit scores;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companies supplying predictive analytic modeling, rules, or analytic development tools;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entity resolution and social network analysis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providers of customer engagement and risk management solutions;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providers of account workflow management software;</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resource planning and customer relationship management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providers of automated application processing services;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24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believe we offer customers a unique mix of products, expertise and capabilities that allows us to compete effectively in our target markets. However, many of our competitors are larger than FICO, have more development, sales and marketing resources than FICO, and some have larger shares of our target geographic or product markets.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believe the principal competitive factors affecting our markets include technical performance; access to unique proprietary analytical models and data; product attributes like adaptability, scalability, interoperability, functionality, and ease-of-use; on-premises and SaaS product availability; product price; customer service and support; the effectiveness of sales and marketing efforts; existing market penetration; and reputation. Although we believe our products and services compete favorably with respect to these factors, we may not be able to maintain our competitive position against current and future competitors.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Scores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our Scores segment, we compete with both outside suppliers and in-house analytics. Primary competitors among outside suppliers of scoring models are the three major consumer reporting agencies in the U.S. and Canada, which are also our partners in offering our scoring solutions, and VantageScore (a joint venture entity established by the major U.S. consumer reporting agencies). Additional competitors include consumer reporting agencies outside the U.S. like CRIF Ratings, which operates in the European Union, and other data providers like LexisNexis and ChoicePoint, some of which also are our partners.</w:t>
      </w:r>
    </w:p>
    <w:p>
      <w:pPr>
        <w:spacing w:after="0" w:line="10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For our offerings that deliver credit scores, credit reports and consumer credit education solutions directly to consumers, we compete with other direct to consumer credit and identity services such as Credit Karma, Credit Sesame, Experian and TransUnion, some of which are also our partners.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Software</w:t>
      </w:r>
    </w:p>
    <w:p>
      <w:pPr>
        <w:spacing w:after="0" w:line="56"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competition in our Software segment varies by application. In the fraud market for banking, we compete primarily with Nice Actimize, Experian, Pegasystems, BAE Systems Applied Intelligence, SAS, ACI Worldwide, IBM, Feedzai and Featurespace. In the customer origination market, we compete with Experian, Equifax, Moody’s, Meridian Link, and CGI, among others. In the customer management market, we compete with Experian and SAS, among others. In the marketing services market, we compete with Pegasystems, Equifax, Experian, SAS, Adobe and Salesforce, among others. In the decision platform market, we compete with Pegasystems, IBM and SAS, among others.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PROTECTION AND TRADEMARKS</w:t>
      </w:r>
    </w:p>
    <w:p>
      <w:pPr>
        <w:spacing w:after="0" w:line="24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rely on a combination of patent, copyright, trademark and trade secret laws and confidentiality agreements and procedures to protect our proprietary rights.</w:t>
      </w:r>
    </w:p>
    <w:p>
      <w:pPr>
        <w:spacing w:after="0" w:line="12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retain the title to and protect the suite of models and software used to develop scoring models as a trade secret. We also restrict access to our source code and limit access to and distribution of our software, documentation, and other proprietary information. We have generally relied upon the laws protecting trade secrets and upon contractual nondisclosure safeguards and restrictions on transferability to protect our software and proprietary interests in our product and service methodology and know-how. Our confidentiality procedures include invention assignment and proprietary information agreements with our employees and independent contractors, and nondisclosure agreements with our distributors, strategic partners, and customers. We also claim copyright protection for certain proprietary software and documentation.</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have patents on many of our technologies and have patent applications pending on other technologies. The patents we hold may not be upheld as valid and may not prevent the development of competitive products. In addition, patents may never be issued on our pending patent applications or on any future applications that we may submit. As of September 30, 2023, we held 196 U.S. and 23 foreign patents, with 69 applications pending.</w:t>
      </w:r>
    </w:p>
    <w:p>
      <w:pPr>
        <w:spacing w:after="0" w:line="102"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Despite our precautions, it may be possible for competitors or users to copy or reproduce aspects of our software or to obtain information that we regard as trade secrets. In addition, the laws of some foreign countries do not protect proprietary rights to the same extent as do the laws of the U.S. Patents and other protections for our intellectual property are important, but we believe our success and growth will depend principally on such factors as the knowledge, ability, experience and creative skills of our personnel, new products, frequent product enhancements and name recognition.</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have developed technologies for research projects conducted under agreements with various U.S. government agencies or their subcontractors. Although we have acquired commercial rights to these technologies, the U.S. government typically retains ownership of intellectual property rights and licenses in the technologies that we develop under these contracts. In some cases, the U.S. government can terminate our rights to these technologies if we fail to commercialize them on a timely basis. In addition, under U.S. government contracts, the government may make the results of our research public, which could limit our competitive advantage with respect to future products based on funded research.</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have used, registered and/or applied to register certain trademarks and service marks for our technologies, products and services. As of September 30, 2023, we had 24 trademarks registered in the U.S. and select foreign countries.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GOVERNMENTAL REGULATION</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are subject to a number of U.S. federal, state, local and foreign laws and regulations that involve matters central to our business. Laws and governmental regulation affect how our business is conducted and, in some cases, subject us to the possibility of government supervision or enforcement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summarized below.</w:t>
      </w:r>
    </w:p>
    <w:p>
      <w:pPr>
        <w:spacing w:after="0" w:line="111"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Many U.S. and foreign jurisdictions have passed, or are currently contemplating, a variety of consumer protection, data privacy, and cyber and data security laws and regulations that may relate to our business or the business of our customers or affect the demand for our products and services. For example, the General Data Protection Regulation (the “GDPR”) in the United Kingdom (“U.K.”) and the European Union (“E.U.”) imposes, among other things, strict obligations and restrictions on the collection and use of U.K. and E.U. personal data, a requirement for prompt notice of data breaches in certain circumstances, a requirement for implementation of certain approved safeguards (such as the use of approved “standard contractual clauses” and the performance of appropriate data transfer impact assessments) for transfers of personal data to other countries that have not been determined by the E.U. or the U.K. to provide adequate data privacy protections, and possible substantial fines for any violations. Our implementation of processes to meet such requirements for affected data flows, which may involve interpretive issues, and may have an adverse impact on cross-border transfers of personal data, may subject us or our customers to additional scrutiny from E.U. and U.K. regulators or may increase our costs of compliance associated with maintaining appropriate certifications, performing any necessary assessments, engaging in contract negotiations with third parties and implementing approved standard contractual clauses, and/or (if appropriate) localizing certain data processing activities. Brazil, India, South Africa, Japan, China, Israel, Canada, and several other countries have introduced and, in some cases, enacted, similar data privacy and cyber and data security laws.</w:t>
      </w:r>
    </w:p>
    <w:p>
      <w:pPr>
        <w:spacing w:after="0" w:line="11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January 1, 2023, the California Privacy Rights Act (the “CPRA”) revised and significantly expanded the scope of the CCPA. The CPRA also created a new agency, the California Privacy Protection Agency, authorized to implement and enforce the CCPA and the CPRA, which could result in increased privacy and information security regulatory actions. Other U.S. states have considered and/or enacted similar privacy laws. For example, Virginia, Utah, Connecticut, and Colorado have passed new consumer privacy laws with effective dates in 2023, and Delaware, Indiana, Iowa, Montana, Oregon, Tennessee, and Texas have passed consumer privacy laws that will become effective in 2024, 2025, or 2026.</w:t>
      </w:r>
    </w:p>
    <w:p>
      <w:pPr>
        <w:spacing w:after="0" w:line="11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Gramm-Leach-Bliley Act ("GLBA") regulates, among other things, the receipt, use, disclosure, and security of non-public personal information of consumers held by “financial institutions” and applies indirectly to companies that provide services to financial institutions. As a provider of services to financial institutions, portions of our business are subject to obligations to comply with certain GLBA provisions, including limitations on the use or disclosure of the underlying data and rules relating to the technological, physical and administrative safeguarding of non-public personal information.</w:t>
      </w:r>
    </w:p>
    <w:p>
      <w:pPr>
        <w:spacing w:after="0" w:line="108"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Health Insurance Portability and Accountability Act of 1996, as amended by the American Recovery and Reinvestment Act of 2009 (“HIPAA”) and the Health Information Technology for Economic and Clinical Health Act (“HITECH”), and their respective implementing regulations impose specified requirements relating to the privacy, security and transmission of individually identifiable health information. Among other things, HITECH makes HIPAA’s security standards directly applicable to “business associates.” We function as a business associate for certain of our customers that are HIPAA-covered entities and service providers and, in that context, we are regulated as a business associate for the purposes of HIPAA.</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The Dodd-Frank Wall Street Reform and Consumer Protection Act (“Dodd-Frank Act”) prohibits unfair, deceptive, or abusive acts or practices (“UDAAP”) with respect to the offering of consumer financial products and services and provides the Consumer Financial Protection Bureau (the “CFPB”) with enforcement authority to enforce those provisions as well as certain enumerated federal consumer financial laws. In certain circumstances, the CFPB also has examination and supervision powers with respect to service providers who provide a material service to a covered financial institution offering consumer financial products and services. Further, the CFPB has authority to issues rules designating non-depository “larger participants” in certain markets for consumer financial services and products for purposes of the CFPB’s supervisory authority under the Dodd-Frank Act. Such designated “larger participants” are subject to reporting and on-site compliance examinations by the CFPB, which may result in increased compliance costs and potentially greater enforcement risks based on these supervisory activities. In addition, the laws and regulations issued by U.S. and foreign regulators of some of our largest financial institution customers may require them to flow down certain contractual obligations, exercise greater oversight, and perform more rigorous audits of their key service providers such as us.</w:t>
      </w:r>
    </w:p>
    <w:p>
      <w:pPr>
        <w:spacing w:after="0" w:line="117"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Federal Trade Commission Act (the “FTC Act”) prohibits unfair methods of competition and unfair or deceptive acts or practices. Under the FTC Act, the FTC’s jurisdiction includes the ability to bring enforcement actions based on the security measures we employ to safeguard the personal data of consumers. Allegations that we failed to safeguard or handle such data in a reasonable manner may subject us to regulatory scrutiny or enforcement action.</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U.S. Fair Credit Reporting Act (the “FCRA”) applies to consumer reporting agencies, as well as data furnishers, and users of consumer reports such as banks and other companies, many of which are our customers. The FCRA provisions govern the accuracy, fairness and privacy of information in the files of consumer reporting agencies that engage in the practice of assembling or evaluating information relating to consumers for certain specified purposes. The FCRA limits the type of information that may be reported by consumer reporting agencies, limits the distribution and use of consumer reports, establishes consumer rights to access and dispute their own credit files, includes provisions designed to prevent identity theft and assist fraud victims, requires consumer reporting agencies to make a free annual credit report available to consumers and imposes many other requirements on consumer reporting agencies, data furnishers and users of consumer report information. These requirements can affect the manner and extent to which our customers use our products and services.</w:t>
      </w:r>
    </w:p>
    <w:p>
      <w:pPr>
        <w:spacing w:after="0" w:line="11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A number of states have enacted requirements similar to the FCRA. Some of these state laws impose additional, or more stringent, requirements than the FCRA, especially in connection with investigations and responses to reported inaccuracies in consumer reports. The FCRA preempts some of these state laws, but the scope of preemption continues to be defined by the courts. Various consumer credit laws and regulations in the foreign countries where we conduct business also affect the products and services we offer to our customers.</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Credit Repair Organizations Act (the “CROA”) regulates companies that claim to be able to assist consumers in improving their credit standing. There have been efforts to apply the CROA to credit monitoring services offered by consumer reporting agencies and others, which may impact certain of our products and services.</w:t>
      </w:r>
    </w:p>
    <w:p>
      <w:pPr>
        <w:spacing w:after="0" w:line="13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Special requirements may apply to us when providing services directly or indirectly to U.S. federal, state and local government agencies. The applicable requirements depend upon the monetary value of the awarded contract, the particular government agency awarding or funding the contract, the scope of services to be delivered, and the level of access that the agency will need to provide to us to enable us to perform the contract. For example, we may need to abide by the Privacy Act of 1974, the Internal Revenue Service’s Publication 4812, and the Federal Acquisition Regulation and associated supplemental contract clauses. Each of these laws, regulations and contract clauses imposes certain requirements, including measures for the protection of personal information or information that is otherwise categorized as sensitive by the government. Government agencies frequently modify or supplement these requirements, and consequences for violations of applicable requirements may include penalties, civil liability and for severe infractions, criminal liability.</w:t>
      </w:r>
    </w:p>
    <w:p>
      <w:pPr>
        <w:spacing w:after="0" w:line="11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There has been an increased focus on laws and regulations related to our business and the business of our customers, including by the current U.S. presidential administration, the U.S. Congress, and U.S. regulators, such as the CFPB, relating to policy concerns regarding the operation of consumer reporting agencies, the use and accuracy of credit and alternative data, the use of credit scores and fair lending, and the use, transparency, and fairness of algorithms, artificial intelligence, and machine learning in business processes. The European Commission has also released draft proposed regulations (i.e., the EU AI Act) that would establish requirements for the provision and use of products that leverage artificial intelligence, machine learning, and similar analytic and statistical modeling technologies, including credit scoring. The final version of the EU AI Act is expected to be published by the end of 2023 and is expected to become effective in 2026.</w:t>
      </w:r>
    </w:p>
    <w:p>
      <w:pPr>
        <w:spacing w:after="0" w:line="14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Additional laws and regulations that may affect our business and our current and prospective customers’ activities include, but are not limited to, those in the following significant regulatory areas: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spacing w:after="0" w:line="23"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 and laws and regulations that may impose requirements relating to algorithmic fairness or accountability.</w:t>
      </w:r>
    </w:p>
    <w:p>
      <w:pPr>
        <w:spacing w:after="0" w:line="23" w:lineRule="exact"/>
        <w:rPr>
          <w:rFonts w:ascii="Arial" w:cs="Arial" w:eastAsia="Arial" w:hAnsi="Arial"/>
          <w:sz w:val="18"/>
          <w:szCs w:val="18"/>
          <w:color w:val="auto"/>
        </w:rPr>
      </w:pPr>
    </w:p>
    <w:p>
      <w:pPr>
        <w:jc w:val="both"/>
        <w:ind w:left="640" w:hanging="319"/>
        <w:spacing w:after="0" w:line="250"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Cybersecurity Act of 2015; the U.S. Department of Commerce’s National Institute of Standards and Technology’s Cybersecurity Framework; the Clarifying Lawful Overseas Use of Data Act; cyber incident notice requirements for banks and their service providers under rules and regulations issued by federal banking regulators; cybersecurity incident disclosure requirements for public companies under regulations issued by the SEC; and identity theft, file freezing, and similar state privacy laws.</w:t>
      </w:r>
    </w:p>
    <w:p>
      <w:pPr>
        <w:spacing w:after="0" w:line="32" w:lineRule="exact"/>
        <w:rPr>
          <w:rFonts w:ascii="Arial" w:cs="Arial" w:eastAsia="Arial" w:hAnsi="Arial"/>
          <w:sz w:val="18"/>
          <w:szCs w:val="18"/>
          <w:color w:val="auto"/>
        </w:rPr>
      </w:pPr>
    </w:p>
    <w:p>
      <w:pPr>
        <w:ind w:left="640" w:hanging="319"/>
        <w:spacing w:after="0" w:line="216" w:lineRule="exact"/>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spacing w:after="0" w:line="42" w:lineRule="exact"/>
        <w:rPr>
          <w:rFonts w:ascii="Arial" w:cs="Arial" w:eastAsia="Arial" w:hAnsi="Arial"/>
          <w:sz w:val="18"/>
          <w:szCs w:val="18"/>
          <w:color w:val="auto"/>
        </w:rPr>
      </w:pPr>
    </w:p>
    <w:p>
      <w:pPr>
        <w:jc w:val="both"/>
        <w:ind w:left="640" w:hanging="319"/>
        <w:spacing w:after="0" w:line="24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The Federal National Mortgage Association (“Fannie Mae”) and The Federal Home Loan Mortgage Corporation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 including the ongoing validation and approval of the use of the FICO Score by Fannie Mae, Freddie Mac, and the Federal Housing Finance Agency.</w:t>
      </w:r>
    </w:p>
    <w:p>
      <w:pPr>
        <w:spacing w:after="0" w:line="37"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the Telephone Consumer Protection Act, the CAN-SPAM Act, the Fair Debt Collection Practices Act, and regulations promulgated thereunder, and similar state laws and similar laws in other countries).</w:t>
      </w:r>
    </w:p>
    <w:p>
      <w:pPr>
        <w:spacing w:after="0" w:line="32"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56"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Truth In Lending Act and Regulation Z, the Fair Debt Collection Practices Act and Regulation F, the Servicemembers Civil Relief Act, and the Military Lending Act, and similar state consumer protection laws).</w:t>
      </w:r>
    </w:p>
    <w:p>
      <w:pPr>
        <w:spacing w:after="0" w:line="32"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56" w:lineRule="exact"/>
        <w:rPr>
          <w:rFonts w:ascii="Arial" w:cs="Arial" w:eastAsia="Arial" w:hAnsi="Arial"/>
          <w:sz w:val="18"/>
          <w:szCs w:val="18"/>
          <w:color w:val="auto"/>
        </w:rPr>
      </w:pPr>
    </w:p>
    <w:p>
      <w:pPr>
        <w:ind w:left="640" w:hanging="319"/>
        <w:spacing w:after="0" w:line="308"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Laws and regulations restricting transactions with sanctioned parties and regarding export controls as they apply to FICO products delivered in non-U.S. countries or to foreign nationals (e.g., Office of Foreign Asset Control sanctions and Export Administration Regulations).</w:t>
      </w:r>
    </w:p>
    <w:p>
      <w:pPr>
        <w:spacing w:after="0" w:line="1"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w:t>
      </w:r>
    </w:p>
    <w:p>
      <w:pPr>
        <w:spacing w:after="0" w:line="23"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that apply to outsourcing of services by our clients, and that set forth requirements for managing third parties (e.g., vendors, contractors, suppliers and distributors).</w:t>
      </w:r>
    </w:p>
    <w:p>
      <w:pPr>
        <w:spacing w:after="0" w:line="12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are also subject to federal and state laws that are generally applicable to any U.S. business with national or international operations, such as antitrust laws, the Foreign Corrupt Practices Act, the Americans with Disabilities Act, state unfair or deceptive practices acts and various employment laws.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People</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As of September 30, 2023, we employed 3,455 persons across 29 countries. Of these, our largest representation includes 1,283 (37%) based in the United States, 1,259 (36%) based in India and 270 (8%) based in the United Kingdom. Other than to the extent mandated by applicable law in certain foreign jurisdictions, none of our employees are covered by a collective bargaining agreement, and no work stoppages were experienced during fiscal 2023.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Our Board of Directors (our “Board”) and executive leadership team believe that our people are vital to our success. The Leadership Development and Compensation Committee (the “LDCC”) of our Board oversees all human capital management policies, programs and strategies, including but not limited to those regarding talent recruitment, development and retention, health and safety, organizational culture, employee engagement, diversity, inclusion and</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belonging, and compensation and benefits. The LDCC also periodically reviews and reports to the Board with respect to succession planning for our Chief Executive Officer and other senior management positions. In addition, our Chief Human Resources Officer reports to our Board periodically on people-focused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For the past decade, we have conducted quarterly workforce surveys to measure employee engagement and gain feedback and insights from our people about ways to improve the employee experience and the effectiveness of our business operations. Detailed findings from these surveys are promptly communicated to all employees, individual work teams, the executive team and our Board and the findings are leveraged to drive positive organizational change. We involve designated employee “ambassadors” who work with senior leaders to explore findings, identify high value actions and amplify messaging to help our people understand how survey participation can connect to positive change.</w:t>
      </w:r>
    </w:p>
    <w:p>
      <w:pPr>
        <w:spacing w:after="0" w:line="11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Examples of organizational changes that have been driven by the insights from these surveys include investments in expanded workforce capacity, targeted recruiting of under-represented groups, broadened and more frequent company-wide communications, expanded employee stock ownership, expanded benefit programs including paid parental leave, well-being, family building, childcare reimbursement and company-funded transportation programs, enhanced incentive plan funding and expanded investments in professional development and culture-based initiatives to promote inclusiveness and belonging.</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engagement scores have steadily strengthened over the past year and nearly all driver scores remain well-above their published external benchmark.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Inclusion and Belonging</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FICO is committed to building and reinforcing a culture where individual differences and perspectives are valued. We believe that diverse teams can better relate to and deliver against the many and varied needs of our clients. We also believe that promoting a culture where individual differences are both welcomed and valued allows us to attract the best talent while allowing people to reach their full potential.</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Foundationally, we have adopted a “Commitment to Inclusion and Belonging Policy” which provides that all employment-related decisions be made in compliance with established equal opportunity statutes. Accordingly, all decisions to employ, transfer, promote, train, compensate or otherwise provide access to benefit programs are to be made in accordance with these statutes. In addition, in the United States we have established an Affirmative Action Program and underlying plans for office locations with 50 or more employees to formally measure, report on and identify needed actions to close any gaps involving the utilization and advancement of women, minorities, disabled persons and veterans. All employees receive mandatory training and testing on this and other foundational and compliance policies during the on-boarding process and every two years thereafter, with people managers receiving training regarding their unique leadership responsibilities. As examples, we have a mandatory training program to identify, prevent and combat prohibited harassment, as well as training and “dialogue sessions” designed to build understanding of unconscious biases and strategies to overcome them.</w:t>
      </w:r>
    </w:p>
    <w:p>
      <w:pPr>
        <w:spacing w:after="0" w:line="11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Building on this foundation, we sponsor and provide dedicated funding to multiple employee resource groups (“ERGs”) that help support our goals of workforce engagement and a strong sense of inclusion and belonging. FICO ERGs focus on women, race/ethnicity, LGBTQ+ and community support groups. All FICO ERGs are open to everyone at FICO to join. Our FICO Cares ERG encourages our people to connect with and contribute to their community. We encourage employees to participate in volunteer activities by providing work schedule flexibility and paid Community Volunteer Leave. We also encourage and match employee cash donations to qualified charitable organizations through our Corporate Matching Gift Program.</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As one strategy to accelerate progress in expanding workforce diversity, we engage in targeted campus recruiting efforts. In the United States, we maintain and continue to expand our partnership with the Management Leadership for Tomorrow (MLT.org) organization, which helps us connect with racially diverse college students for summer internships followed by offers of full-time employment upon graduation.</w:t>
      </w:r>
    </w:p>
    <w:p>
      <w:pPr>
        <w:spacing w:after="0" w:line="1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 xml:space="preserve">Additional information on our diversity programs and efforts are available on the Corporate Responsibility page of our website at </w:t>
      </w:r>
      <w:r>
        <w:rPr>
          <w:rFonts w:ascii="Arial" w:cs="Arial" w:eastAsia="Arial" w:hAnsi="Arial"/>
          <w:sz w:val="18"/>
          <w:szCs w:val="18"/>
          <w:i w:val="1"/>
          <w:iCs w:val="1"/>
          <w:color w:val="auto"/>
        </w:rPr>
        <w:t>www.fico.com/en/corporate-responsibility</w:t>
      </w:r>
      <w:r>
        <w:rPr>
          <w:rFonts w:ascii="Arial" w:cs="Arial" w:eastAsia="Arial" w:hAnsi="Arial"/>
          <w:sz w:val="18"/>
          <w:szCs w:val="18"/>
          <w:color w:val="auto"/>
        </w:rPr>
        <w:t>. Information contained on our website is not deemed part of or incorporated by reference into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Recruitment</w:t>
      </w:r>
    </w:p>
    <w:p>
      <w:pPr>
        <w:spacing w:after="0" w:line="109"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We leverage organizational culture as a competitive advantage in our efforts to attract talent from the broadest possible pool. We deploy selection practices which ensure strong alignment between candidate qualifications and knowledge and skills needed for success in each role, while avoiding unconscious biases through hiring manager education and use of decision tools. We have adopted a policy that seeks a level of qualified applicant pool diversity be achieved prior to offer extension as a strategy for building workforce diversity along with high quality hires. Further, in the U.S., we detail our targeted base pay ranges on all public job postings and instruct our recruiters that they are prohibited from inquiring about a candidate’s current level of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Development</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To support professional development, we offer a structured onboarding program with training specific to a variety of identified career paths to help new employees become rapidly engaged and productive. We have invested in building the FICO Integrated Learning Organization (“ILO”), which is led by our Chief Learning Officer. The ILO develops customized learning content for colleagues, clients and partners around the world. We deliver high quality, targeted new hire onboarding, technology and product skill training, compliance and management and leadership education through this “FICO Learning” platform. This allows our employees to obtain the knowledge and skills to effectively perform in their current roles, while also preparing them for new opportunities. We also offer financial support for degreed or certificated programs through a tuition reimbursement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 Programs</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regularly participate in market-based compensation surveys, seek the advice of outside experts and leverage new hire and unplanned attrition trend data to ensure that our base pay and incentive structures are competitive. We create a strong sense of shared purpose by having our CEO and each member of our executive leadership team participate in the same annual cash incentive bonus plan, as all non-sales employees across our organization.</w:t>
      </w:r>
    </w:p>
    <w:p>
      <w:pPr>
        <w:spacing w:after="0" w:line="102"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Over the course of the past decade, we’ve steadily and significantly expanded participation in our annual performance-based equity program from 7% to nearly 33% of our workforce. In addition, we offer an Employee Stock Purchase Plan for eligible employees, which is designed to promote even broader equity participation.</w:t>
      </w:r>
    </w:p>
    <w:p>
      <w:pPr>
        <w:spacing w:after="0" w:line="138"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offer competitive health and welfare benefit plans with significant company subsidies to offset premiums, retirement plans with a competitive company match to encourage participation and flexible paid-time-off programs including vacation, sick time and disability time. We have paid Maternity and Parental Leave benefits totaling up to 12 weeks, and we have adopted a Well-Being Program designed to provide broad-based physical and mental health education and personal health coaching, as well as quarterly cash Wellness Awards designed to help employees fund wellness-related purchases which they find most valuable. We recently implemented a new global Family Building Benefit program, which provides infertility, cryopreservation, surrogacy and adoption support services. In India, we recently implemented a new Childcare Reimbursement program to assist parents of young children.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a Healthy and Safe Work Environment</w:t>
      </w:r>
    </w:p>
    <w:p>
      <w:pPr>
        <w:spacing w:after="0" w:line="96"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committed to providing a safe and healthy workplace. We continuously strive to meet or exceed compliance with all laws, regulations and accepted practices pertaining to workplace safety. All employees and contractors are required to comply with established safety policies, standards and procedures.</w:t>
      </w:r>
    </w:p>
    <w:p>
      <w:pPr>
        <w:spacing w:after="0" w:line="8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foster a healthy work/life balance for our people via both remote and hybrid work location policies that provide significant flexibility surrounding work location and work schedules. We have also substantially reduced employee travel to only essential business needs in favor of ongoing video-based meetings.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Market and Strategy Risks</w:t>
      </w:r>
    </w:p>
    <w:p>
      <w:pPr>
        <w:spacing w:after="0" w:line="115"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We may not be successful in executing the business strategy for our Software segment, which could cause our growth prospects and results of operations to suffer.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237"/>
        <w:spacing w:after="0" w:line="272" w:lineRule="auto"/>
        <w:rPr>
          <w:sz w:val="20"/>
          <w:szCs w:val="20"/>
          <w:color w:val="auto"/>
        </w:rPr>
      </w:pPr>
      <w:r>
        <w:rPr>
          <w:rFonts w:ascii="Arial" w:cs="Arial" w:eastAsia="Arial" w:hAnsi="Arial"/>
          <w:sz w:val="16"/>
          <w:szCs w:val="16"/>
          <w:color w:val="auto"/>
        </w:rPr>
        <w:t>We have increasingly focused our Software segment’s business strategy on investing significant development resources to enable substantially all of our software to run on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 our modular software offering designed to enable advanced analytics and decisioning use cases. This business strategy is designed to enable us to increase our business by selling multiple connectable and extensible products to clients, as well as to enable the development of custom client solutions and to allow our clients to more easily expand their usage and the use cases they enable over time. The market may be unreceptive to our general business approach, including being unreceptive to our cloud-based offerings, unreceptive to purchasing multiple products from us, or unreceptive to our customized solutions. As we continue to pursue this business strategy, we may experience volatility in our Software segment’s revenues and operating results caused by various factors, including the differences in revenue recognition treatment and timing between our cloud-based offerings and on-premises software licenses, the timing of investments and other expenditures necessary to develop and operate our cloud-based offerings, and the adoption of new sales, delivery and distribution methods. If this business strategy is not successful, we may not be able to grow our Software segment’s business, growth may occur more slowly than we anticipate, or revenues and profits may decline.</w:t>
      </w:r>
    </w:p>
    <w:p>
      <w:pPr>
        <w:spacing w:after="0" w:line="126"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If we are unable to develop successful new products or new versions of products, or if we experience defects, failures or delays associated with the introduction of new products or of new versions of products, our business could suffer serious harm.</w:t>
      </w:r>
    </w:p>
    <w:p>
      <w:pPr>
        <w:spacing w:after="0" w:line="76" w:lineRule="exact"/>
        <w:rPr>
          <w:sz w:val="20"/>
          <w:szCs w:val="20"/>
          <w:color w:val="auto"/>
        </w:rPr>
      </w:pPr>
    </w:p>
    <w:p>
      <w:pPr>
        <w:jc w:val="both"/>
        <w:ind w:firstLine="237"/>
        <w:spacing w:after="0" w:line="279" w:lineRule="auto"/>
        <w:rPr>
          <w:sz w:val="20"/>
          <w:szCs w:val="20"/>
          <w:color w:val="auto"/>
        </w:rPr>
      </w:pPr>
      <w:r>
        <w:rPr>
          <w:rFonts w:ascii="Arial" w:cs="Arial" w:eastAsia="Arial" w:hAnsi="Arial"/>
          <w:sz w:val="16"/>
          <w:szCs w:val="16"/>
          <w:color w:val="auto"/>
        </w:rPr>
        <w:t>Our growth and the success of our business strategy depend upon our ability to develop and sell new products and new versions of products, including the development and sale of our cloud-based product offerings and our scoring solutions. If we are unable to develop new or enhanced products, or if we are not successful in introducing new or enhanced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software operating environments and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121" w:lineRule="exact"/>
        <w:rPr>
          <w:sz w:val="20"/>
          <w:szCs w:val="20"/>
          <w:color w:val="auto"/>
        </w:rPr>
      </w:pPr>
    </w:p>
    <w:p>
      <w:pPr>
        <w:jc w:val="both"/>
        <w:ind w:firstLine="158"/>
        <w:spacing w:after="0" w:line="252"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and upon introducing enhancements and improvements to existing products and services. If the marketplace does not accept these new, enhanced or improved products and services, our revenues may decline.</w:t>
      </w:r>
    </w:p>
    <w:p>
      <w:pPr>
        <w:spacing w:after="0" w:line="85" w:lineRule="exact"/>
        <w:rPr>
          <w:sz w:val="20"/>
          <w:szCs w:val="20"/>
          <w:color w:val="auto"/>
        </w:rPr>
      </w:pPr>
    </w:p>
    <w:p>
      <w:pPr>
        <w:jc w:val="both"/>
        <w:ind w:firstLine="237"/>
        <w:spacing w:after="0" w:line="282" w:lineRule="auto"/>
        <w:rPr>
          <w:sz w:val="20"/>
          <w:szCs w:val="20"/>
          <w:color w:val="auto"/>
        </w:rPr>
      </w:pPr>
      <w:r>
        <w:rPr>
          <w:rFonts w:ascii="Arial" w:cs="Arial" w:eastAsia="Arial" w:hAnsi="Arial"/>
          <w:sz w:val="16"/>
          <w:szCs w:val="16"/>
          <w:color w:val="auto"/>
        </w:rPr>
        <w:t>To increase our revenues, we must enhance and improve existing products and services, and continue to introduce new products and services that keep pace with technological developments, satisfy increasingly sophisticated customer requirements and achieve market acceptance. We believe much of the future growth of our business and the success of our business strategy will rest on our ability to continue to expand into newer markets for our products and services. Such areas are relatively new to our product development and sales and marketing personnel. Products and services that we plan to market in the future are in various stages of development. We cannot assure you that the marketplace will accept these products and services.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18" w:lineRule="exact"/>
        <w:rPr>
          <w:sz w:val="20"/>
          <w:szCs w:val="20"/>
          <w:color w:val="auto"/>
        </w:rPr>
      </w:pPr>
    </w:p>
    <w:p>
      <w:pPr>
        <w:jc w:val="both"/>
        <w:ind w:firstLine="158"/>
        <w:spacing w:after="0" w:line="316"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consumer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39" w:lineRule="exact"/>
        <w:rPr>
          <w:sz w:val="20"/>
          <w:szCs w:val="20"/>
          <w:color w:val="auto"/>
        </w:rPr>
      </w:pPr>
    </w:p>
    <w:p>
      <w:pPr>
        <w:jc w:val="both"/>
        <w:ind w:firstLine="237"/>
        <w:spacing w:after="0" w:line="299" w:lineRule="auto"/>
        <w:rPr>
          <w:sz w:val="20"/>
          <w:szCs w:val="20"/>
          <w:color w:val="auto"/>
        </w:rPr>
      </w:pPr>
      <w:r>
        <w:rPr>
          <w:rFonts w:ascii="Arial" w:cs="Arial" w:eastAsia="Arial" w:hAnsi="Arial"/>
          <w:sz w:val="16"/>
          <w:szCs w:val="16"/>
          <w:color w:val="auto"/>
        </w:rPr>
        <w:t>Most of our customers are relatively large enterprises, such as banks, credit card issuers, insurers, retailers, telecommunications providers, automotive lenders, consumer reporting agencies, public agencies, and organizations in other industries. As a result, many of our customers and potential customers are significantly larger than we are and may have sufficient bargaining power to demand reduced prices and favorable nonstandard terms.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237"/>
        <w:spacing w:after="0" w:line="246" w:lineRule="auto"/>
        <w:rPr>
          <w:sz w:val="20"/>
          <w:szCs w:val="20"/>
          <w:color w:val="auto"/>
        </w:rPr>
      </w:pPr>
      <w:r>
        <w:rPr>
          <w:rFonts w:ascii="Arial" w:cs="Arial" w:eastAsia="Arial" w:hAnsi="Arial"/>
          <w:sz w:val="18"/>
          <w:szCs w:val="18"/>
          <w:color w:val="auto"/>
        </w:rPr>
        <w:t>In addition, the U.S. and other key international economies are experiencing, and have experienced in the past, downturns in which economic activity is impacted by falling demand for a variety of goods and services, increased volatility of interest rates, fluctuating rates of inflation,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In addition, the volume of our Scores sales depends heavily on macroeconomic conditions, including, for example, the volume of transactions in the U.S. mortgage and credit card markets, which account for a significant portion of the revenues in our Scores segment. Economic disruption could result in a decline in the sales of new products to our customers and the volume of transactions that we execute for existing customers.</w:t>
      </w:r>
    </w:p>
    <w:p>
      <w:pPr>
        <w:spacing w:after="0" w:line="145" w:lineRule="exact"/>
        <w:rPr>
          <w:sz w:val="20"/>
          <w:szCs w:val="20"/>
          <w:color w:val="auto"/>
        </w:rPr>
      </w:pPr>
    </w:p>
    <w:p>
      <w:pPr>
        <w:jc w:val="both"/>
        <w:ind w:firstLine="237"/>
        <w:spacing w:after="0" w:line="237" w:lineRule="auto"/>
        <w:rPr>
          <w:sz w:val="20"/>
          <w:szCs w:val="20"/>
          <w:color w:val="auto"/>
        </w:rPr>
      </w:pPr>
      <w:r>
        <w:rPr>
          <w:rFonts w:ascii="Arial" w:cs="Arial" w:eastAsia="Arial" w:hAnsi="Arial"/>
          <w:sz w:val="18"/>
          <w:szCs w:val="18"/>
          <w:color w:val="auto"/>
        </w:rPr>
        <w:t>We also derive a substantial portion of our Scores segment revenues and operating income from our contracts with the three major consumer reporting agencies in the U.S., Experian, TransUnion and Equifax, and other parties that distribute our products to certain markets. The loss of or a significant change in a relationship with one of the three consumer reporting agencies with respect to their distribution of our products or with respect to our myFICO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loss of or delay of significant revenues from these sources, could have a material adverse effect on our revenues and results of operations.</w:t>
      </w:r>
    </w:p>
    <w:p>
      <w:pPr>
        <w:spacing w:after="0" w:line="149"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76" w:lineRule="exact"/>
        <w:rPr>
          <w:sz w:val="20"/>
          <w:szCs w:val="20"/>
          <w:color w:val="auto"/>
        </w:rPr>
      </w:pPr>
    </w:p>
    <w:p>
      <w:pPr>
        <w:jc w:val="both"/>
        <w:ind w:firstLine="237"/>
        <w:spacing w:after="0" w:line="250"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85"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obtain regulatory approvals for our products and services, including credit score models;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increasing availability of free or relatively inexpensive consumer credit, credit score and other information from public or commercial sources;</w:t>
      </w:r>
    </w:p>
    <w:p>
      <w:pPr>
        <w:spacing w:after="0" w:line="79" w:lineRule="exact"/>
        <w:rPr>
          <w:rFonts w:ascii="Arial" w:cs="Arial" w:eastAsia="Arial" w:hAnsi="Arial"/>
          <w:sz w:val="16"/>
          <w:szCs w:val="16"/>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109" w:lineRule="exact"/>
        <w:rPr>
          <w:sz w:val="20"/>
          <w:szCs w:val="20"/>
          <w:color w:val="auto"/>
        </w:rPr>
      </w:pPr>
    </w:p>
    <w:p>
      <w:pPr>
        <w:jc w:val="both"/>
        <w:ind w:firstLine="237"/>
        <w:spacing w:after="0" w:line="287" w:lineRule="auto"/>
        <w:rPr>
          <w:sz w:val="20"/>
          <w:szCs w:val="20"/>
          <w:color w:val="auto"/>
        </w:rPr>
      </w:pPr>
      <w:r>
        <w:rPr>
          <w:rFonts w:ascii="Arial" w:cs="Arial" w:eastAsia="Arial" w:hAnsi="Arial"/>
          <w:sz w:val="16"/>
          <w:szCs w:val="16"/>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For example, artificial intelligence technologies and their use are currently undergoing rapid change.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58"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5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76" w:lineRule="exact"/>
        <w:rPr>
          <w:sz w:val="20"/>
          <w:szCs w:val="20"/>
          <w:color w:val="auto"/>
        </w:rPr>
      </w:pPr>
    </w:p>
    <w:p>
      <w:pPr>
        <w:jc w:val="both"/>
        <w:ind w:firstLine="237"/>
        <w:spacing w:after="0" w:line="281" w:lineRule="auto"/>
        <w:rPr>
          <w:sz w:val="20"/>
          <w:szCs w:val="20"/>
          <w:color w:val="auto"/>
        </w:rPr>
      </w:pPr>
      <w:r>
        <w:rPr>
          <w:rFonts w:ascii="Arial" w:cs="Arial" w:eastAsia="Arial" w:hAnsi="Arial"/>
          <w:sz w:val="16"/>
          <w:szCs w:val="16"/>
          <w:color w:val="auto"/>
        </w:rPr>
        <w:t>During fiscal 2023, 91%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geopolitical tensions, military conflicts, the level of inflation and rising interest rates,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119" w:lineRule="exact"/>
        <w:rPr>
          <w:sz w:val="20"/>
          <w:szCs w:val="20"/>
          <w:color w:val="auto"/>
        </w:rPr>
      </w:pPr>
    </w:p>
    <w:p>
      <w:pPr>
        <w:jc w:val="both"/>
        <w:ind w:firstLine="237"/>
        <w:spacing w:after="0" w:line="284" w:lineRule="auto"/>
        <w:rPr>
          <w:sz w:val="20"/>
          <w:szCs w:val="20"/>
          <w:color w:val="auto"/>
        </w:rPr>
      </w:pPr>
      <w:r>
        <w:rPr>
          <w:rFonts w:ascii="Arial" w:cs="Arial" w:eastAsia="Arial" w:hAnsi="Arial"/>
          <w:sz w:val="16"/>
          <w:szCs w:val="16"/>
          <w:color w:val="auto"/>
        </w:rPr>
        <w:t>While the rate of account growth in the U.S. banking industry has been slow, we have generated most of our revenue growth in the banking industry by selling and cross-selling our products and services to large banks and other credit issuers. If the banking industry experiences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15" w:lineRule="exact"/>
        <w:rPr>
          <w:sz w:val="20"/>
          <w:szCs w:val="20"/>
          <w:color w:val="auto"/>
        </w:rPr>
      </w:pPr>
    </w:p>
    <w:p>
      <w:pPr>
        <w:jc w:val="both"/>
        <w:ind w:firstLine="237"/>
        <w:spacing w:after="0" w:line="261" w:lineRule="auto"/>
        <w:rPr>
          <w:sz w:val="20"/>
          <w:szCs w:val="20"/>
          <w:color w:val="auto"/>
        </w:rPr>
      </w:pPr>
      <w:r>
        <w:rPr>
          <w:rFonts w:ascii="Arial" w:cs="Arial" w:eastAsia="Arial" w:hAnsi="Arial"/>
          <w:sz w:val="18"/>
          <w:szCs w:val="18"/>
          <w:color w:val="auto"/>
        </w:rPr>
        <w:t>While we expand our sales into international markets, the risks are greater as these markets are also experiencing substantial disruption and we are less well-known in them.</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we are unable to access new markets or develop new sales and distribution channels, our business and growth prospects could suffer.</w:t>
      </w:r>
    </w:p>
    <w:p>
      <w:pPr>
        <w:spacing w:after="0" w:line="132" w:lineRule="exact"/>
        <w:rPr>
          <w:sz w:val="20"/>
          <w:szCs w:val="20"/>
          <w:color w:val="auto"/>
        </w:rPr>
      </w:pPr>
    </w:p>
    <w:p>
      <w:pPr>
        <w:jc w:val="both"/>
        <w:ind w:firstLine="237"/>
        <w:spacing w:after="0" w:line="250" w:lineRule="auto"/>
        <w:rPr>
          <w:sz w:val="20"/>
          <w:szCs w:val="20"/>
          <w:color w:val="auto"/>
        </w:rPr>
      </w:pPr>
      <w:r>
        <w:rPr>
          <w:rFonts w:ascii="Arial" w:cs="Arial" w:eastAsia="Arial" w:hAnsi="Arial"/>
          <w:sz w:val="18"/>
          <w:szCs w:val="18"/>
          <w:color w:val="auto"/>
        </w:rPr>
        <w:t>We expect our future growth to depend, in part, on the sale of products and service solutions in industries and markets we do not currently serve. We also expect to grow our business by delivering our solutions through additional sales and distribution channels. If we fail to penetrate these industries and markets to the degree we anticipate, or if we fail to develop additional sales and distribution channels, we may not be able to grow our business, growth may occur more slowly than we anticipate, or our revenues and profits may decline.</w:t>
      </w:r>
    </w:p>
    <w:p>
      <w:pPr>
        <w:spacing w:after="0" w:line="138"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We are subject to significant competition in the markets in which we operate, and our products and pricing strategies, and those of our competitors, could decrease our product sales and market share.</w:t>
      </w:r>
    </w:p>
    <w:p>
      <w:pPr>
        <w:spacing w:after="0" w:line="76" w:lineRule="exact"/>
        <w:rPr>
          <w:sz w:val="20"/>
          <w:szCs w:val="20"/>
          <w:color w:val="auto"/>
        </w:rPr>
      </w:pPr>
    </w:p>
    <w:p>
      <w:pPr>
        <w:jc w:val="both"/>
        <w:ind w:firstLine="237"/>
        <w:spacing w:after="0" w:line="291" w:lineRule="auto"/>
        <w:rPr>
          <w:sz w:val="20"/>
          <w:szCs w:val="20"/>
          <w:color w:val="auto"/>
        </w:rPr>
      </w:pPr>
      <w:r>
        <w:rPr>
          <w:rFonts w:ascii="Arial" w:cs="Arial" w:eastAsia="Arial" w:hAnsi="Arial"/>
          <w:sz w:val="16"/>
          <w:szCs w:val="16"/>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The market for our solutions is intensely competitive and is constantly changing, and we expect competition to persist and intensify. Our regional and global competitors vary in size and in the scope of the products and services they offer, and include:</w:t>
      </w:r>
    </w:p>
    <w:p>
      <w:pPr>
        <w:spacing w:after="0" w:line="55" w:lineRule="exact"/>
        <w:rPr>
          <w:sz w:val="20"/>
          <w:szCs w:val="20"/>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fraud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providers of credit reports and credit scores;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companies supplying predictive analytic modeling, rules, or analytic development tools;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entity resolution and social network analysis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providers of customer engagement and risk management solutions;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providers of account workflow management software;</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resource planning and customer relationship management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providers of automated application processing services;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237"/>
        <w:spacing w:after="0" w:line="287" w:lineRule="auto"/>
        <w:rPr>
          <w:sz w:val="20"/>
          <w:szCs w:val="20"/>
          <w:color w:val="auto"/>
        </w:rPr>
      </w:pPr>
      <w:r>
        <w:rPr>
          <w:rFonts w:ascii="Arial" w:cs="Arial" w:eastAsia="Arial" w:hAnsi="Arial"/>
          <w:sz w:val="16"/>
          <w:szCs w:val="16"/>
          <w:color w:val="auto"/>
        </w:rPr>
        <w:t>We expect to experience additional competition from other established and emerging companies. This could include customers of ours that develop their own scoring models or other products, and as a result no longer purchase or reduce their purchases from us. We also expect to experience competition from other technologies. For example, certain of our fraud solutions products compete against other methods of preventing payment card fraud, such as cardholder verification and authentication solutions; mobile device payments and associated biometric measures on devices including fingerprint and face matching; and other card authorization and user verification techniques.</w:t>
      </w:r>
    </w:p>
    <w:p>
      <w:pPr>
        <w:spacing w:after="0" w:line="111" w:lineRule="exact"/>
        <w:rPr>
          <w:sz w:val="20"/>
          <w:szCs w:val="20"/>
          <w:color w:val="auto"/>
        </w:rPr>
      </w:pPr>
    </w:p>
    <w:p>
      <w:pPr>
        <w:jc w:val="both"/>
        <w:ind w:firstLine="237"/>
        <w:spacing w:after="0" w:line="282" w:lineRule="auto"/>
        <w:rPr>
          <w:sz w:val="20"/>
          <w:szCs w:val="20"/>
          <w:color w:val="auto"/>
        </w:rPr>
      </w:pPr>
      <w:r>
        <w:rPr>
          <w:rFonts w:ascii="Arial" w:cs="Arial" w:eastAsia="Arial" w:hAnsi="Arial"/>
          <w:sz w:val="16"/>
          <w:szCs w:val="16"/>
          <w:color w:val="auto"/>
        </w:rPr>
        <w:t>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For example, Experian, TransUnion and Equifax have formed an alliance that is selling a credit scoring product competitive with our products. Furthermore, new competitors or alliances among competitors may emerge and rapidly gain significant market share. If we are unable to respond as quickly or effectively to changes in customer requirements as our competition, our ability to expand our business and sell our products will be negatively affected.</w:t>
      </w:r>
    </w:p>
    <w:p>
      <w:pPr>
        <w:spacing w:after="0" w:line="118" w:lineRule="exact"/>
        <w:rPr>
          <w:sz w:val="20"/>
          <w:szCs w:val="20"/>
          <w:color w:val="auto"/>
        </w:rPr>
      </w:pPr>
    </w:p>
    <w:p>
      <w:pPr>
        <w:jc w:val="both"/>
        <w:ind w:firstLine="237"/>
        <w:spacing w:after="0" w:line="291" w:lineRule="auto"/>
        <w:rPr>
          <w:sz w:val="20"/>
          <w:szCs w:val="20"/>
          <w:color w:val="auto"/>
        </w:rPr>
      </w:pPr>
      <w:r>
        <w:rPr>
          <w:rFonts w:ascii="Arial" w:cs="Arial" w:eastAsia="Arial" w:hAnsi="Arial"/>
          <w:sz w:val="16"/>
          <w:szCs w:val="16"/>
          <w:color w:val="auto"/>
        </w:rPr>
        <w:t>Our competitors may be able to sell existing or new products competitive to ours at lower prices individually or as part of integrated suites of several related products. This ability may cause our customers to purchase products that directly compete with our products from our competitors, which could decrease our product sales and market share. Price reductions by our competitors could pressure us to reduce our product prices in a manner that negatively impacts our margins and could also harm our ability to obtain new long-term contracts and renewals of existing long-term contracts on favorable terms.</w:t>
      </w:r>
    </w:p>
    <w:p>
      <w:pPr>
        <w:spacing w:after="0" w:line="108"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76" w:lineRule="exact"/>
        <w:rPr>
          <w:sz w:val="20"/>
          <w:szCs w:val="20"/>
          <w:color w:val="auto"/>
        </w:rPr>
      </w:pPr>
    </w:p>
    <w:p>
      <w:pPr>
        <w:jc w:val="both"/>
        <w:ind w:firstLine="237"/>
        <w:spacing w:after="0" w:line="281" w:lineRule="auto"/>
        <w:rPr>
          <w:sz w:val="20"/>
          <w:szCs w:val="20"/>
          <w:color w:val="auto"/>
        </w:rPr>
      </w:pPr>
      <w:r>
        <w:rPr>
          <w:rFonts w:ascii="Arial" w:cs="Arial" w:eastAsia="Arial" w:hAnsi="Arial"/>
          <w:sz w:val="16"/>
          <w:szCs w:val="16"/>
          <w:color w:val="auto"/>
        </w:rPr>
        <w:t>Many of our products are sold by distributors or partners, and we intend to continue to market and distribute our products through these existing distributor and partner relationships, as well as invest resources to develop additional sales, distribution and marketing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actively selling that product. Competition from distributors or other sales and marketing partners could significantly harm sales of our products and services.</w:t>
      </w:r>
    </w:p>
    <w:p>
      <w:pPr>
        <w:spacing w:after="0" w:line="119" w:lineRule="exact"/>
        <w:rPr>
          <w:sz w:val="20"/>
          <w:szCs w:val="20"/>
          <w:color w:val="auto"/>
        </w:rPr>
      </w:pPr>
    </w:p>
    <w:p>
      <w:pPr>
        <w:jc w:val="both"/>
        <w:ind w:firstLine="237"/>
        <w:spacing w:after="0" w:line="261" w:lineRule="auto"/>
        <w:rPr>
          <w:sz w:val="20"/>
          <w:szCs w:val="20"/>
          <w:color w:val="auto"/>
        </w:rPr>
      </w:pPr>
      <w:r>
        <w:rPr>
          <w:rFonts w:ascii="Arial" w:cs="Arial" w:eastAsia="Arial" w:hAnsi="Arial"/>
          <w:sz w:val="18"/>
          <w:szCs w:val="18"/>
          <w:b w:val="1"/>
          <w:bCs w:val="1"/>
          <w:i w:val="1"/>
          <w:iCs w:val="1"/>
          <w:color w:val="auto"/>
        </w:rPr>
        <w:t>Our revenues, results of operations and overall financial performance may be negatively impacted by health epidemics or other disease outbreaks, such as the COVID-19 pandemic.</w:t>
      </w:r>
    </w:p>
    <w:p>
      <w:pPr>
        <w:spacing w:after="0" w:line="129" w:lineRule="exact"/>
        <w:rPr>
          <w:sz w:val="20"/>
          <w:szCs w:val="20"/>
          <w:color w:val="auto"/>
        </w:rPr>
      </w:pPr>
    </w:p>
    <w:p>
      <w:pPr>
        <w:jc w:val="both"/>
        <w:ind w:firstLine="237"/>
        <w:spacing w:after="0" w:line="248" w:lineRule="auto"/>
        <w:rPr>
          <w:sz w:val="20"/>
          <w:szCs w:val="20"/>
          <w:color w:val="auto"/>
        </w:rPr>
      </w:pPr>
      <w:r>
        <w:rPr>
          <w:rFonts w:ascii="Arial" w:cs="Arial" w:eastAsia="Arial" w:hAnsi="Arial"/>
          <w:sz w:val="18"/>
          <w:szCs w:val="18"/>
          <w:color w:val="auto"/>
        </w:rPr>
        <w:t>Our customers, and therefore our business and revenues, are sensitive to negative changes in general economic conditions and lending activities. Health epidemics or disease outbreaks, such as the COVID-19 pandemic, could impact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w:t>
      </w:r>
    </w:p>
    <w:p>
      <w:pPr>
        <w:spacing w:after="0" w:line="214" w:lineRule="exact"/>
        <w:rPr>
          <w:sz w:val="20"/>
          <w:szCs w:val="20"/>
          <w:color w:val="auto"/>
        </w:rPr>
      </w:pPr>
    </w:p>
    <w:p>
      <w:pPr>
        <w:jc w:val="both"/>
        <w:ind w:firstLine="158"/>
        <w:spacing w:after="0" w:line="229" w:lineRule="auto"/>
        <w:rPr>
          <w:sz w:val="20"/>
          <w:szCs w:val="20"/>
          <w:color w:val="auto"/>
        </w:rPr>
      </w:pPr>
      <w:r>
        <w:rPr>
          <w:rFonts w:ascii="Arial" w:cs="Arial" w:eastAsia="Arial" w:hAnsi="Arial"/>
          <w:sz w:val="18"/>
          <w:szCs w:val="18"/>
          <w:b w:val="1"/>
          <w:bCs w:val="1"/>
          <w:i w:val="1"/>
          <w:iCs w:val="1"/>
          <w:color w:val="auto"/>
        </w:rPr>
        <w:t xml:space="preserve">If use of the </w:t>
      </w:r>
      <w:r>
        <w:rPr>
          <w:rFonts w:ascii="Arial" w:cs="Arial" w:eastAsia="Arial" w:hAnsi="Arial"/>
          <w:sz w:val="18"/>
          <w:szCs w:val="18"/>
          <w:b w:val="1"/>
          <w:bCs w:val="1"/>
          <w:color w:val="auto"/>
        </w:rPr>
        <w:t>FICO</w:t>
      </w:r>
      <w:r>
        <w:rPr>
          <w:rFonts w:ascii="Arial" w:cs="Arial" w:eastAsia="Arial" w:hAnsi="Arial"/>
          <w:sz w:val="22"/>
          <w:szCs w:val="22"/>
          <w:color w:val="auto"/>
          <w:vertAlign w:val="superscript"/>
        </w:rPr>
        <w:t>®</w:t>
      </w:r>
      <w:r>
        <w:rPr>
          <w:rFonts w:ascii="Arial" w:cs="Arial" w:eastAsia="Arial" w:hAnsi="Arial"/>
          <w:sz w:val="18"/>
          <w:szCs w:val="18"/>
          <w:b w:val="1"/>
          <w:bCs w:val="1"/>
          <w:i w:val="1"/>
          <w:iCs w:val="1"/>
          <w:color w:val="auto"/>
        </w:rPr>
        <w:t xml:space="preserve"> Score by Fannie Mae and Freddie Mac were to cease or decline, it could have a material adverse effect on our revenues, results of operations and stock price.</w:t>
      </w:r>
    </w:p>
    <w:p>
      <w:pPr>
        <w:spacing w:after="0" w:line="94" w:lineRule="exact"/>
        <w:rPr>
          <w:sz w:val="20"/>
          <w:szCs w:val="20"/>
          <w:color w:val="auto"/>
        </w:rPr>
      </w:pPr>
    </w:p>
    <w:p>
      <w:pPr>
        <w:jc w:val="both"/>
        <w:ind w:firstLine="237"/>
        <w:spacing w:after="0" w:line="284" w:lineRule="auto"/>
        <w:rPr>
          <w:sz w:val="20"/>
          <w:szCs w:val="20"/>
          <w:color w:val="auto"/>
        </w:rPr>
      </w:pPr>
      <w:r>
        <w:rPr>
          <w:rFonts w:ascii="Arial" w:cs="Arial" w:eastAsia="Arial" w:hAnsi="Arial"/>
          <w:sz w:val="16"/>
          <w:szCs w:val="16"/>
          <w:color w:val="auto"/>
        </w:rPr>
        <w:t>A significant portion of our revenues in our Scores segment is attributable to the U.S. mortgage market, which includes, for mortgages eligible for purchase by The Federal National Mortgage Association (“Fannie Mae”) and The Federal Home Loan Mortgage Corporation (“Freddie Mac”), a requirement by those enterprises that U.S. lenders provide FICO® Scores for each mortgage delivered to them. However, their continued use of the FICO Score is subject to ongoing validation and approval by those enterprises and the Federal Housing Finance Agency. If other credit score models are approved for use with mortgages delivered to Fannie Mae and Freddie Mac, or the FICO Score is not approved for continued use with those mortgages, it could have a material adverse effect on our revenues, results of operations and stock price.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237"/>
        <w:spacing w:after="0" w:line="280"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21" w:lineRule="exact"/>
        <w:rPr>
          <w:sz w:val="20"/>
          <w:szCs w:val="20"/>
          <w:color w:val="auto"/>
        </w:rPr>
      </w:pPr>
    </w:p>
    <w:p>
      <w:pPr>
        <w:jc w:val="both"/>
        <w:ind w:firstLine="237"/>
        <w:spacing w:after="0" w:line="248"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109" w:lineRule="exact"/>
        <w:rPr>
          <w:sz w:val="20"/>
          <w:szCs w:val="20"/>
          <w:color w:val="auto"/>
        </w:rPr>
      </w:pPr>
    </w:p>
    <w:p>
      <w:pPr>
        <w:jc w:val="both"/>
        <w:ind w:firstLine="237"/>
        <w:spacing w:after="0" w:line="327" w:lineRule="auto"/>
        <w:rPr>
          <w:sz w:val="20"/>
          <w:szCs w:val="20"/>
          <w:color w:val="auto"/>
        </w:rPr>
      </w:pPr>
      <w:r>
        <w:rPr>
          <w:rFonts w:ascii="Arial" w:cs="Arial" w:eastAsia="Arial" w:hAnsi="Arial"/>
          <w:sz w:val="15"/>
          <w:szCs w:val="15"/>
          <w:color w:val="auto"/>
        </w:rPr>
        <w:t>As part of our management approach, we pursue ongoing reengineering efforts designed to grow revenues through strategic resource allocation and improve profitability through cost reductions. Our reengineering efforts may not be successful over the long term should we fail to reduce expenses or increase revenues to anticipated levels or at all. If our reengineering efforts are not successful over the long term, our revenues, results of operations and business may suffer.</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There can be no assurance that strategic divestitures will provide business benefits.</w:t>
      </w:r>
    </w:p>
    <w:p>
      <w:pPr>
        <w:spacing w:after="0" w:line="109" w:lineRule="exact"/>
        <w:rPr>
          <w:sz w:val="20"/>
          <w:szCs w:val="20"/>
          <w:color w:val="auto"/>
        </w:rPr>
      </w:pPr>
    </w:p>
    <w:p>
      <w:pPr>
        <w:jc w:val="both"/>
        <w:ind w:firstLine="237"/>
        <w:spacing w:after="0" w:line="261" w:lineRule="auto"/>
        <w:rPr>
          <w:sz w:val="20"/>
          <w:szCs w:val="20"/>
          <w:color w:val="auto"/>
        </w:rPr>
      </w:pPr>
      <w:r>
        <w:rPr>
          <w:rFonts w:ascii="Arial" w:cs="Arial" w:eastAsia="Arial" w:hAnsi="Arial"/>
          <w:sz w:val="18"/>
          <w:szCs w:val="18"/>
          <w:color w:val="auto"/>
        </w:rPr>
        <w:t>As part of our strategy, we continuously evaluate our portfolio of businesses. As a result of these reviews, we have made decisions to divest certain products and lines of business, and we may do so again in the future. These divestitures involve risks, including:</w:t>
      </w:r>
    </w:p>
    <w:p>
      <w:pPr>
        <w:spacing w:after="0" w:line="76" w:lineRule="exact"/>
        <w:rPr>
          <w:sz w:val="20"/>
          <w:szCs w:val="20"/>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of our operations or businesses;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the separation of operations, services, products and personnel;</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effectively transfer liabilities, contracts, facilities and employees to a purchaser;</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divestiture terms that contain potential future purchase price adjustments or require that assets or liabilities be divested, managed or run off separately;</w:t>
      </w:r>
    </w:p>
    <w:p>
      <w:pPr>
        <w:spacing w:after="0" w:line="90" w:lineRule="exact"/>
        <w:rPr>
          <w:rFonts w:ascii="Arial" w:cs="Arial" w:eastAsia="Arial" w:hAnsi="Arial"/>
          <w:sz w:val="15"/>
          <w:szCs w:val="15"/>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effects on relationships with our customers, suppliers or their businesses;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erosion of employee morale or customer confidence;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retention of contingent liabilities and the possibility that we will become subject to third-party claims related to the divested business.</w:t>
      </w:r>
    </w:p>
    <w:p>
      <w:pPr>
        <w:spacing w:after="0" w:line="184" w:lineRule="exact"/>
        <w:rPr>
          <w:sz w:val="20"/>
          <w:szCs w:val="20"/>
          <w:color w:val="auto"/>
        </w:rPr>
      </w:pPr>
    </w:p>
    <w:p>
      <w:pPr>
        <w:ind w:firstLine="237"/>
        <w:spacing w:after="0" w:line="261" w:lineRule="auto"/>
        <w:rPr>
          <w:sz w:val="20"/>
          <w:szCs w:val="20"/>
          <w:color w:val="auto"/>
        </w:rPr>
      </w:pPr>
      <w:r>
        <w:rPr>
          <w:rFonts w:ascii="Arial" w:cs="Arial" w:eastAsia="Arial" w:hAnsi="Arial"/>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29" w:lineRule="exact"/>
        <w:rPr>
          <w:sz w:val="20"/>
          <w:szCs w:val="20"/>
          <w:color w:val="auto"/>
        </w:rPr>
      </w:pPr>
    </w:p>
    <w:p>
      <w:pPr>
        <w:ind w:firstLine="158"/>
        <w:spacing w:after="0" w:line="261" w:lineRule="auto"/>
        <w:rPr>
          <w:sz w:val="20"/>
          <w:szCs w:val="20"/>
          <w:color w:val="auto"/>
        </w:rPr>
      </w:pPr>
      <w:r>
        <w:rPr>
          <w:rFonts w:ascii="Arial" w:cs="Arial" w:eastAsia="Arial" w:hAnsi="Arial"/>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76" w:lineRule="exact"/>
        <w:rPr>
          <w:sz w:val="20"/>
          <w:szCs w:val="20"/>
          <w:color w:val="auto"/>
        </w:rPr>
      </w:pPr>
    </w:p>
    <w:p>
      <w:pPr>
        <w:ind w:firstLine="237"/>
        <w:spacing w:after="0" w:line="261" w:lineRule="auto"/>
        <w:rPr>
          <w:sz w:val="20"/>
          <w:szCs w:val="20"/>
          <w:color w:val="auto"/>
        </w:rPr>
      </w:pPr>
      <w:r>
        <w:rPr>
          <w:rFonts w:ascii="Arial" w:cs="Arial" w:eastAsia="Arial" w:hAnsi="Arial"/>
          <w:sz w:val="18"/>
          <w:szCs w:val="18"/>
          <w:color w:val="auto"/>
        </w:rPr>
        <w:t>We have acquired, and may in the future acquire, companies, businesses, products, services and technologies. Acquisitions involve significant risks and uncertainties, including:</w:t>
      </w:r>
    </w:p>
    <w:p>
      <w:pPr>
        <w:spacing w:after="0" w:line="76" w:lineRule="exact"/>
        <w:rPr>
          <w:sz w:val="20"/>
          <w:szCs w:val="20"/>
          <w:color w:val="auto"/>
        </w:rPr>
      </w:pPr>
    </w:p>
    <w:p>
      <w:pPr>
        <w:ind w:left="640" w:hanging="319"/>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ongoing business may be disrupted and our management’s attention may be diverted by acquisition, transition or integration activities;</w:t>
      </w:r>
    </w:p>
    <w:p>
      <w:pPr>
        <w:spacing w:after="0" w:line="79" w:lineRule="exact"/>
        <w:rPr>
          <w:rFonts w:ascii="Arial" w:cs="Arial" w:eastAsia="Arial" w:hAnsi="Arial"/>
          <w:sz w:val="16"/>
          <w:szCs w:val="16"/>
          <w:color w:val="auto"/>
        </w:rPr>
      </w:pPr>
    </w:p>
    <w:p>
      <w:pPr>
        <w:jc w:val="both"/>
        <w:ind w:left="640" w:hanging="319"/>
        <w:spacing w:after="0" w:line="252"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5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spacing w:after="0" w:line="23"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32"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incur material charges in connection with the impairment of goodwill or other assets that we acquire;</w:t>
      </w:r>
    </w:p>
    <w:p>
      <w:pPr>
        <w:spacing w:after="0" w:line="56" w:lineRule="exact"/>
        <w:rPr>
          <w:rFonts w:ascii="Arial" w:cs="Arial" w:eastAsia="Arial" w:hAnsi="Arial"/>
          <w:sz w:val="18"/>
          <w:szCs w:val="18"/>
          <w:color w:val="auto"/>
        </w:rPr>
      </w:pPr>
    </w:p>
    <w:p>
      <w:pPr>
        <w:ind w:left="640" w:hanging="319"/>
        <w:spacing w:after="0" w:line="308" w:lineRule="auto"/>
        <w:tabs>
          <w:tab w:leader="none" w:pos="6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company that we acquire may have experienced a security incident that it has yet to discover, investigate and remediate which we might not be identify in a timely manner and which could spread more broadly to other parts of our company during the integration effort;</w:t>
      </w:r>
    </w:p>
    <w:p>
      <w:pPr>
        <w:spacing w:after="0" w:line="1" w:lineRule="exact"/>
        <w:rPr>
          <w:rFonts w:ascii="Arial" w:cs="Arial" w:eastAsia="Arial" w:hAnsi="Arial"/>
          <w:sz w:val="16"/>
          <w:szCs w:val="16"/>
          <w:color w:val="auto"/>
        </w:rPr>
      </w:pPr>
    </w:p>
    <w:p>
      <w:pPr>
        <w:ind w:left="640" w:right="2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incur material charges as a result of acquisition costs, costs incurred in combining and/or operating the acquired business, or liabilities assumed in the acquisition that are greater than anticipated;</w:t>
      </w:r>
    </w:p>
    <w:p>
      <w:pPr>
        <w:spacing w:after="0" w:line="23" w:lineRule="exact"/>
        <w:rPr>
          <w:rFonts w:ascii="Arial" w:cs="Arial" w:eastAsia="Arial" w:hAnsi="Arial"/>
          <w:sz w:val="18"/>
          <w:szCs w:val="18"/>
          <w:color w:val="auto"/>
        </w:rPr>
      </w:pPr>
    </w:p>
    <w:p>
      <w:pPr>
        <w:jc w:val="both"/>
        <w:ind w:left="640" w:hanging="319"/>
        <w:spacing w:after="0" w:line="250"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3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and retirement of outstanding indebtedness; and</w:t>
      </w:r>
    </w:p>
    <w:p>
      <w:pPr>
        <w:spacing w:after="0" w:line="23"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w:t>
      </w:r>
    </w:p>
    <w:p>
      <w:pPr>
        <w:spacing w:after="0" w:line="129" w:lineRule="exact"/>
        <w:rPr>
          <w:sz w:val="20"/>
          <w:szCs w:val="20"/>
          <w:color w:val="auto"/>
        </w:rPr>
      </w:pPr>
    </w:p>
    <w:p>
      <w:pPr>
        <w:jc w:val="both"/>
        <w:ind w:firstLine="237"/>
        <w:spacing w:after="0" w:line="252" w:lineRule="auto"/>
        <w:rPr>
          <w:sz w:val="20"/>
          <w:szCs w:val="20"/>
          <w:color w:val="auto"/>
        </w:rPr>
      </w:pPr>
      <w:r>
        <w:rPr>
          <w:rFonts w:ascii="Arial" w:cs="Arial" w:eastAsia="Arial" w:hAnsi="Arial"/>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15" w:lineRule="exact"/>
        <w:rPr>
          <w:sz w:val="20"/>
          <w:szCs w:val="20"/>
          <w:color w:val="auto"/>
        </w:rPr>
      </w:pPr>
    </w:p>
    <w:p>
      <w:pPr>
        <w:jc w:val="both"/>
        <w:ind w:firstLine="237"/>
        <w:spacing w:after="0" w:line="252"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85" w:lineRule="exact"/>
        <w:rPr>
          <w:sz w:val="20"/>
          <w:szCs w:val="20"/>
          <w:color w:val="auto"/>
        </w:rPr>
      </w:pPr>
    </w:p>
    <w:p>
      <w:pPr>
        <w:jc w:val="both"/>
        <w:ind w:firstLine="237"/>
        <w:spacing w:after="0" w:line="278" w:lineRule="auto"/>
        <w:rPr>
          <w:sz w:val="20"/>
          <w:szCs w:val="20"/>
          <w:color w:val="auto"/>
        </w:rPr>
      </w:pPr>
      <w:r>
        <w:rPr>
          <w:rFonts w:ascii="Arial" w:cs="Arial" w:eastAsia="Arial" w:hAnsi="Arial"/>
          <w:sz w:val="16"/>
          <w:szCs w:val="16"/>
          <w:color w:val="auto"/>
        </w:rPr>
        <w:t>Because our business requires the storage, transmission and utilization of sensitive consumer and customer information, we will continue to routinely be the target of attempted cybersecurity and other security threats by technically sophisticated and well-resourced outside third parties, among others, attempting to access or steal the data we store. Many of our products are provided by us through the Internet. We may be exposed to additional cybersecurity threats as we migrate our software solutions and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These threats include phishing attacks on our email systems and other cyber-attacks, including state-sponsored cyber-attacks, industrial espionage, insider threats, denial-of-service attacks, computer viruses, ransomware and other malware, payment fraud or other cyber incidents. As a software and technology vendor, we may incorporate or distribute software or other materials from third parties. Attacks or other threats to our supply chain for such software and materials may render us unable to provide assurances of the origin of such software and materials, and could put us at risk of distributing software or other materials that may cause harm to ourselves, our customers or other third parties. In addition, increased attention on and use of artificial intelligence increases the risk of cyber-attacks and data breaches, which can occur more quickly and evolve more rapidly when artificial intelligence is used. Further, use of artificial intelligence by our employees, whether authorized or unauthorized, increases the risk that our intellectual property and other proprietary information will be unintentionally disclosed.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237"/>
        <w:spacing w:after="0" w:line="280" w:lineRule="auto"/>
        <w:rPr>
          <w:sz w:val="20"/>
          <w:szCs w:val="20"/>
          <w:color w:val="auto"/>
        </w:rPr>
      </w:pPr>
      <w:r>
        <w:rPr>
          <w:rFonts w:ascii="Arial" w:cs="Arial" w:eastAsia="Arial" w:hAnsi="Arial"/>
          <w:sz w:val="16"/>
          <w:szCs w:val="16"/>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121" w:lineRule="exact"/>
        <w:rPr>
          <w:sz w:val="20"/>
          <w:szCs w:val="20"/>
          <w:color w:val="auto"/>
        </w:rPr>
      </w:pPr>
    </w:p>
    <w:p>
      <w:pPr>
        <w:jc w:val="both"/>
        <w:ind w:firstLine="237"/>
        <w:spacing w:after="0" w:line="280" w:lineRule="auto"/>
        <w:rPr>
          <w:sz w:val="20"/>
          <w:szCs w:val="20"/>
          <w:color w:val="auto"/>
        </w:rPr>
      </w:pPr>
      <w:r>
        <w:rPr>
          <w:rFonts w:ascii="Arial" w:cs="Arial" w:eastAsia="Arial" w:hAnsi="Arial"/>
          <w:sz w:val="16"/>
          <w:szCs w:val="16"/>
          <w:color w:val="auto"/>
        </w:rPr>
        <w:t>Malicious third parties may also conduct attacks designed to temporarily deny customers, distributors and vendors access to our systems and services. Cybersecurity breaches experienced by our vendors, by our distributors, by our customers, by companies that we acquire, or by us may trigger governmental notice requirements and public disclosures, which may lead to widespread negative publicity. We may also be affected by cybersecurity breaches experienced by customers who use our products on-premises, and those breaches may occur due to factors not under our control, including a customer’s failure to timely install updates and fixes to our products, vulnerabilities in a customer’s own cybersecurity measures, and other factors. Any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w:t>
      </w:r>
    </w:p>
    <w:p>
      <w:pPr>
        <w:spacing w:after="0" w:line="200" w:lineRule="exact"/>
        <w:rPr>
          <w:sz w:val="20"/>
          <w:szCs w:val="20"/>
          <w:color w:val="auto"/>
        </w:rPr>
      </w:pPr>
    </w:p>
    <w:p>
      <w:pPr>
        <w:jc w:val="both"/>
        <w:ind w:firstLine="237"/>
        <w:spacing w:after="0" w:line="261" w:lineRule="auto"/>
        <w:rPr>
          <w:sz w:val="20"/>
          <w:szCs w:val="20"/>
          <w:color w:val="auto"/>
        </w:rPr>
      </w:pPr>
      <w:r>
        <w:rPr>
          <w:rFonts w:ascii="Arial" w:cs="Arial" w:eastAsia="Arial" w:hAnsi="Arial"/>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76" w:lineRule="exact"/>
        <w:rPr>
          <w:sz w:val="20"/>
          <w:szCs w:val="20"/>
          <w:color w:val="auto"/>
        </w:rPr>
      </w:pPr>
    </w:p>
    <w:p>
      <w:pPr>
        <w:jc w:val="both"/>
        <w:ind w:firstLine="237"/>
        <w:spacing w:after="0" w:line="280" w:lineRule="auto"/>
        <w:rPr>
          <w:sz w:val="20"/>
          <w:szCs w:val="20"/>
          <w:color w:val="auto"/>
        </w:rPr>
      </w:pPr>
      <w:r>
        <w:rPr>
          <w:rFonts w:ascii="Arial" w:cs="Arial" w:eastAsia="Arial" w:hAnsi="Arial"/>
          <w:sz w:val="16"/>
          <w:szCs w:val="16"/>
          <w:color w:val="auto"/>
        </w:rPr>
        <w:t>Our ability to provide reliable products and services to our customers depends on the efficient and uninterrupted operation of our data centers, information technology and communication systems, and increasingly those of our external service providers. Any disruption of or interference with our use of data centers, information technology or communication systems of our external service providers would adversely affect our operations and our business. As we continue to grow our Software segment’s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fires, floods, earthquakes, pandemics, war, terrorist acts or civil unrest, power losses, equipment failures, supply chain disruptions, computer viruses, denial-of-service or other cybersecurity attacks, employee or insider malfeasance, human error and other events beyond our control. Any steps that we or our external service providers have taken to prevent or reduce disruption may not be sufficient to prevent an interruption of services and disaster recovery planning may not account for all eventualities.</w:t>
      </w:r>
    </w:p>
    <w:p>
      <w:pPr>
        <w:spacing w:after="0" w:line="121" w:lineRule="exact"/>
        <w:rPr>
          <w:sz w:val="20"/>
          <w:szCs w:val="20"/>
          <w:color w:val="auto"/>
        </w:rPr>
      </w:pPr>
    </w:p>
    <w:p>
      <w:pPr>
        <w:jc w:val="both"/>
        <w:ind w:firstLine="237"/>
        <w:spacing w:after="0" w:line="316" w:lineRule="auto"/>
        <w:rPr>
          <w:sz w:val="20"/>
          <w:szCs w:val="20"/>
          <w:color w:val="auto"/>
        </w:rPr>
      </w:pPr>
      <w:r>
        <w:rPr>
          <w:rFonts w:ascii="Arial" w:cs="Arial" w:eastAsia="Arial" w:hAnsi="Arial"/>
          <w:sz w:val="15"/>
          <w:szCs w:val="15"/>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failure to recruit and retain qualified personnel could hinder our ability to successfully manage our business.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237"/>
        <w:spacing w:after="0" w:line="298" w:lineRule="auto"/>
        <w:rPr>
          <w:sz w:val="20"/>
          <w:szCs w:val="20"/>
          <w:color w:val="auto"/>
        </w:rPr>
      </w:pPr>
      <w:r>
        <w:rPr>
          <w:rFonts w:ascii="Arial" w:cs="Arial" w:eastAsia="Arial" w:hAnsi="Arial"/>
          <w:sz w:val="15"/>
          <w:szCs w:val="15"/>
          <w:color w:val="auto"/>
        </w:rPr>
        <w:t>Our business strategy and our future success will depend in large part on our ability to attract and retain experienced sales, consulting, research and development, marketing, technical support and management personnel. The labor market for these individuals, particularly in the complex technical disciplines of software engineering, data science, and cyber security, is very competitive due to the limited number of people available with the necessary technical skills and understanding to support our complex products and it may become more competitive with general market and economic improvement. We cannot be certain that our compensation strategies will be perceived as competitive by current or prospective employees. This and other competitive factors could impair our ability to recruit and retain personnel. We have experienced past difficulty in recruiting and retaining qualified personnel, especially in these intensely competitive technical skill areas, and we may experience future difficulty in recruiting and retaining such personnel, at a time when we may need additional staff to support expanded research and development efforts,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forms of compensation for this purpose.</w:t>
      </w:r>
    </w:p>
    <w:p>
      <w:pPr>
        <w:spacing w:after="0" w:line="111" w:lineRule="exact"/>
        <w:rPr>
          <w:sz w:val="20"/>
          <w:szCs w:val="20"/>
          <w:color w:val="auto"/>
        </w:rPr>
      </w:pPr>
    </w:p>
    <w:p>
      <w:pPr>
        <w:jc w:val="both"/>
        <w:ind w:firstLine="237"/>
        <w:spacing w:after="0" w:line="250" w:lineRule="auto"/>
        <w:rPr>
          <w:sz w:val="20"/>
          <w:szCs w:val="20"/>
          <w:color w:val="auto"/>
        </w:rPr>
      </w:pPr>
      <w:r>
        <w:rPr>
          <w:rFonts w:ascii="Arial" w:cs="Arial" w:eastAsia="Arial" w:hAnsi="Arial"/>
          <w:sz w:val="18"/>
          <w:szCs w:val="18"/>
          <w:color w:val="auto"/>
        </w:rPr>
        <w:t>The working arrangements for our employees differ from the arrangements before the pandemic. For example, we have implemented a Remote Work Policy and a Hybrid Work Location Policy, which are applicable depending on the location and position of the employee. Should productivity decline or our employees’ ability to collaborate fall as a result of our Remote Work Policy, or if employees are unsatisfied with our Hybrid Work Location Policy and leave our company, our business could suffer.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109" w:lineRule="exact"/>
        <w:rPr>
          <w:sz w:val="20"/>
          <w:szCs w:val="20"/>
          <w:color w:val="auto"/>
        </w:rPr>
      </w:pPr>
    </w:p>
    <w:p>
      <w:pPr>
        <w:jc w:val="both"/>
        <w:ind w:firstLine="237"/>
        <w:spacing w:after="0" w:line="278" w:lineRule="auto"/>
        <w:rPr>
          <w:sz w:val="20"/>
          <w:szCs w:val="20"/>
          <w:color w:val="auto"/>
        </w:rPr>
      </w:pPr>
      <w:r>
        <w:rPr>
          <w:rFonts w:ascii="Arial" w:cs="Arial" w:eastAsia="Arial" w:hAnsi="Arial"/>
          <w:sz w:val="16"/>
          <w:szCs w:val="16"/>
          <w:color w:val="auto"/>
        </w:rPr>
        <w:t>Our business requires that we develop or obtain a reliable source of sufficient amounts of current and statistically relevant data to analyze transactions and update some of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business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competitive concerns, regulatory concerns, or prohibitions or a lack of permission from their customers or partners, we could lose access to required data and our products. If this were to happen, our development of new products might become less effective. We could also become subject to increased legislative, regulatory or judicial restrictions or mandates on the collection, disclosure, transfer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102" w:lineRule="exact"/>
        <w:rPr>
          <w:sz w:val="20"/>
          <w:szCs w:val="20"/>
          <w:color w:val="auto"/>
        </w:rPr>
      </w:pPr>
    </w:p>
    <w:p>
      <w:pPr>
        <w:jc w:val="both"/>
        <w:ind w:firstLine="158"/>
        <w:spacing w:after="0" w:line="316"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and/or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39" w:lineRule="exact"/>
        <w:rPr>
          <w:sz w:val="20"/>
          <w:szCs w:val="20"/>
          <w:color w:val="auto"/>
        </w:rPr>
      </w:pPr>
    </w:p>
    <w:p>
      <w:pPr>
        <w:jc w:val="both"/>
        <w:ind w:firstLine="237"/>
        <w:spacing w:after="0" w:line="291" w:lineRule="auto"/>
        <w:rPr>
          <w:sz w:val="20"/>
          <w:szCs w:val="20"/>
          <w:color w:val="auto"/>
        </w:rPr>
      </w:pPr>
      <w:r>
        <w:rPr>
          <w:rFonts w:ascii="Arial" w:cs="Arial" w:eastAsia="Arial" w:hAnsi="Arial"/>
          <w:sz w:val="16"/>
          <w:szCs w:val="16"/>
          <w:color w:val="auto"/>
        </w:rPr>
        <w:t>Laws and governmental regulation affect how our business is conducted and, in some cases, subject us to the possibility of government supervision and future lawsuits arising from our products and services. Laws and governmental regulations also influence our current and prospective customers’ activities, as well as their expectations and needs in relation to our products and services. Laws and regulations that may affect our business and/or our current and prospective customers’ activities include, but are not limited to, those in the following significant regulatory areas:</w:t>
      </w:r>
    </w:p>
    <w:p>
      <w:pPr>
        <w:spacing w:after="0" w:line="55" w:lineRule="exact"/>
        <w:rPr>
          <w:sz w:val="20"/>
          <w:szCs w:val="20"/>
          <w:color w:val="auto"/>
        </w:rPr>
      </w:pPr>
    </w:p>
    <w:p>
      <w:pPr>
        <w:jc w:val="both"/>
        <w:ind w:left="640" w:hanging="319"/>
        <w:spacing w:after="0" w:line="291" w:lineRule="auto"/>
        <w:tabs>
          <w:tab w:leader="none" w:pos="6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Privacy and security laws and regulations that limit the use and disclosure, require security procedures, or otherwise apply to the collection, processing, storage, use and transfer of personal data of individuals (e.g., the U.S. Financial Services Modernization Act of 1999, also known as the Gramm Leach Bliley Act; identity theft, file freezing, security breach notification and similar state privacy laws; and the data protection laws of other countries such as the General Data Protection Regulation (the “GDPR”) in the European Union (“E.U.”) and the United Kingdom (“U.K.”));</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both"/>
        <w:ind w:left="640" w:hanging="319"/>
        <w:spacing w:after="0" w:line="29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Laws and regulations relating to the privacy, security and transmission of protected health information of individuals, including the Health Insurance Portability and Accountability Act of 1996, as amended by the American Recovery and Reinvestment Act of 2009 (“HIPAA”) and the Health Information Technology for Economic and Clinical Health Act (“HITECH”) and their respective implementing regulations;</w:t>
      </w:r>
    </w:p>
    <w:p>
      <w:pPr>
        <w:spacing w:after="0" w:line="1" w:lineRule="exact"/>
        <w:rPr>
          <w:rFonts w:ascii="Arial" w:cs="Arial" w:eastAsia="Arial" w:hAnsi="Arial"/>
          <w:sz w:val="16"/>
          <w:szCs w:val="16"/>
          <w:color w:val="auto"/>
        </w:rPr>
      </w:pPr>
    </w:p>
    <w:p>
      <w:pPr>
        <w:jc w:val="both"/>
        <w:ind w:left="640" w:hanging="319"/>
        <w:spacing w:after="0" w:line="29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of 2010 and the many regulations mandated by that Act, including regulations issued by, and the supervisory and investigative authority of, the Consumer Financial Protection Bureau (“CFPB”) with respect to enumerated federal consumer financial laws and unfair, deceptive, or abusive acts or practices (“UDAAP”);</w:t>
      </w:r>
    </w:p>
    <w:p>
      <w:pPr>
        <w:spacing w:after="0" w:line="1" w:lineRule="exact"/>
        <w:rPr>
          <w:rFonts w:ascii="Arial" w:cs="Arial" w:eastAsia="Arial" w:hAnsi="Arial"/>
          <w:sz w:val="16"/>
          <w:szCs w:val="16"/>
          <w:color w:val="auto"/>
        </w:rPr>
      </w:pPr>
    </w:p>
    <w:p>
      <w:pPr>
        <w:jc w:val="both"/>
        <w:ind w:left="640" w:hanging="319"/>
        <w:spacing w:after="0" w:line="29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application or extension of consumer protection laws, including implementing regulations (e.g., the Consumer Financial Protection Act, the Federal Trade Commission Act, the Truth In Lending Act and Regulation Z, the Fair Debt Collection Practices Act and Regulation F, the Servicemembers Civil Relief Act, the Military Lending Act, and the Credit Repair Organizations Act, and similar state consumer protection laws);</w:t>
      </w:r>
    </w:p>
    <w:p>
      <w:pPr>
        <w:spacing w:after="0" w:line="1" w:lineRule="exact"/>
        <w:rPr>
          <w:rFonts w:ascii="Arial" w:cs="Arial" w:eastAsia="Arial" w:hAnsi="Arial"/>
          <w:sz w:val="16"/>
          <w:szCs w:val="16"/>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 and similar state laws);</w:t>
      </w:r>
    </w:p>
    <w:p>
      <w:pPr>
        <w:spacing w:after="0" w:line="56" w:lineRule="exact"/>
        <w:rPr>
          <w:rFonts w:ascii="Arial" w:cs="Arial" w:eastAsia="Arial" w:hAnsi="Arial"/>
          <w:sz w:val="18"/>
          <w:szCs w:val="18"/>
          <w:color w:val="auto"/>
        </w:rPr>
      </w:pPr>
    </w:p>
    <w:p>
      <w:pPr>
        <w:ind w:left="640" w:hanging="319"/>
        <w:spacing w:after="0" w:line="308"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Special requirements that may apply when we provide products or services directly or indirectly to U.S. federal, state and local government agencies (e.g., the Privacy Act of 1974, the Internal Revenue Service’s Publication 4812, and the Federal Acquisition Regulation);</w:t>
      </w:r>
    </w:p>
    <w:p>
      <w:pPr>
        <w:spacing w:after="0" w:line="1"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spacing w:after="0" w:line="23" w:lineRule="exact"/>
        <w:rPr>
          <w:rFonts w:ascii="Arial" w:cs="Arial" w:eastAsia="Arial" w:hAnsi="Arial"/>
          <w:sz w:val="18"/>
          <w:szCs w:val="18"/>
          <w:color w:val="auto"/>
        </w:rPr>
      </w:pPr>
    </w:p>
    <w:p>
      <w:pPr>
        <w:ind w:left="640" w:hanging="319"/>
        <w:spacing w:after="0" w:line="250"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 and laws and regulations that may impose requirements relating to algorithmic fairness or accountability;</w:t>
      </w:r>
    </w:p>
    <w:p>
      <w:pPr>
        <w:spacing w:after="0" w:line="1" w:lineRule="exact"/>
        <w:rPr>
          <w:rFonts w:ascii="Arial" w:cs="Arial" w:eastAsia="Arial" w:hAnsi="Arial"/>
          <w:sz w:val="18"/>
          <w:szCs w:val="18"/>
          <w:color w:val="auto"/>
        </w:rPr>
      </w:pPr>
    </w:p>
    <w:p>
      <w:pPr>
        <w:jc w:val="both"/>
        <w:ind w:left="640" w:hanging="319"/>
        <w:spacing w:after="0" w:line="245"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Cybersecurity Act of 2015; the U.S. Department of Commerce’s National Institute of Standards and Technology’s Cybersecurity Framework; the Clarifying Lawful Overseas Use of Data Act; cyber incident notice requirements for banks and their service providers under rules and regulations issued by federal banking regulators; cybersecurity incident disclosure requirements for public companies under regulations issued by the SEC; and identity theft, file freezing, and similar state privacy laws;</w:t>
      </w:r>
    </w:p>
    <w:p>
      <w:pPr>
        <w:spacing w:after="0" w:line="37" w:lineRule="exact"/>
        <w:rPr>
          <w:rFonts w:ascii="Arial" w:cs="Arial" w:eastAsia="Arial" w:hAnsi="Arial"/>
          <w:sz w:val="18"/>
          <w:szCs w:val="18"/>
          <w:color w:val="auto"/>
        </w:rPr>
      </w:pPr>
    </w:p>
    <w:p>
      <w:pPr>
        <w:ind w:left="640" w:hanging="319"/>
        <w:spacing w:after="0" w:line="216" w:lineRule="exact"/>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related to 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spacing w:after="0" w:line="42" w:lineRule="exact"/>
        <w:rPr>
          <w:rFonts w:ascii="Arial" w:cs="Arial" w:eastAsia="Arial" w:hAnsi="Arial"/>
          <w:sz w:val="18"/>
          <w:szCs w:val="18"/>
          <w:color w:val="auto"/>
        </w:rPr>
      </w:pPr>
    </w:p>
    <w:p>
      <w:pPr>
        <w:jc w:val="both"/>
        <w:ind w:left="640" w:hanging="319"/>
        <w:spacing w:after="0" w:line="287"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 including the ongoing validation and approval of the use of the FICO Score by Fannie Mae, Freddie Mac, and the Federal Housing Finance Agency;</w:t>
      </w:r>
    </w:p>
    <w:p>
      <w:pPr>
        <w:spacing w:after="0" w:line="5" w:lineRule="exact"/>
        <w:rPr>
          <w:rFonts w:ascii="Arial" w:cs="Arial" w:eastAsia="Arial" w:hAnsi="Arial"/>
          <w:sz w:val="16"/>
          <w:szCs w:val="16"/>
          <w:color w:val="auto"/>
        </w:rPr>
      </w:pPr>
    </w:p>
    <w:p>
      <w:pPr>
        <w:jc w:val="both"/>
        <w:ind w:left="640" w:hanging="319"/>
        <w:spacing w:after="0" w:line="252"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Telephone Consumer Protection Act, the CAN-SPAM Act, the Fair Debt Collection Practices Act, and regulations promulgated thereunder, and similar state laws and similar laws in other countries);</w:t>
      </w:r>
    </w:p>
    <w:p>
      <w:pPr>
        <w:spacing w:after="0" w:line="3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43" w:lineRule="exact"/>
        <w:rPr>
          <w:rFonts w:ascii="Arial" w:cs="Arial" w:eastAsia="Arial" w:hAnsi="Arial"/>
          <w:sz w:val="18"/>
          <w:szCs w:val="18"/>
          <w:color w:val="auto"/>
        </w:rPr>
      </w:pPr>
    </w:p>
    <w:p>
      <w:pPr>
        <w:ind w:left="640" w:hanging="319"/>
        <w:spacing w:after="0" w:line="300" w:lineRule="auto"/>
        <w:tabs>
          <w:tab w:leader="none" w:pos="6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Laws and regulations restricting transactions with sanctioned parties and regarding export controls as they apply to FICO products delivered in non-U.S. countries or to foreign nationals (e.g., Office of Foreign Asset Control sanctions and Export Administration Regulations);</w:t>
      </w: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5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 and</w:t>
      </w:r>
    </w:p>
    <w:p>
      <w:pPr>
        <w:spacing w:after="0" w:line="23"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regulations that apply to outsourcing of services by our clients, and that set forth requirements for managing third parties (e.g., vendors, contractors, suppliers and distributors).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237"/>
        <w:spacing w:after="0" w:line="280" w:lineRule="auto"/>
        <w:rPr>
          <w:sz w:val="20"/>
          <w:szCs w:val="20"/>
          <w:color w:val="auto"/>
        </w:rPr>
      </w:pPr>
      <w:r>
        <w:rPr>
          <w:rFonts w:ascii="Arial" w:cs="Arial" w:eastAsia="Arial" w:hAnsi="Arial"/>
          <w:sz w:val="16"/>
          <w:szCs w:val="16"/>
          <w:color w:val="auto"/>
        </w:rPr>
        <w:t>Many U.S. and foreign jurisdictions have passed, or are currently contemplating, a variety of consumer protection, data privacy, and cyber and data security laws and regulations that may relate to our business or the business of our customers or affect the demand for our products and services. For example, the GDPR in the E.U. and the U.K. imposes strict obligations and restrictions on the collection and use of E.U. and U.K. personal data, and also on the transfer of such data to countries that have not been determined by the E.U. or the U.K. to provide adequate data privacy protections, unless there are additional approved transfer safeguards in place (such as the use of “standard contractual clauses” and the performance of appropriate data transfer impact assessments). Our implementation of processes to meet such requirements for affected data flows may involve additional compliance costs associated with maintaining appropriate regulatory certifications, performing any necessary assessments, engaging in contract negotiations with third parties and implementing approved standard contractual clauses, and/or (if appropriate) localizing certain data processing activities. Furthermore, such data transfer restrictions, which may involve interpretive issues, may have an adverse impact on cross-border transfers of personal data and may subject us and our customers to additional scrutiny from E.U. or U.K. data protection authorities.</w:t>
      </w:r>
    </w:p>
    <w:p>
      <w:pPr>
        <w:spacing w:after="0" w:line="117" w:lineRule="exact"/>
        <w:rPr>
          <w:sz w:val="20"/>
          <w:szCs w:val="20"/>
          <w:color w:val="auto"/>
        </w:rPr>
      </w:pPr>
    </w:p>
    <w:p>
      <w:pPr>
        <w:jc w:val="both"/>
        <w:ind w:firstLine="237"/>
        <w:spacing w:after="0" w:line="261" w:lineRule="auto"/>
        <w:rPr>
          <w:sz w:val="20"/>
          <w:szCs w:val="20"/>
          <w:color w:val="auto"/>
        </w:rPr>
      </w:pPr>
      <w:r>
        <w:rPr>
          <w:rFonts w:ascii="Arial" w:cs="Arial" w:eastAsia="Arial" w:hAnsi="Arial"/>
          <w:sz w:val="18"/>
          <w:szCs w:val="18"/>
          <w:color w:val="auto"/>
        </w:rPr>
        <w:t>Brazil, India, South Africa, Japan, China, Israel, Canada, and numerous other countries have introduced and, in some cases, enacted, similar data privacy and cyber and data security laws.</w:t>
      </w:r>
    </w:p>
    <w:p>
      <w:pPr>
        <w:spacing w:after="0" w:line="129" w:lineRule="exact"/>
        <w:rPr>
          <w:sz w:val="20"/>
          <w:szCs w:val="20"/>
          <w:color w:val="auto"/>
        </w:rPr>
      </w:pPr>
    </w:p>
    <w:p>
      <w:pPr>
        <w:jc w:val="both"/>
        <w:ind w:firstLine="237"/>
        <w:spacing w:after="0" w:line="282" w:lineRule="auto"/>
        <w:rPr>
          <w:sz w:val="20"/>
          <w:szCs w:val="20"/>
          <w:color w:val="auto"/>
        </w:rPr>
      </w:pPr>
      <w:r>
        <w:rPr>
          <w:rFonts w:ascii="Arial" w:cs="Arial" w:eastAsia="Arial" w:hAnsi="Arial"/>
          <w:sz w:val="16"/>
          <w:szCs w:val="16"/>
          <w:color w:val="auto"/>
        </w:rPr>
        <w:t>The California Consumer Privacy Act of 2018 (“CCPA”) gives California residents certain privacy rights in the collection and disclosure of their personal information and requires businesses to make certain disclosures and take certain other acts in furtherance of those rights. Additionally, effective January 1, 2023, the California Privacy Rights Act (the “CPRA”) revised and significantly expanded the scope of the CCPA. The CPRA also created a new agency, the California Privacy Protection Agency, authorized to implement and enforce the CCPA and the CPRA, which could result in increased privacy and information security regulatory actions. Other U.S. states have considered and/or enacted similar privacy laws. For example, Virginia, Utah, Connecticut, and Colorado have passed consumer privacy laws with effective dates in 2023, and Indiana, Iowa, Montana, Oregon, Tennessee, and Texas have passed consumer privacy laws that will become effective in 2024, 2025, or 2026.</w:t>
      </w:r>
    </w:p>
    <w:p>
      <w:pPr>
        <w:spacing w:after="0" w:line="118" w:lineRule="exact"/>
        <w:rPr>
          <w:sz w:val="20"/>
          <w:szCs w:val="20"/>
          <w:color w:val="auto"/>
        </w:rPr>
      </w:pPr>
    </w:p>
    <w:p>
      <w:pPr>
        <w:jc w:val="both"/>
        <w:ind w:firstLine="237"/>
        <w:spacing w:after="0" w:line="291" w:lineRule="auto"/>
        <w:rPr>
          <w:sz w:val="20"/>
          <w:szCs w:val="20"/>
          <w:color w:val="auto"/>
        </w:rPr>
      </w:pPr>
      <w:r>
        <w:rPr>
          <w:rFonts w:ascii="Arial" w:cs="Arial" w:eastAsia="Arial" w:hAnsi="Arial"/>
          <w:sz w:val="16"/>
          <w:szCs w:val="16"/>
          <w:color w:val="auto"/>
        </w:rPr>
        <w:t>In addition, there has been an increased focus on laws and regulations related to our business and the business of our customers, including by the current U.S. presidential administration, the U.S. Congress, and U.S. regulators, including the CFPB, relating to policy concerns with regard to the operation of consumer reporting agencies, the use and accuracy of credit and alternative data, the use of credit scores and fair lending, and the use, transparency, and fairness of algorithms, artificial intelligence, and machine learning in business processes.</w:t>
      </w:r>
    </w:p>
    <w:p>
      <w:pPr>
        <w:spacing w:after="0" w:line="108" w:lineRule="exact"/>
        <w:rPr>
          <w:sz w:val="20"/>
          <w:szCs w:val="20"/>
          <w:color w:val="auto"/>
        </w:rPr>
      </w:pPr>
    </w:p>
    <w:p>
      <w:pPr>
        <w:jc w:val="both"/>
        <w:ind w:firstLine="237"/>
        <w:spacing w:after="0" w:line="299" w:lineRule="auto"/>
        <w:rPr>
          <w:sz w:val="20"/>
          <w:szCs w:val="20"/>
          <w:color w:val="auto"/>
        </w:rPr>
      </w:pPr>
      <w:r>
        <w:rPr>
          <w:rFonts w:ascii="Arial" w:cs="Arial" w:eastAsia="Arial" w:hAnsi="Arial"/>
          <w:sz w:val="16"/>
          <w:szCs w:val="16"/>
          <w:color w:val="auto"/>
        </w:rPr>
        <w:t>The European Commission has also released draft proposed regulations (i.e., the EU AI Act) that would establish requirements for the provision and use of products that leverage artificial intelligence, machine learning, and similar analytic and statistical modeling technologies, including credit scoring. The final version of EU AI Act is expected to be published by the end of 2023 and is expected to become effective in 2026.</w:t>
      </w:r>
    </w:p>
    <w:p>
      <w:pPr>
        <w:spacing w:after="0" w:line="102" w:lineRule="exact"/>
        <w:rPr>
          <w:sz w:val="20"/>
          <w:szCs w:val="20"/>
          <w:color w:val="auto"/>
        </w:rPr>
      </w:pPr>
    </w:p>
    <w:p>
      <w:pPr>
        <w:jc w:val="both"/>
        <w:ind w:firstLine="237"/>
        <w:spacing w:after="0" w:line="284" w:lineRule="auto"/>
        <w:rPr>
          <w:sz w:val="20"/>
          <w:szCs w:val="20"/>
          <w:color w:val="auto"/>
        </w:rPr>
      </w:pPr>
      <w:r>
        <w:rPr>
          <w:rFonts w:ascii="Arial" w:cs="Arial" w:eastAsia="Arial" w:hAnsi="Arial"/>
          <w:sz w:val="16"/>
          <w:szCs w:val="16"/>
          <w:color w:val="auto"/>
        </w:rPr>
        <w:t>The costs and other burdens of compliance with such laws and regulations could negatively impact the use and adoption of our solutions and reduce overall demand for them. Additionally, concerns regarding data privacy and cyber and data security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115" w:lineRule="exact"/>
        <w:rPr>
          <w:sz w:val="20"/>
          <w:szCs w:val="20"/>
          <w:color w:val="auto"/>
        </w:rPr>
      </w:pPr>
    </w:p>
    <w:p>
      <w:pPr>
        <w:jc w:val="both"/>
        <w:ind w:firstLine="237"/>
        <w:spacing w:after="0" w:line="306" w:lineRule="auto"/>
        <w:rPr>
          <w:sz w:val="20"/>
          <w:szCs w:val="20"/>
          <w:color w:val="auto"/>
        </w:rPr>
      </w:pPr>
      <w:r>
        <w:rPr>
          <w:rFonts w:ascii="Arial" w:cs="Arial" w:eastAsia="Arial" w:hAnsi="Arial"/>
          <w:sz w:val="15"/>
          <w:szCs w:val="15"/>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 We expect there will continue to be an increased focus on laws and regulations related to our business and/or the business of our clients, including with regard to the operation of consumer reporting agencies, the collection, use, accuracy, correction and sharing of personal information, credit scoring, the use of artificial intelligence and machine learning, and algorithmic accountability and fair lending.</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109" w:lineRule="exact"/>
        <w:rPr>
          <w:sz w:val="20"/>
          <w:szCs w:val="20"/>
          <w:color w:val="auto"/>
        </w:rPr>
      </w:pPr>
    </w:p>
    <w:p>
      <w:pPr>
        <w:jc w:val="both"/>
        <w:ind w:firstLine="237"/>
        <w:spacing w:after="0" w:line="252" w:lineRule="auto"/>
        <w:rPr>
          <w:sz w:val="20"/>
          <w:szCs w:val="20"/>
          <w:color w:val="auto"/>
        </w:rPr>
      </w:pPr>
      <w:r>
        <w:rPr>
          <w:rFonts w:ascii="Arial" w:cs="Arial" w:eastAsia="Arial" w:hAnsi="Arial"/>
          <w:sz w:val="18"/>
          <w:szCs w:val="18"/>
          <w:color w:val="auto"/>
        </w:rPr>
        <w:t>Products in the industry segments in which we compete, including software products, are often subject to claims of patent and other intellectual property infringement, and such claims could increase as the number of products and competitors in our industry segments grow. We may need to defend claims that our products infringe intellectual property rights, and as a result we may:</w:t>
      </w:r>
    </w:p>
    <w:p>
      <w:pPr>
        <w:spacing w:after="0" w:line="85" w:lineRule="exact"/>
        <w:rPr>
          <w:sz w:val="20"/>
          <w:szCs w:val="20"/>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5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129" w:lineRule="exact"/>
        <w:rPr>
          <w:sz w:val="20"/>
          <w:szCs w:val="20"/>
          <w:color w:val="auto"/>
        </w:rPr>
      </w:pPr>
    </w:p>
    <w:p>
      <w:pPr>
        <w:jc w:val="both"/>
        <w:ind w:firstLine="158"/>
        <w:spacing w:after="0" w:line="248"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Operational Risks</w:t>
      </w:r>
    </w:p>
    <w:p>
      <w:pPr>
        <w:spacing w:after="0" w:line="115"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76" w:lineRule="exact"/>
        <w:rPr>
          <w:sz w:val="20"/>
          <w:szCs w:val="20"/>
          <w:color w:val="auto"/>
        </w:rPr>
      </w:pPr>
    </w:p>
    <w:p>
      <w:pPr>
        <w:jc w:val="both"/>
        <w:ind w:firstLine="237"/>
        <w:spacing w:after="0" w:line="247" w:lineRule="auto"/>
        <w:rPr>
          <w:sz w:val="20"/>
          <w:szCs w:val="20"/>
          <w:color w:val="auto"/>
        </w:rPr>
      </w:pPr>
      <w:r>
        <w:rPr>
          <w:rFonts w:ascii="Arial" w:cs="Arial" w:eastAsia="Arial" w:hAnsi="Arial"/>
          <w:sz w:val="18"/>
          <w:szCs w:val="18"/>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and continues to produce, substantial stress, volatility, illiquidity and disruption of global credit and other financial markets. Various factors contribute to the uncertain economic environment, including geopolitical tensions, military conflicts, the level and volatility of interest rates, the level of inflation, the continuing effects of the COVID-19 pandemic, an actual recession or fears of a recession, trade policies and tariffs, and political and governmental instability.</w:t>
      </w:r>
    </w:p>
    <w:p>
      <w:pPr>
        <w:spacing w:after="0" w:line="143" w:lineRule="exact"/>
        <w:rPr>
          <w:sz w:val="20"/>
          <w:szCs w:val="20"/>
          <w:color w:val="auto"/>
        </w:rPr>
      </w:pPr>
    </w:p>
    <w:p>
      <w:pPr>
        <w:jc w:val="both"/>
        <w:ind w:firstLine="237"/>
        <w:spacing w:after="0" w:line="248" w:lineRule="auto"/>
        <w:rPr>
          <w:sz w:val="20"/>
          <w:szCs w:val="20"/>
          <w:color w:val="auto"/>
        </w:rPr>
      </w:pPr>
      <w:r>
        <w:rPr>
          <w:rFonts w:ascii="Arial" w:cs="Arial" w:eastAsia="Arial" w:hAnsi="Arial"/>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141" w:lineRule="exact"/>
        <w:rPr>
          <w:sz w:val="20"/>
          <w:szCs w:val="20"/>
          <w:color w:val="auto"/>
        </w:rPr>
      </w:pPr>
    </w:p>
    <w:p>
      <w:pPr>
        <w:jc w:val="both"/>
        <w:ind w:firstLine="197"/>
        <w:spacing w:after="0" w:line="248" w:lineRule="auto"/>
        <w:rPr>
          <w:sz w:val="20"/>
          <w:szCs w:val="20"/>
          <w:color w:val="auto"/>
        </w:rPr>
      </w:pPr>
      <w:r>
        <w:rPr>
          <w:rFonts w:ascii="Arial" w:cs="Arial" w:eastAsia="Arial" w:hAnsi="Arial"/>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 operations outside the U.S., we are subject to additional risks that may harm our business, financial condition or results of operations.</w:t>
      </w:r>
    </w:p>
    <w:p>
      <w:pPr>
        <w:spacing w:after="0" w:line="132" w:lineRule="exact"/>
        <w:rPr>
          <w:sz w:val="20"/>
          <w:szCs w:val="20"/>
          <w:color w:val="auto"/>
        </w:rPr>
      </w:pPr>
    </w:p>
    <w:p>
      <w:pPr>
        <w:jc w:val="both"/>
        <w:ind w:firstLine="158"/>
        <w:spacing w:after="0" w:line="291" w:lineRule="auto"/>
        <w:rPr>
          <w:sz w:val="20"/>
          <w:szCs w:val="20"/>
          <w:color w:val="auto"/>
        </w:rPr>
      </w:pPr>
      <w:r>
        <w:rPr>
          <w:rFonts w:ascii="Arial" w:cs="Arial" w:eastAsia="Arial" w:hAnsi="Arial"/>
          <w:sz w:val="16"/>
          <w:szCs w:val="16"/>
          <w:color w:val="auto"/>
        </w:rPr>
        <w:t>A large portion of our revenues is derived from international sales. During fiscal 2023, 27%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55" w:lineRule="exact"/>
        <w:rPr>
          <w:sz w:val="20"/>
          <w:szCs w:val="20"/>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privacy and consumer protection laws and regulations;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enforcing contracts and collecting accounts receivable;</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tax rules or changes in tariffs and other trade barriers;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presence and acceptance of varying levels of business corruption in international markets;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geopolitical tensions, instability, terrorism, and military conflicts;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and pandemics, including the COVID-19 pandemic, and individual countries’ reactions to them;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161" w:lineRule="exact"/>
        <w:rPr>
          <w:sz w:val="20"/>
          <w:szCs w:val="20"/>
          <w:color w:val="auto"/>
        </w:rPr>
      </w:pPr>
    </w:p>
    <w:p>
      <w:pPr>
        <w:jc w:val="both"/>
        <w:ind w:firstLine="237"/>
        <w:spacing w:after="0" w:line="252" w:lineRule="auto"/>
        <w:rPr>
          <w:sz w:val="20"/>
          <w:szCs w:val="20"/>
          <w:color w:val="auto"/>
        </w:rPr>
      </w:pPr>
      <w:r>
        <w:rPr>
          <w:rFonts w:ascii="Arial" w:cs="Arial" w:eastAsia="Arial" w:hAnsi="Arial"/>
          <w:sz w:val="18"/>
          <w:szCs w:val="18"/>
          <w:color w:val="auto"/>
        </w:rPr>
        <w:t>There can be no assurance that we will be able to successfully address each of these challenges. Additionally, some of our business is and will be conducted in currencies other than the U.S. dollar. Substantial movements in foreign exchange rates relative to the dollar could adversely impact our cash flows, results of operations and financial position.</w:t>
      </w:r>
    </w:p>
    <w:p>
      <w:pPr>
        <w:spacing w:after="0" w:line="138" w:lineRule="exact"/>
        <w:rPr>
          <w:sz w:val="20"/>
          <w:szCs w:val="20"/>
          <w:color w:val="auto"/>
        </w:rPr>
      </w:pPr>
    </w:p>
    <w:p>
      <w:pPr>
        <w:jc w:val="both"/>
        <w:ind w:firstLine="237"/>
        <w:spacing w:after="0" w:line="252"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15"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76" w:lineRule="exact"/>
        <w:rPr>
          <w:sz w:val="20"/>
          <w:szCs w:val="20"/>
          <w:color w:val="auto"/>
        </w:rPr>
      </w:pPr>
    </w:p>
    <w:p>
      <w:pPr>
        <w:jc w:val="both"/>
        <w:ind w:firstLine="237"/>
        <w:spacing w:after="0" w:line="291" w:lineRule="auto"/>
        <w:rPr>
          <w:sz w:val="20"/>
          <w:szCs w:val="20"/>
          <w:color w:val="auto"/>
        </w:rPr>
      </w:pPr>
      <w:r>
        <w:rPr>
          <w:rFonts w:ascii="Arial" w:cs="Arial" w:eastAsia="Arial" w:hAnsi="Arial"/>
          <w:sz w:val="16"/>
          <w:szCs w:val="16"/>
          <w:color w:val="auto"/>
        </w:rPr>
        <w:t>In our Software segment,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For example, the sales cycle of our products can extend to greater than a year and as a result, revenues and operating results may vary</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significantly from period to period.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w:t>
      </w:r>
    </w:p>
    <w:p>
      <w:pPr>
        <w:spacing w:after="0" w:line="143" w:lineRule="exact"/>
        <w:rPr>
          <w:sz w:val="20"/>
          <w:szCs w:val="20"/>
          <w:color w:val="auto"/>
        </w:rPr>
      </w:pPr>
    </w:p>
    <w:p>
      <w:pPr>
        <w:jc w:val="both"/>
        <w:ind w:firstLine="237"/>
        <w:spacing w:after="0" w:line="250" w:lineRule="auto"/>
        <w:rPr>
          <w:sz w:val="20"/>
          <w:szCs w:val="20"/>
          <w:color w:val="auto"/>
        </w:rPr>
      </w:pPr>
      <w:r>
        <w:rPr>
          <w:rFonts w:ascii="Arial" w:cs="Arial" w:eastAsia="Arial" w:hAnsi="Arial"/>
          <w:sz w:val="18"/>
          <w:szCs w:val="18"/>
          <w:color w:val="auto"/>
        </w:rPr>
        <w:t>In our Scores segment, a majority of our revenues come from the sale of our Scores through partners. We have limited visibility on those sales until we receive royalty reports from those partners at the end of each billing period. Furthermore, the volume of our Scores sales depends heavily on macroeconomic conditions that are hard to forecast, including, for example, the volume of transactions in the U.S. mortgage and credit card markets, which account for a significant portion of the revenues in our Scores segment.</w:t>
      </w:r>
    </w:p>
    <w:p>
      <w:pPr>
        <w:spacing w:after="0" w:line="138" w:lineRule="exact"/>
        <w:rPr>
          <w:sz w:val="20"/>
          <w:szCs w:val="20"/>
          <w:color w:val="auto"/>
        </w:rPr>
      </w:pPr>
    </w:p>
    <w:p>
      <w:pPr>
        <w:jc w:val="both"/>
        <w:ind w:firstLine="237"/>
        <w:spacing w:after="0" w:line="261" w:lineRule="auto"/>
        <w:rPr>
          <w:sz w:val="20"/>
          <w:szCs w:val="20"/>
          <w:color w:val="auto"/>
        </w:rPr>
      </w:pPr>
      <w:r>
        <w:rPr>
          <w:rFonts w:ascii="Arial" w:cs="Arial" w:eastAsia="Arial" w:hAnsi="Arial"/>
          <w:sz w:val="18"/>
          <w:szCs w:val="18"/>
          <w:color w:val="auto"/>
        </w:rPr>
        <w:t>If we are unable to accurately forecast our revenues, our ability to plan, budget or provide accurate guidance could be limited, and our stock price could be adversely affected.</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Our financial results and key metrics fluctuate within each quarter and from quarter to quarter, making our future revenue, annual recurring revenue</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(“ARR”), and financial results difficult to predict, which may cause us to miss analyst expectations and may cause the price of our common stock to decline.</w:t>
      </w:r>
    </w:p>
    <w:p>
      <w:pPr>
        <w:spacing w:after="0" w:line="76" w:lineRule="exact"/>
        <w:rPr>
          <w:sz w:val="20"/>
          <w:szCs w:val="20"/>
          <w:color w:val="auto"/>
        </w:rPr>
      </w:pPr>
    </w:p>
    <w:p>
      <w:pPr>
        <w:jc w:val="both"/>
        <w:ind w:firstLine="237"/>
        <w:spacing w:after="0" w:line="248" w:lineRule="auto"/>
        <w:rPr>
          <w:sz w:val="20"/>
          <w:szCs w:val="20"/>
          <w:color w:val="auto"/>
        </w:rPr>
      </w:pPr>
      <w:r>
        <w:rPr>
          <w:rFonts w:ascii="Arial" w:cs="Arial" w:eastAsia="Arial" w:hAnsi="Arial"/>
          <w:sz w:val="18"/>
          <w:szCs w:val="18"/>
          <w:color w:val="auto"/>
        </w:rPr>
        <w:t>Our quarterly financial results and key metrics have fluctuated in the past and will continue to do so in the future, and therefore period-to-period comparisons should not be relied upon as an indication of future performance. These fluctuations could cause our stock price to change significantly or experience declines. We also may provide investors with quarterly and annual financial forward-looking guidance that could prove to be inaccurate as a result of these fluctuations and other factors. In addition to the other risks described in these risk factors, some of the factors that could cause our financial results and key metrics to fluctuate include:</w:t>
      </w:r>
    </w:p>
    <w:p>
      <w:pPr>
        <w:spacing w:after="0" w:line="89"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56"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demand and competitive and other conditions in the consumer credit, banking and insurance industries;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and volatility of interest rates and the level of inflation;</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domestic and international economic conditions;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litigation or regulatory matters;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161" w:lineRule="exact"/>
        <w:rPr>
          <w:sz w:val="20"/>
          <w:szCs w:val="20"/>
          <w:color w:val="auto"/>
        </w:rPr>
      </w:pPr>
    </w:p>
    <w:p>
      <w:pPr>
        <w:jc w:val="both"/>
        <w:ind w:firstLine="158"/>
        <w:spacing w:after="0" w:line="299" w:lineRule="auto"/>
        <w:rPr>
          <w:sz w:val="20"/>
          <w:szCs w:val="20"/>
          <w:color w:val="auto"/>
        </w:rPr>
      </w:pPr>
      <w:r>
        <w:rPr>
          <w:rFonts w:ascii="Arial" w:cs="Arial" w:eastAsia="Arial" w:hAnsi="Arial"/>
          <w:sz w:val="16"/>
          <w:szCs w:val="16"/>
          <w:color w:val="auto"/>
        </w:rPr>
        <w:t>Our operating expenses are based in part on our expectations for future revenue and many are fixed and cannot be quickly adjusted as revenue changes. Accordingly, any revenue shortfall below expectations has had, and in the future could have, an immediate and significant adverse effect on our operating results and profitability. Greater than anticipated expenses or a failure to maintain rigorous cost controls would also negatively affect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15"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Our stock price has been subject to fluctuations, and will likely continue to be subject to fluctuations, or may decline, regardless of our operating performance.</w:t>
      </w:r>
    </w:p>
    <w:p>
      <w:pPr>
        <w:spacing w:after="0" w:line="76" w:lineRule="exact"/>
        <w:rPr>
          <w:sz w:val="20"/>
          <w:szCs w:val="20"/>
          <w:color w:val="auto"/>
        </w:rPr>
      </w:pPr>
    </w:p>
    <w:p>
      <w:pPr>
        <w:jc w:val="both"/>
        <w:ind w:firstLine="237"/>
        <w:spacing w:after="0" w:line="287" w:lineRule="auto"/>
        <w:rPr>
          <w:sz w:val="20"/>
          <w:szCs w:val="20"/>
          <w:color w:val="auto"/>
        </w:rPr>
      </w:pPr>
      <w:r>
        <w:rPr>
          <w:rFonts w:ascii="Arial" w:cs="Arial" w:eastAsia="Arial" w:hAnsi="Arial"/>
          <w:sz w:val="16"/>
          <w:szCs w:val="16"/>
          <w:color w:val="auto"/>
        </w:rPr>
        <w:t>Our stock price has been subject to fluctuations due to a number of factors, including variations in our revenues and operating results.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111"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76" w:lineRule="exact"/>
        <w:rPr>
          <w:sz w:val="20"/>
          <w:szCs w:val="20"/>
          <w:color w:val="auto"/>
        </w:rPr>
      </w:pPr>
    </w:p>
    <w:p>
      <w:pPr>
        <w:jc w:val="both"/>
        <w:ind w:firstLine="237"/>
        <w:spacing w:after="0" w:line="281" w:lineRule="auto"/>
        <w:rPr>
          <w:sz w:val="20"/>
          <w:szCs w:val="20"/>
          <w:color w:val="auto"/>
        </w:rPr>
      </w:pPr>
      <w:r>
        <w:rPr>
          <w:rFonts w:ascii="Arial" w:cs="Arial" w:eastAsia="Arial" w:hAnsi="Arial"/>
          <w:sz w:val="16"/>
          <w:szCs w:val="16"/>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19" w:lineRule="exact"/>
        <w:rPr>
          <w:sz w:val="20"/>
          <w:szCs w:val="20"/>
          <w:color w:val="auto"/>
        </w:rPr>
      </w:pPr>
    </w:p>
    <w:p>
      <w:pPr>
        <w:jc w:val="both"/>
        <w:ind w:firstLine="158"/>
        <w:spacing w:after="0" w:line="261"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76" w:lineRule="exact"/>
        <w:rPr>
          <w:sz w:val="20"/>
          <w:szCs w:val="20"/>
          <w:color w:val="auto"/>
        </w:rPr>
      </w:pPr>
    </w:p>
    <w:p>
      <w:pPr>
        <w:jc w:val="both"/>
        <w:ind w:firstLine="237"/>
        <w:spacing w:after="0" w:line="284" w:lineRule="auto"/>
        <w:rPr>
          <w:sz w:val="20"/>
          <w:szCs w:val="20"/>
          <w:color w:val="auto"/>
        </w:rPr>
      </w:pPr>
      <w:r>
        <w:rPr>
          <w:rFonts w:ascii="Arial" w:cs="Arial" w:eastAsia="Arial" w:hAnsi="Arial"/>
          <w:sz w:val="16"/>
          <w:szCs w:val="16"/>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02"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The Company’s headquarters are located in Bozeman, Montana. As of September 30, 2023, the Company leased office facilities in geographically dispersed locations primarily for corporate functions, sales, research and development, data centers and other purposes. The Company believes its existing facilities, which are used by both reportable segments, are in good operating condition and are suitable to meet operating needs.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Our common stock trades on the New York Stock Exchange under the symbol: FICO. According to records of our transfer agent, at October 27, 2023, we had 254 stockholders of record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5"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have not declared or paid any cash dividends on our common stock since May 2017, and we do not presently plan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plans for expansion and restrictions imposed by our debt arrangements, if 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6"/>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Purchased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as Part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84"/>
              <w:spacing w:after="0" w:line="145" w:lineRule="exact"/>
              <w:rPr>
                <w:sz w:val="20"/>
                <w:szCs w:val="20"/>
                <w:color w:val="auto"/>
              </w:rPr>
            </w:pPr>
            <w:r>
              <w:rPr>
                <w:rFonts w:ascii="Arial" w:cs="Arial" w:eastAsia="Arial" w:hAnsi="Arial"/>
                <w:sz w:val="14"/>
                <w:szCs w:val="14"/>
                <w:b w:val="1"/>
                <w:bCs w:val="1"/>
                <w:color w:val="auto"/>
                <w:w w:val="87"/>
              </w:rPr>
              <w:t>Value of Shares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Average</w:t>
            </w:r>
          </w:p>
        </w:tc>
        <w:tc>
          <w:tcPr>
            <w:tcW w:w="16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Publicly</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84"/>
              <w:spacing w:after="0" w:line="141"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Announced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jc w:val="center"/>
              <w:ind w:right="184"/>
              <w:spacing w:after="0" w:line="135"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Price Paid</w:t>
            </w: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Plans or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84"/>
              <w:spacing w:after="0" w:line="142"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gridSpan w:val="2"/>
            <w:vMerge w:val="continue"/>
          </w:tcPr>
          <w:p>
            <w:pPr>
              <w:spacing w:after="0"/>
              <w:rPr>
                <w:sz w:val="12"/>
                <w:szCs w:val="12"/>
                <w:color w:val="auto"/>
              </w:rPr>
            </w:pPr>
          </w:p>
        </w:tc>
        <w:tc>
          <w:tcPr>
            <w:tcW w:w="1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 xml:space="preserve">Purchased </w:t>
            </w:r>
            <w:r>
              <w:rPr>
                <w:rFonts w:ascii="Arial" w:cs="Arial" w:eastAsia="Arial" w:hAnsi="Arial"/>
                <w:sz w:val="14"/>
                <w:szCs w:val="14"/>
                <w:b w:val="1"/>
                <w:bCs w:val="1"/>
                <w:color w:val="auto"/>
                <w:vertAlign w:val="superscript"/>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24" w:lineRule="exact"/>
              <w:rPr>
                <w:sz w:val="20"/>
                <w:szCs w:val="20"/>
                <w:color w:val="auto"/>
              </w:rPr>
            </w:pPr>
            <w:r>
              <w:rPr>
                <w:rFonts w:ascii="Arial" w:cs="Arial" w:eastAsia="Arial" w:hAnsi="Arial"/>
                <w:sz w:val="14"/>
                <w:szCs w:val="14"/>
                <w:b w:val="1"/>
                <w:bCs w:val="1"/>
                <w:color w:val="auto"/>
                <w:w w:val="92"/>
              </w:rPr>
              <w:t>per Share</w:t>
            </w:r>
          </w:p>
        </w:tc>
        <w:tc>
          <w:tcPr>
            <w:tcW w:w="1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 xml:space="preserve">Programs </w:t>
            </w:r>
            <w:r>
              <w:rPr>
                <w:rFonts w:ascii="Arial" w:cs="Arial" w:eastAsia="Arial" w:hAnsi="Arial"/>
                <w:sz w:val="14"/>
                <w:szCs w:val="14"/>
                <w:b w:val="1"/>
                <w:bCs w:val="1"/>
                <w:color w:val="auto"/>
                <w:vertAlign w:val="superscript"/>
              </w:rPr>
              <w:t>(2)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ind w:right="184"/>
              <w:spacing w:after="0" w:line="124" w:lineRule="exact"/>
              <w:rPr>
                <w:sz w:val="20"/>
                <w:szCs w:val="20"/>
                <w:color w:val="auto"/>
              </w:rPr>
            </w:pPr>
            <w:r>
              <w:rPr>
                <w:rFonts w:ascii="Arial" w:cs="Arial" w:eastAsia="Arial" w:hAnsi="Arial"/>
                <w:sz w:val="11"/>
                <w:szCs w:val="11"/>
                <w:b w:val="1"/>
                <w:bCs w:val="1"/>
                <w:color w:val="auto"/>
              </w:rPr>
              <w:t xml:space="preserve">Programs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1, 2023 through July 31, 2023</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48,412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821.21</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197,895,136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August 1, 2023 through August 31, 2023</w:t>
            </w:r>
          </w:p>
        </w:tc>
        <w:tc>
          <w:tcPr>
            <w:tcW w:w="1700" w:type="dxa"/>
            <w:vAlign w:val="bottom"/>
          </w:tcPr>
          <w:p>
            <w:pPr>
              <w:jc w:val="right"/>
              <w:ind w:right="2"/>
              <w:spacing w:after="0"/>
              <w:rPr>
                <w:sz w:val="20"/>
                <w:szCs w:val="20"/>
                <w:color w:val="auto"/>
              </w:rPr>
            </w:pPr>
            <w:r>
              <w:rPr>
                <w:rFonts w:ascii="Arial" w:cs="Arial" w:eastAsia="Arial" w:hAnsi="Arial"/>
                <w:sz w:val="18"/>
                <w:szCs w:val="18"/>
                <w:color w:val="auto"/>
              </w:rPr>
              <w:t>52,563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864.13</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
              <w:spacing w:after="0"/>
              <w:rPr>
                <w:sz w:val="20"/>
                <w:szCs w:val="20"/>
                <w:color w:val="auto"/>
              </w:rPr>
            </w:pPr>
            <w:r>
              <w:rPr>
                <w:rFonts w:ascii="Arial" w:cs="Arial" w:eastAsia="Arial" w:hAnsi="Arial"/>
                <w:sz w:val="18"/>
                <w:szCs w:val="18"/>
                <w:color w:val="auto"/>
              </w:rPr>
              <w:t>152,950,805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2023 through September 30, 2023</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36,000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900.13</w:t>
            </w:r>
          </w:p>
        </w:tc>
        <w:tc>
          <w:tcPr>
            <w:tcW w:w="16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120,546,951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136,975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858.42</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
              <w:spacing w:after="0"/>
              <w:rPr>
                <w:sz w:val="20"/>
                <w:szCs w:val="20"/>
                <w:color w:val="auto"/>
              </w:rPr>
            </w:pPr>
            <w:r>
              <w:rPr>
                <w:rFonts w:ascii="Arial" w:cs="Arial" w:eastAsia="Arial" w:hAnsi="Arial"/>
                <w:sz w:val="18"/>
                <w:szCs w:val="18"/>
                <w:color w:val="auto"/>
              </w:rPr>
              <w:t>120,546,951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8858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297" w:lineRule="exact"/>
        <w:rPr>
          <w:sz w:val="20"/>
          <w:szCs w:val="20"/>
          <w:color w:val="auto"/>
        </w:rPr>
      </w:pPr>
    </w:p>
    <w:p>
      <w:pPr>
        <w:ind w:left="320" w:hanging="315"/>
        <w:spacing w:after="0" w:line="250"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1,475 shares delivered in satisfaction of the tax withholding obligations resulting from the vesting of restricted stock units held by employees during the quarter ended September 30, 2023.</w:t>
      </w:r>
    </w:p>
    <w:p>
      <w:pPr>
        <w:spacing w:after="0" w:line="1" w:lineRule="exact"/>
        <w:rPr>
          <w:rFonts w:ascii="Arial" w:cs="Arial" w:eastAsia="Arial" w:hAnsi="Arial"/>
          <w:sz w:val="18"/>
          <w:szCs w:val="18"/>
          <w:color w:val="auto"/>
        </w:rPr>
      </w:pPr>
    </w:p>
    <w:p>
      <w:pPr>
        <w:ind w:left="320" w:hanging="315"/>
        <w:spacing w:after="0" w:line="309" w:lineRule="auto"/>
        <w:tabs>
          <w:tab w:leader="none" w:pos="3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October 2022, our Board of Directors approved a stock repurchase program replacing our previously authorized program. This program is open-ended and authorizes repurchases of shares of our common stock up to an aggregate cost of $500.0 million in the open market or in negotiated transactions.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graph shows the total stockholder return of an investment of $100 in cash on September 30, 2018, in (a) the Company’s common stock,</w:t>
      </w:r>
    </w:p>
    <w:p>
      <w:pPr>
        <w:spacing w:after="0" w:line="38" w:lineRule="exact"/>
        <w:rPr>
          <w:sz w:val="20"/>
          <w:szCs w:val="20"/>
          <w:color w:val="auto"/>
        </w:rPr>
      </w:pPr>
    </w:p>
    <w:p>
      <w:pPr>
        <w:ind w:firstLine="5"/>
        <w:spacing w:after="0" w:line="248"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Standard &amp; Poor’s 500 Stock Index and (c) the Standard &amp; Poor’s 500 Application Software Index, in each case with reinvestment of dividends. Our past performance may 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5715000" cy="4612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00" cy="461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 xml:space="preserve">Our Management’s Discussion and Analysis of Financial Condition and Results of Operations (“MD&amp;A”) includes the following: a business overview that provides a high-level summary of our strategies and initiatives, highlights from fiscal year 2023 and key performance metrics for our Software segment; a more detailed analysis of our results of operations; our capital resources and liquidity, which discusses key aspects of our statements of cash flows, changes in our balance sheets and our financial commitments; and a summary of our critical accounting estimates that involve a significant level of estimation uncertainty. Our MD&amp;A should be read in conjunction with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of this Annual Report on Form 10-K. The following discussion contains forward-looking statements that are subject to risks and uncertainties. Actual results may differ from those referred to herein due to a number of factors, including but not limited to risks described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w:t>
      </w:r>
    </w:p>
    <w:p>
      <w:pPr>
        <w:spacing w:after="0" w:line="11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MD&amp;A focuses on discussion of year-over-year comparisons between fiscal 2023 and fiscal 2022. Discussion of fiscal 2021 results and year-over-year comparisons between fiscal 2022 and fiscal 2021 that are not included in this Annual Report on Form 10-K can be found in “Management’s Discussion and Analysis of Financial Condition and Results of Operations” in Part II, Item 7 of our Annual Report on Form 10-K for the fiscal year ended September 30,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 and Initiatives</w:t>
      </w:r>
    </w:p>
    <w:p>
      <w:pPr>
        <w:spacing w:after="0" w:line="108" w:lineRule="exact"/>
        <w:rPr>
          <w:sz w:val="20"/>
          <w:szCs w:val="20"/>
          <w:color w:val="auto"/>
        </w:rPr>
      </w:pPr>
    </w:p>
    <w:p>
      <w:pPr>
        <w:jc w:val="both"/>
        <w:ind w:firstLine="395"/>
        <w:spacing w:after="0" w:line="226" w:lineRule="auto"/>
        <w:rPr>
          <w:sz w:val="20"/>
          <w:szCs w:val="20"/>
          <w:color w:val="auto"/>
        </w:rPr>
      </w:pPr>
      <w:r>
        <w:rPr>
          <w:rFonts w:ascii="Arial" w:cs="Arial" w:eastAsia="Arial" w:hAnsi="Arial"/>
          <w:sz w:val="17"/>
          <w:szCs w:val="17"/>
          <w:color w:val="auto"/>
        </w:rPr>
        <w:t>In fiscal 2023, our B2B scoring solutions, including the flagship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continued to be the standard measure of consumer credit risk in the U.S. We continued to promote adoption of our most predictive scores,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10 and 10 T. Internationally, we launched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10 in Canada,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6 in South Africa, and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Score 4 and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Extended Score 4 in Mexico, further expanding our financial inclusion initiatives. We also remained committed to expanding usage of the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Resilience Index, a complement to FICO Scores that identifies consumers who are more resilient to economic stress relative to other consumers within the same FICO Score bands. We continued to develop scores that use alternative data to enhance conventional credit bureau data and generate scores for otherwise un-scorable consumers.</w:t>
      </w:r>
    </w:p>
    <w:p>
      <w:pPr>
        <w:spacing w:after="0" w:line="150" w:lineRule="exact"/>
        <w:rPr>
          <w:sz w:val="20"/>
          <w:szCs w:val="20"/>
          <w:color w:val="auto"/>
        </w:rPr>
      </w:pPr>
    </w:p>
    <w:p>
      <w:pPr>
        <w:jc w:val="both"/>
        <w:ind w:firstLine="395"/>
        <w:spacing w:after="0" w:line="330" w:lineRule="auto"/>
        <w:rPr>
          <w:sz w:val="20"/>
          <w:szCs w:val="20"/>
          <w:color w:val="auto"/>
        </w:rPr>
      </w:pPr>
      <w:r>
        <w:rPr>
          <w:rFonts w:ascii="Arial" w:cs="Arial" w:eastAsia="Arial" w:hAnsi="Arial"/>
          <w:sz w:val="15"/>
          <w:szCs w:val="15"/>
          <w:color w:val="auto"/>
        </w:rPr>
        <w:t>During fiscal 2023, we continued to advance and drive growth through our platform-first, cloud delivered strategy in our Software segment. This strategic focus has led us to exit non-strategic products and services in the past few years, allowing us to dedicate our resources to expanding the capabilities and market penetration of FICO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Platform. We also continued our transition from private data centers to external service providers to host our technology infrastructure.</w:t>
      </w:r>
    </w:p>
    <w:p>
      <w:pPr>
        <w:spacing w:after="0" w:line="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also continued to enhance stockholder value by returning cash to stockholders through our stock repurchase programs. During fiscal 2023, we repurchased 0.6 million shares at a total repurchase price of $407.3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Fiscal 2023</w:t>
      </w:r>
    </w:p>
    <w:p>
      <w:pPr>
        <w:spacing w:after="0" w:line="62" w:lineRule="exact"/>
        <w:rPr>
          <w:sz w:val="20"/>
          <w:szCs w:val="20"/>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revenue was $1.5 billion during fiscal 2023, a 10% increase from fiscal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Annual Recurring Revenue for our Software segment as of September 30, 2023 was $669.4 million, a 22% increase from September 30, 2022.</w:t>
      </w:r>
    </w:p>
    <w:p>
      <w:pPr>
        <w:spacing w:after="0" w:line="79" w:lineRule="exact"/>
        <w:rPr>
          <w:rFonts w:ascii="Arial" w:cs="Arial" w:eastAsia="Arial" w:hAnsi="Arial"/>
          <w:sz w:val="16"/>
          <w:szCs w:val="16"/>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Dollar-Based Net Retention Rate for our Software segment during the fourth quarter of fiscal 2023 was 120%.</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was $642.8 million during fiscal 2023, a 19% increase from fiscal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income was $429.4 million during fiscal 2023, a 15% increase from fiscal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Diluted EPS was $16.93 during fiscal 2023, a 19% increase from fiscal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flow from operating activities was $468.9 million during fiscal 2023, compared with $509.5 million during fiscal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and cash equivalents were $136.8 million as of September 30, 2023, compared with $133.2 million as of September 30,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debt balance was $1.9 billion as of September 30, 2023 and September 30, 2022.</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share repurchases during fiscal 2023 were $407.3 million, compared with $1.1 billion during fiscal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 for Software segment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Contract Value Bookings (“ACV Bookings”)</w:t>
      </w:r>
    </w:p>
    <w:p>
      <w:pPr>
        <w:spacing w:after="0" w:line="109" w:lineRule="exact"/>
        <w:rPr>
          <w:sz w:val="20"/>
          <w:szCs w:val="20"/>
          <w:color w:val="auto"/>
        </w:rPr>
      </w:pPr>
    </w:p>
    <w:p>
      <w:pPr>
        <w:jc w:val="both"/>
        <w:ind w:firstLine="395"/>
        <w:spacing w:after="0" w:line="310" w:lineRule="auto"/>
        <w:rPr>
          <w:sz w:val="20"/>
          <w:szCs w:val="20"/>
          <w:color w:val="auto"/>
        </w:rPr>
      </w:pPr>
      <w:r>
        <w:rPr>
          <w:rFonts w:ascii="Arial" w:cs="Arial" w:eastAsia="Arial" w:hAnsi="Arial"/>
          <w:sz w:val="15"/>
          <w:szCs w:val="15"/>
          <w:color w:val="auto"/>
        </w:rPr>
        <w:t>Management regards ACV Bookings as an important indicator of future revenues, but they are not comparable to, nor are they a substitute for, an analysis of our revenues and other U.S. generally accepted accounting principles (</w:t>
      </w:r>
      <w:r>
        <w:rPr>
          <w:rFonts w:ascii="Arial" w:cs="Arial" w:eastAsia="Arial" w:hAnsi="Arial"/>
          <w:sz w:val="15"/>
          <w:szCs w:val="15"/>
          <w:i w:val="1"/>
          <w:iCs w:val="1"/>
          <w:color w:val="auto"/>
        </w:rPr>
        <w:t>“</w:t>
      </w:r>
      <w:r>
        <w:rPr>
          <w:rFonts w:ascii="Arial" w:cs="Arial" w:eastAsia="Arial" w:hAnsi="Arial"/>
          <w:sz w:val="15"/>
          <w:szCs w:val="15"/>
          <w:color w:val="auto"/>
        </w:rPr>
        <w:t>U.S. GAAP</w:t>
      </w:r>
      <w:r>
        <w:rPr>
          <w:rFonts w:ascii="Arial" w:cs="Arial" w:eastAsia="Arial" w:hAnsi="Arial"/>
          <w:sz w:val="15"/>
          <w:szCs w:val="15"/>
          <w:i w:val="1"/>
          <w:iCs w:val="1"/>
          <w:color w:val="auto"/>
        </w:rPr>
        <w:t>”</w:t>
      </w:r>
      <w:r>
        <w:rPr>
          <w:rFonts w:ascii="Arial" w:cs="Arial" w:eastAsia="Arial" w:hAnsi="Arial"/>
          <w:sz w:val="15"/>
          <w:szCs w:val="15"/>
          <w:color w:val="auto"/>
        </w:rPr>
        <w:t>)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spacing w:after="0" w:line="9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spacing w:after="0" w:line="11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We disclose estimated revenue expected to be recognized in the future related to remaining performance obligations in Note 11 to the accompanying consolidated financial statements. However, we believe ACV Bookings is a more meaningful measure of our business as it includes estimated revenues and future billings excluded from Note 11, such as usage-based fees and guaranteed minimums derived from our on-premises software licenses, among others.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ACV Bookings during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4"/>
          </w:tcPr>
          <w:p>
            <w:pPr>
              <w:ind w:left="500"/>
              <w:spacing w:after="0"/>
              <w:rPr>
                <w:sz w:val="20"/>
                <w:szCs w:val="20"/>
                <w:color w:val="auto"/>
              </w:rPr>
            </w:pPr>
            <w:r>
              <w:rPr>
                <w:rFonts w:ascii="Arial" w:cs="Arial" w:eastAsia="Arial" w:hAnsi="Arial"/>
                <w:sz w:val="14"/>
                <w:szCs w:val="14"/>
                <w:b w:val="1"/>
                <w:bCs w:val="1"/>
                <w:color w:val="auto"/>
              </w:rPr>
              <w:t>Quarter Ended September 30,</w:t>
            </w:r>
          </w:p>
        </w:tc>
        <w:tc>
          <w:tcPr>
            <w:tcW w:w="50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1020" w:type="dxa"/>
            <w:vAlign w:val="bottom"/>
          </w:tcPr>
          <w:p>
            <w:pPr>
              <w:spacing w:after="0"/>
              <w:rPr>
                <w:sz w:val="15"/>
                <w:szCs w:val="15"/>
                <w:color w:val="auto"/>
              </w:rPr>
            </w:pPr>
          </w:p>
        </w:tc>
      </w:tr>
      <w:tr>
        <w:trPr>
          <w:trHeight w:val="24"/>
        </w:trPr>
        <w:tc>
          <w:tcPr>
            <w:tcW w:w="3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38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w w:val="83"/>
              </w:rPr>
              <w:t>2022</w:t>
            </w:r>
          </w:p>
        </w:tc>
      </w:tr>
      <w:tr>
        <w:trPr>
          <w:trHeight w:val="190"/>
        </w:trPr>
        <w:tc>
          <w:tcPr>
            <w:tcW w:w="3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1"/>
        </w:trPr>
        <w:tc>
          <w:tcPr>
            <w:tcW w:w="38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Total on-premises and SaaS software </w:t>
            </w: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28.0</w:t>
            </w:r>
          </w:p>
        </w:tc>
        <w:tc>
          <w:tcPr>
            <w:tcW w:w="5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93.9</w:t>
            </w: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412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 During fiscal 2023, we sold certain assets related to our Siron compliance business. The amounts above exclude this product line for all periods presented.</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109" w:lineRule="exact"/>
        <w:rPr>
          <w:sz w:val="20"/>
          <w:szCs w:val="20"/>
          <w:color w:val="auto"/>
        </w:rPr>
      </w:pPr>
    </w:p>
    <w:p>
      <w:pPr>
        <w:jc w:val="both"/>
        <w:ind w:firstLine="395"/>
        <w:spacing w:after="0" w:line="300" w:lineRule="auto"/>
        <w:rPr>
          <w:sz w:val="20"/>
          <w:szCs w:val="20"/>
          <w:color w:val="auto"/>
        </w:rPr>
      </w:pPr>
      <w:r>
        <w:rPr>
          <w:rFonts w:ascii="Arial" w:cs="Arial" w:eastAsia="Arial" w:hAnsi="Arial"/>
          <w:sz w:val="16"/>
          <w:szCs w:val="16"/>
          <w:color w:val="auto"/>
        </w:rPr>
        <w:t xml:space="preserve">Accounting Standards Codification Topic 606, </w:t>
      </w:r>
      <w:r>
        <w:rPr>
          <w:rFonts w:ascii="Arial" w:cs="Arial" w:eastAsia="Arial" w:hAnsi="Arial"/>
          <w:sz w:val="16"/>
          <w:szCs w:val="16"/>
          <w:i w:val="1"/>
          <w:iCs w:val="1"/>
          <w:color w:val="auto"/>
        </w:rPr>
        <w:t>Revenue from Contacts with Customers,</w:t>
      </w:r>
      <w:r>
        <w:rPr>
          <w:rFonts w:ascii="Arial" w:cs="Arial" w:eastAsia="Arial" w:hAnsi="Arial"/>
          <w:sz w:val="16"/>
          <w:szCs w:val="16"/>
          <w:color w:val="auto"/>
        </w:rPr>
        <w:t xml:space="preserve"> requires us to recognize a significant portion of revenue from our on-premises software subscriptions at the point in time when the software is first made available to the customer, or at the beginning of the subscription term,</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w:t>
      </w:r>
    </w:p>
    <w:p>
      <w:pPr>
        <w:spacing w:after="0" w:line="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subscription arrangements that are not expected to recur (primarily perpetual licenses) are excluded. We calculate ARR as the quarterly recurring revenue run-rate multiplied by four.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ARR for on-premises and SaaS software at each of the dates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September 30,</w:t>
            </w:r>
          </w:p>
        </w:tc>
      </w:tr>
      <w:tr>
        <w:trPr>
          <w:trHeight w:val="187"/>
        </w:trPr>
        <w:tc>
          <w:tcPr>
            <w:tcW w:w="1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r>
      <w:tr>
        <w:trPr>
          <w:trHeight w:val="211"/>
        </w:trPr>
        <w:tc>
          <w:tcPr>
            <w:tcW w:w="1220" w:type="dxa"/>
            <w:vAlign w:val="bottom"/>
          </w:tcPr>
          <w:p>
            <w:pPr>
              <w:ind w:left="20"/>
              <w:spacing w:after="0" w:line="210" w:lineRule="exact"/>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4"/>
        </w:trPr>
        <w:tc>
          <w:tcPr>
            <w:tcW w:w="12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rPr>
              <w:t xml:space="preserve">Platform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173.2</w:t>
            </w:r>
          </w:p>
        </w:tc>
      </w:tr>
      <w:tr>
        <w:trPr>
          <w:trHeight w:val="224"/>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Non-Platform</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433.4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430.6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432.3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437.0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450.1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496.2</w:t>
            </w:r>
          </w:p>
        </w:tc>
      </w:tr>
      <w:tr>
        <w:trPr>
          <w:trHeight w:val="242"/>
        </w:trPr>
        <w:tc>
          <w:tcPr>
            <w:tcW w:w="1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526.0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539.5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550.1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582.9</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613.5</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669.4</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Platform</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4"/>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Non-Platform</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83 %</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17"/>
        </w:trPr>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4"/>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YoY Change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4"/>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4"/>
        </w:trPr>
        <w:tc>
          <w:tcPr>
            <w:tcW w:w="1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171"/>
        </w:trPr>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19" w:lineRule="exact"/>
        <w:rPr>
          <w:sz w:val="20"/>
          <w:szCs w:val="20"/>
          <w:color w:val="auto"/>
        </w:rPr>
      </w:pPr>
    </w:p>
    <w:p>
      <w:pPr>
        <w:ind w:firstLine="5"/>
        <w:spacing w:after="0" w:line="261" w:lineRule="auto"/>
        <w:tabs>
          <w:tab w:leader="none" w:pos="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fiscal 2023, we sold certain assets related to our Siron compliance business. The amounts and percentages above exclude this product line at all dates presented.</w:t>
      </w:r>
    </w:p>
    <w:p>
      <w:pPr>
        <w:spacing w:after="0" w:line="24" w:lineRule="exact"/>
        <w:rPr>
          <w:sz w:val="20"/>
          <w:szCs w:val="20"/>
          <w:color w:val="auto"/>
        </w:rPr>
      </w:pPr>
    </w:p>
    <w:p>
      <w:pPr>
        <w:jc w:val="both"/>
        <w:ind w:firstLine="5"/>
        <w:spacing w:after="0" w:line="252" w:lineRule="auto"/>
        <w:tabs>
          <w:tab w:leader="none" w:pos="3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Dollar-Based Net Retention Rate (“DBNRR”)</w:t>
      </w:r>
    </w:p>
    <w:p>
      <w:pPr>
        <w:spacing w:after="0" w:line="10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DBNRR for on-premises and SaaS software for each of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40" w:type="dxa"/>
            <w:vAlign w:val="bottom"/>
            <w:gridSpan w:val="2"/>
          </w:tcPr>
          <w:p>
            <w:pPr>
              <w:jc w:val="right"/>
              <w:ind w:right="777"/>
              <w:spacing w:after="0"/>
              <w:rPr>
                <w:sz w:val="20"/>
                <w:szCs w:val="20"/>
                <w:color w:val="auto"/>
              </w:rPr>
            </w:pPr>
            <w:r>
              <w:rPr>
                <w:rFonts w:ascii="Arial" w:cs="Arial" w:eastAsia="Arial" w:hAnsi="Arial"/>
                <w:sz w:val="14"/>
                <w:szCs w:val="14"/>
                <w:b w:val="1"/>
                <w:bCs w:val="1"/>
                <w:color w:val="auto"/>
              </w:rPr>
              <w:t>Quarter Ended</w:t>
            </w:r>
          </w:p>
        </w:tc>
        <w:tc>
          <w:tcPr>
            <w:tcW w:w="1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
        </w:trPr>
        <w:tc>
          <w:tcPr>
            <w:tcW w:w="1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1260" w:type="dxa"/>
            <w:vAlign w:val="bottom"/>
          </w:tcPr>
          <w:p>
            <w:pPr>
              <w:spacing w:after="0"/>
              <w:rPr>
                <w:sz w:val="11"/>
                <w:szCs w:val="11"/>
                <w:color w:val="auto"/>
              </w:rPr>
            </w:pPr>
          </w:p>
        </w:tc>
        <w:tc>
          <w:tcPr>
            <w:tcW w:w="12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0"/>
              </w:rPr>
              <w:t>December 31, 2021</w:t>
            </w:r>
          </w:p>
        </w:tc>
        <w:tc>
          <w:tcPr>
            <w:tcW w:w="132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March 31, 2022</w:t>
            </w:r>
          </w:p>
        </w:tc>
        <w:tc>
          <w:tcPr>
            <w:tcW w:w="108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June 30,</w:t>
            </w:r>
          </w:p>
        </w:tc>
        <w:tc>
          <w:tcPr>
            <w:tcW w:w="1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September 30, 2022</w:t>
            </w:r>
          </w:p>
        </w:tc>
        <w:tc>
          <w:tcPr>
            <w:tcW w:w="13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3"/>
              </w:rPr>
              <w:t>December 31, 2022</w:t>
            </w:r>
          </w:p>
        </w:tc>
        <w:tc>
          <w:tcPr>
            <w:tcW w:w="1340" w:type="dxa"/>
            <w:vAlign w:val="bottom"/>
          </w:tcPr>
          <w:p>
            <w:pPr>
              <w:jc w:val="right"/>
              <w:ind w:right="217"/>
              <w:spacing w:after="0" w:line="129" w:lineRule="exact"/>
              <w:rPr>
                <w:sz w:val="20"/>
                <w:szCs w:val="20"/>
                <w:color w:val="auto"/>
              </w:rPr>
            </w:pPr>
            <w:r>
              <w:rPr>
                <w:rFonts w:ascii="Arial" w:cs="Arial" w:eastAsia="Arial" w:hAnsi="Arial"/>
                <w:sz w:val="14"/>
                <w:szCs w:val="14"/>
                <w:b w:val="1"/>
                <w:bCs w:val="1"/>
                <w:color w:val="auto"/>
              </w:rPr>
              <w:t>March 31, 2023</w:t>
            </w:r>
          </w:p>
        </w:tc>
        <w:tc>
          <w:tcPr>
            <w:tcW w:w="11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September 30, 2023</w:t>
            </w:r>
          </w:p>
        </w:tc>
      </w:tr>
      <w:tr>
        <w:trPr>
          <w:trHeight w:val="187"/>
        </w:trPr>
        <w:tc>
          <w:tcPr>
            <w:tcW w:w="12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11"/>
        </w:trPr>
        <w:tc>
          <w:tcPr>
            <w:tcW w:w="1260" w:type="dxa"/>
            <w:vAlign w:val="bottom"/>
          </w:tcPr>
          <w:p>
            <w:pPr>
              <w:ind w:left="20"/>
              <w:spacing w:after="0" w:line="210" w:lineRule="exact"/>
              <w:rPr>
                <w:sz w:val="20"/>
                <w:szCs w:val="20"/>
                <w:color w:val="auto"/>
              </w:rPr>
            </w:pPr>
            <w:r>
              <w:rPr>
                <w:rFonts w:ascii="Arial" w:cs="Arial" w:eastAsia="Arial" w:hAnsi="Arial"/>
                <w:sz w:val="18"/>
                <w:szCs w:val="18"/>
                <w:b w:val="1"/>
                <w:bCs w:val="1"/>
                <w:i w:val="1"/>
                <w:iCs w:val="1"/>
                <w:color w:val="auto"/>
              </w:rPr>
              <w:t xml:space="preserve">DBNRR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w:t>
            </w:r>
            <w:r>
              <w:rPr>
                <w:rFonts w:ascii="Arial" w:cs="Arial" w:eastAsia="Arial" w:hAnsi="Arial"/>
                <w:sz w:val="22"/>
                <w:szCs w:val="22"/>
                <w:b w:val="1"/>
                <w:bCs w:val="1"/>
                <w:color w:val="auto"/>
                <w:vertAlign w:val="superscript"/>
              </w:rPr>
              <w: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4"/>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Platform</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146 %</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144 %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130 %</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146 %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24"/>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Non-Platform</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102 %</w:t>
            </w: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102 %</w:t>
            </w:r>
          </w:p>
        </w:tc>
        <w:tc>
          <w:tcPr>
            <w:tcW w:w="1080" w:type="dxa"/>
            <w:vAlign w:val="bottom"/>
          </w:tcPr>
          <w:p>
            <w:pPr>
              <w:jc w:val="right"/>
              <w:spacing w:after="0"/>
              <w:rPr>
                <w:sz w:val="20"/>
                <w:szCs w:val="20"/>
                <w:color w:val="auto"/>
              </w:rPr>
            </w:pPr>
            <w:r>
              <w:rPr>
                <w:rFonts w:ascii="Arial" w:cs="Arial" w:eastAsia="Arial" w:hAnsi="Arial"/>
                <w:sz w:val="18"/>
                <w:szCs w:val="18"/>
                <w:color w:val="auto"/>
              </w:rPr>
              <w:t>101 %</w:t>
            </w:r>
          </w:p>
        </w:tc>
        <w:tc>
          <w:tcPr>
            <w:tcW w:w="1320" w:type="dxa"/>
            <w:vAlign w:val="bottom"/>
          </w:tcPr>
          <w:p>
            <w:pPr>
              <w:jc w:val="right"/>
              <w:spacing w:after="0"/>
              <w:rPr>
                <w:sz w:val="20"/>
                <w:szCs w:val="20"/>
                <w:color w:val="auto"/>
              </w:rPr>
            </w:pPr>
            <w:r>
              <w:rPr>
                <w:rFonts w:ascii="Arial" w:cs="Arial" w:eastAsia="Arial" w:hAnsi="Arial"/>
                <w:sz w:val="18"/>
                <w:szCs w:val="18"/>
                <w:color w:val="auto"/>
              </w:rPr>
              <w:t>101 %</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103 %</w:t>
            </w:r>
          </w:p>
        </w:tc>
        <w:tc>
          <w:tcPr>
            <w:tcW w:w="1340" w:type="dxa"/>
            <w:vAlign w:val="bottom"/>
          </w:tcPr>
          <w:p>
            <w:pPr>
              <w:jc w:val="right"/>
              <w:ind w:right="137"/>
              <w:spacing w:after="0"/>
              <w:rPr>
                <w:sz w:val="20"/>
                <w:szCs w:val="20"/>
                <w:color w:val="auto"/>
              </w:rPr>
            </w:pPr>
            <w:r>
              <w:rPr>
                <w:rFonts w:ascii="Arial" w:cs="Arial" w:eastAsia="Arial" w:hAnsi="Arial"/>
                <w:sz w:val="18"/>
                <w:szCs w:val="18"/>
                <w:color w:val="auto"/>
              </w:rPr>
              <w:t>105 %</w:t>
            </w:r>
          </w:p>
        </w:tc>
        <w:tc>
          <w:tcPr>
            <w:tcW w:w="102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24"/>
        </w:trPr>
        <w:tc>
          <w:tcPr>
            <w:tcW w:w="12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109 %</w:t>
            </w:r>
          </w:p>
        </w:tc>
        <w:tc>
          <w:tcPr>
            <w:tcW w:w="1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109 %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110 %</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114 %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171"/>
        </w:trPr>
        <w:tc>
          <w:tcPr>
            <w:tcW w:w="1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32" w:lineRule="exact"/>
        <w:rPr>
          <w:sz w:val="20"/>
          <w:szCs w:val="20"/>
          <w:color w:val="auto"/>
        </w:rPr>
      </w:pPr>
    </w:p>
    <w:p>
      <w:pPr>
        <w:ind w:firstLine="5"/>
        <w:spacing w:after="0" w:line="261" w:lineRule="auto"/>
        <w:tabs>
          <w:tab w:leader="none" w:pos="2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fiscal 2023, we sold certain assets related to our Siron compliance business. The percentages above exclude this product line for all periods presented.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67"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3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Segment revenues, operating income, and related financial information, including disaggregation of revenue, for the years ended September 30, 2023, 2022 and 2021 are set forth in Note 11 and Note 17 to the accompanying consolidated financial statements.</w:t>
      </w:r>
    </w:p>
    <w:p>
      <w:pPr>
        <w:spacing w:after="0" w:line="28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Revenues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set forth certain summary information on a segment basis related to our revenues for fiscal 2023, 2022 and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6"/>
            <w:vMerge w:val="restart"/>
          </w:tcPr>
          <w:p>
            <w:pPr>
              <w:jc w:val="center"/>
              <w:ind w:left="599"/>
              <w:spacing w:after="0"/>
              <w:rPr>
                <w:sz w:val="20"/>
                <w:szCs w:val="20"/>
                <w:color w:val="auto"/>
              </w:rPr>
            </w:pPr>
            <w:r>
              <w:rPr>
                <w:rFonts w:ascii="Arial" w:cs="Arial" w:eastAsia="Arial" w:hAnsi="Arial"/>
                <w:sz w:val="14"/>
                <w:szCs w:val="14"/>
                <w:b w:val="1"/>
                <w:bCs w:val="1"/>
                <w:color w:val="auto"/>
                <w:w w:val="90"/>
              </w:rPr>
              <w:t>Year Ended September 30,</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Period-to-Period Change</w:t>
            </w:r>
          </w:p>
        </w:tc>
        <w:tc>
          <w:tcPr>
            <w:tcW w:w="52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vMerge w:val="continue"/>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2080" w:type="dxa"/>
            <w:vAlign w:val="bottom"/>
            <w:gridSpan w:val="5"/>
          </w:tcPr>
          <w:p>
            <w:pPr>
              <w:jc w:val="right"/>
              <w:ind w:right="39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Segment</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9"/>
              <w:spacing w:after="0" w:line="14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59"/>
              <w:spacing w:after="0" w:line="145"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97"/>
              <w:spacing w:after="0" w:line="14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9"/>
              <w:spacing w:after="0" w:line="145" w:lineRule="exact"/>
              <w:rPr>
                <w:sz w:val="20"/>
                <w:szCs w:val="20"/>
                <w:color w:val="auto"/>
              </w:rPr>
            </w:pPr>
            <w:r>
              <w:rPr>
                <w:rFonts w:ascii="Arial" w:cs="Arial" w:eastAsia="Arial" w:hAnsi="Arial"/>
                <w:sz w:val="14"/>
                <w:szCs w:val="14"/>
                <w:b w:val="1"/>
                <w:bCs w:val="1"/>
                <w:color w:val="auto"/>
                <w:w w:val="93"/>
              </w:rPr>
              <w:t>2023 to 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90"/>
              <w:spacing w:after="0" w:line="145" w:lineRule="exact"/>
              <w:rPr>
                <w:sz w:val="20"/>
                <w:szCs w:val="20"/>
                <w:color w:val="auto"/>
              </w:rPr>
            </w:pPr>
            <w:r>
              <w:rPr>
                <w:rFonts w:ascii="Arial" w:cs="Arial" w:eastAsia="Arial" w:hAnsi="Arial"/>
                <w:sz w:val="14"/>
                <w:szCs w:val="14"/>
                <w:b w:val="1"/>
                <w:bCs w:val="1"/>
                <w:color w:val="auto"/>
                <w:w w:val="88"/>
              </w:rPr>
              <w:t>2022 to 2021</w:t>
            </w:r>
          </w:p>
        </w:tc>
        <w:tc>
          <w:tcPr>
            <w:tcW w:w="120" w:type="dxa"/>
            <w:vAlign w:val="bottom"/>
          </w:tcPr>
          <w:p>
            <w:pPr>
              <w:spacing w:after="0"/>
              <w:rPr>
                <w:sz w:val="12"/>
                <w:szCs w:val="12"/>
                <w:color w:val="auto"/>
              </w:rPr>
            </w:pPr>
          </w:p>
        </w:tc>
        <w:tc>
          <w:tcPr>
            <w:tcW w:w="1020" w:type="dxa"/>
            <w:vAlign w:val="bottom"/>
            <w:tcBorders>
              <w:top w:val="single" w:sz="8" w:color="auto"/>
            </w:tcBorders>
            <w:gridSpan w:val="4"/>
          </w:tcPr>
          <w:p>
            <w:pPr>
              <w:ind w:left="80"/>
              <w:spacing w:after="0" w:line="145" w:lineRule="exact"/>
              <w:rPr>
                <w:sz w:val="20"/>
                <w:szCs w:val="20"/>
                <w:color w:val="auto"/>
              </w:rPr>
            </w:pPr>
            <w:r>
              <w:rPr>
                <w:rFonts w:ascii="Arial" w:cs="Arial" w:eastAsia="Arial" w:hAnsi="Arial"/>
                <w:sz w:val="14"/>
                <w:szCs w:val="14"/>
                <w:b w:val="1"/>
                <w:bCs w:val="1"/>
                <w:color w:val="auto"/>
              </w:rPr>
              <w:t>2023 to 2022</w:t>
            </w:r>
          </w:p>
        </w:tc>
        <w:tc>
          <w:tcPr>
            <w:tcW w:w="1060" w:type="dxa"/>
            <w:vAlign w:val="bottom"/>
            <w:tcBorders>
              <w:top w:val="single" w:sz="8" w:color="auto"/>
            </w:tcBorders>
          </w:tcPr>
          <w:p>
            <w:pPr>
              <w:jc w:val="right"/>
              <w:ind w:right="77"/>
              <w:spacing w:after="0" w:line="145" w:lineRule="exact"/>
              <w:rPr>
                <w:sz w:val="20"/>
                <w:szCs w:val="20"/>
                <w:color w:val="auto"/>
              </w:rPr>
            </w:pPr>
            <w:r>
              <w:rPr>
                <w:rFonts w:ascii="Arial" w:cs="Arial" w:eastAsia="Arial" w:hAnsi="Arial"/>
                <w:sz w:val="14"/>
                <w:szCs w:val="14"/>
                <w:b w:val="1"/>
                <w:bCs w:val="1"/>
                <w:color w:val="auto"/>
              </w:rPr>
              <w:t>2022 to 2021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654,147</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52,496</w:t>
            </w: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2"/>
              </w:rPr>
              <w:t>10 %</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662,389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69,102</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8,238</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3"/>
          </w:tcPr>
          <w:p>
            <w:pPr>
              <w:ind w:left="520"/>
              <w:spacing w:after="0"/>
              <w:rPr>
                <w:sz w:val="20"/>
                <w:szCs w:val="20"/>
                <w:color w:val="auto"/>
              </w:rPr>
            </w:pPr>
            <w:r>
              <w:rPr>
                <w:rFonts w:ascii="Arial" w:cs="Arial" w:eastAsia="Arial" w:hAnsi="Arial"/>
                <w:sz w:val="18"/>
                <w:szCs w:val="18"/>
                <w:color w:val="auto"/>
                <w:w w:val="92"/>
              </w:rPr>
              <w:t>10 %</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1,316,536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136,287</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60,734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w w:val="92"/>
              </w:rPr>
              <w:t>10 %</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gridSpan w:val="6"/>
            <w:vMerge w:val="restart"/>
          </w:tcPr>
          <w:p>
            <w:pPr>
              <w:jc w:val="center"/>
              <w:ind w:right="480"/>
              <w:spacing w:after="0"/>
              <w:rPr>
                <w:sz w:val="20"/>
                <w:szCs w:val="20"/>
                <w:color w:val="auto"/>
              </w:rPr>
            </w:pPr>
            <w:r>
              <w:rPr>
                <w:rFonts w:ascii="Arial" w:cs="Arial" w:eastAsia="Arial" w:hAnsi="Arial"/>
                <w:sz w:val="14"/>
                <w:szCs w:val="14"/>
                <w:b w:val="1"/>
                <w:bCs w:val="1"/>
                <w:color w:val="auto"/>
                <w:w w:val="87"/>
              </w:rPr>
              <w:t>Percentage of Revenues</w:t>
            </w: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6"/>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0"/>
              </w:rPr>
              <w:t>Year Ended 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239"/>
              <w:spacing w:after="0" w:line="14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1040" w:type="dxa"/>
            <w:vAlign w:val="bottom"/>
            <w:gridSpan w:val="4"/>
          </w:tcPr>
          <w:p>
            <w:pPr>
              <w:jc w:val="center"/>
              <w:ind w:left="559"/>
              <w:spacing w:after="0" w:line="145" w:lineRule="exact"/>
              <w:rPr>
                <w:sz w:val="20"/>
                <w:szCs w:val="20"/>
                <w:color w:val="auto"/>
              </w:rPr>
            </w:pPr>
            <w:r>
              <w:rPr>
                <w:rFonts w:ascii="Arial" w:cs="Arial" w:eastAsia="Arial" w:hAnsi="Arial"/>
                <w:sz w:val="14"/>
                <w:szCs w:val="14"/>
                <w:b w:val="1"/>
                <w:bCs w:val="1"/>
                <w:color w:val="auto"/>
                <w:w w:val="89"/>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517"/>
              <w:spacing w:after="0" w:line="14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Scores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49 %</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03"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b w:val="1"/>
          <w:bCs w:val="1"/>
          <w:color w:val="auto"/>
        </w:rPr>
        <w:t xml:space="preserve">Scores </w:t>
      </w:r>
      <w:r>
        <w:rPr>
          <w:rFonts w:ascii="Arial" w:cs="Arial" w:eastAsia="Arial" w:hAnsi="Arial"/>
          <w:sz w:val="18"/>
          <w:szCs w:val="18"/>
          <w:color w:val="auto"/>
        </w:rPr>
        <w:t>segment revenues increased $67.2 million in fiscal 2023 from 2022 due to an increase of $85.6 million in our business-to-business scores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partially offset by a decrease of $18.4 million in our business-to-consumer revenue. The increase in business-to-business scores revenue was primarily attributable to a higher unit price, partially offset by a decrease in mortgage originations volume. The decrease in business-to-consumer revenue was primarily attributable to a decrease in direct sales generated from the myFICO.com website.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6"/>
            <w:vMerge w:val="restart"/>
          </w:tcPr>
          <w:p>
            <w:pPr>
              <w:jc w:val="center"/>
              <w:ind w:right="152"/>
              <w:spacing w:after="0"/>
              <w:rPr>
                <w:sz w:val="20"/>
                <w:szCs w:val="20"/>
                <w:color w:val="auto"/>
              </w:rPr>
            </w:pPr>
            <w:r>
              <w:rPr>
                <w:rFonts w:ascii="Arial" w:cs="Arial" w:eastAsia="Arial" w:hAnsi="Arial"/>
                <w:sz w:val="14"/>
                <w:szCs w:val="14"/>
                <w:b w:val="1"/>
                <w:bCs w:val="1"/>
                <w:color w:val="auto"/>
                <w:w w:val="90"/>
              </w:rPr>
              <w:t>Year Ended September 30,</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Period-to-Period Change</w:t>
            </w:r>
          </w:p>
        </w:tc>
        <w:tc>
          <w:tcPr>
            <w:tcW w:w="2560" w:type="dxa"/>
            <w:vAlign w:val="bottom"/>
            <w:gridSpan w:val="3"/>
          </w:tcPr>
          <w:p>
            <w:pPr>
              <w:jc w:val="right"/>
              <w:ind w:right="697"/>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6"/>
            <w:vMerge w:val="continue"/>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2560" w:type="dxa"/>
            <w:vAlign w:val="bottom"/>
            <w:gridSpan w:val="3"/>
          </w:tcPr>
          <w:p>
            <w:pPr>
              <w:jc w:val="right"/>
              <w:ind w:right="61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2023 to 2022</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2022 to 2021</w:t>
            </w: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2023 to 2022</w:t>
            </w:r>
          </w:p>
        </w:tc>
        <w:tc>
          <w:tcPr>
            <w:tcW w:w="122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 to 2021</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On-premises and SaaS</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640,182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75,431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(6,329)</w:t>
            </w: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(38,625)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178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739,729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69,102</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6"/>
            <w:vMerge w:val="restart"/>
          </w:tcPr>
          <w:p>
            <w:pPr>
              <w:jc w:val="center"/>
              <w:ind w:right="152"/>
              <w:spacing w:after="0"/>
              <w:rPr>
                <w:sz w:val="20"/>
                <w:szCs w:val="20"/>
                <w:color w:val="auto"/>
              </w:rPr>
            </w:pPr>
            <w:r>
              <w:rPr>
                <w:rFonts w:ascii="Arial" w:cs="Arial" w:eastAsia="Arial" w:hAnsi="Arial"/>
                <w:sz w:val="14"/>
                <w:szCs w:val="14"/>
                <w:b w:val="1"/>
                <w:bCs w:val="1"/>
                <w:color w:val="auto"/>
                <w:w w:val="90"/>
              </w:rPr>
              <w:t>Year Ended September 30,</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Period-to-Period Change</w:t>
            </w:r>
          </w:p>
        </w:tc>
        <w:tc>
          <w:tcPr>
            <w:tcW w:w="252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6"/>
            <w:vMerge w:val="continue"/>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252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2023 to 2022</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2022 to 2021</w:t>
            </w:r>
          </w:p>
        </w:tc>
        <w:tc>
          <w:tcPr>
            <w:tcW w:w="80" w:type="dxa"/>
            <w:vAlign w:val="bottom"/>
          </w:tcPr>
          <w:p>
            <w:pPr>
              <w:spacing w:after="0"/>
              <w:rPr>
                <w:sz w:val="16"/>
                <w:szCs w:val="16"/>
                <w:color w:val="auto"/>
              </w:rPr>
            </w:pPr>
          </w:p>
        </w:tc>
        <w:tc>
          <w:tcPr>
            <w:tcW w:w="13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2023 to 2022</w:t>
            </w:r>
          </w:p>
        </w:tc>
        <w:tc>
          <w:tcPr>
            <w:tcW w:w="1200" w:type="dxa"/>
            <w:vAlign w:val="bottom"/>
            <w:tcBorders>
              <w:top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2022 to 2021</w:t>
            </w: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1"/>
              </w:rPr>
              <w:t>Software recognized at a</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6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point in time </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(2,804)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72"/>
        </w:trPr>
        <w:tc>
          <w:tcPr>
            <w:tcW w:w="1860" w:type="dxa"/>
            <w:vAlign w:val="bottom"/>
          </w:tcPr>
          <w:p>
            <w:pPr>
              <w:ind w:left="20"/>
              <w:spacing w:after="0" w:line="172" w:lineRule="exact"/>
              <w:rPr>
                <w:sz w:val="20"/>
                <w:szCs w:val="20"/>
                <w:color w:val="auto"/>
              </w:rPr>
            </w:pPr>
            <w:r>
              <w:rPr>
                <w:rFonts w:ascii="Arial" w:cs="Arial" w:eastAsia="Arial" w:hAnsi="Arial"/>
                <w:sz w:val="18"/>
                <w:szCs w:val="18"/>
                <w:color w:val="auto"/>
                <w:w w:val="89"/>
              </w:rPr>
              <w:t>Software recognized over</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60" w:type="dxa"/>
            <w:vAlign w:val="bottom"/>
            <w:tcBorders>
              <w:bottom w:val="single" w:sz="8" w:color="CCEEFF"/>
            </w:tcBorders>
          </w:tcPr>
          <w:p>
            <w:pPr>
              <w:ind w:left="20"/>
              <w:spacing w:after="0" w:line="236" w:lineRule="exact"/>
              <w:rPr>
                <w:sz w:val="20"/>
                <w:szCs w:val="20"/>
                <w:color w:val="auto"/>
              </w:rPr>
            </w:pPr>
            <w:r>
              <w:rPr>
                <w:rFonts w:ascii="Arial" w:cs="Arial" w:eastAsia="Arial" w:hAnsi="Arial"/>
                <w:sz w:val="18"/>
                <w:szCs w:val="18"/>
                <w:color w:val="auto"/>
              </w:rPr>
              <w:t xml:space="preserve">contract term </w:t>
            </w:r>
            <w:r>
              <w:rPr>
                <w:rFonts w:ascii="Arial" w:cs="Arial" w:eastAsia="Arial" w:hAnsi="Arial"/>
                <w:sz w:val="22"/>
                <w:szCs w:val="22"/>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567,339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458,864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78,235</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30,240</w:t>
            </w: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52"/>
        </w:trPr>
        <w:tc>
          <w:tcPr>
            <w:tcW w:w="1860" w:type="dxa"/>
            <w:vAlign w:val="bottom"/>
            <w:shd w:val="clear" w:color="auto" w:fill="CCEEFF"/>
          </w:tcPr>
          <w:p>
            <w:pPr>
              <w:ind w:left="180"/>
              <w:spacing w:after="0" w:line="152" w:lineRule="exact"/>
              <w:rPr>
                <w:sz w:val="20"/>
                <w:szCs w:val="20"/>
                <w:color w:val="auto"/>
              </w:rPr>
            </w:pPr>
            <w:r>
              <w:rPr>
                <w:rFonts w:ascii="Arial" w:cs="Arial" w:eastAsia="Arial" w:hAnsi="Arial"/>
                <w:sz w:val="16"/>
                <w:szCs w:val="16"/>
                <w:color w:val="auto"/>
              </w:rPr>
              <w:t>Total on-premises and</w:t>
            </w: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640,182</w:t>
            </w:r>
          </w:p>
        </w:tc>
        <w:tc>
          <w:tcPr>
            <w:tcW w:w="3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517,888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SaaS software</w:t>
            </w:r>
          </w:p>
        </w:tc>
        <w:tc>
          <w:tcPr>
            <w:tcW w:w="3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75,431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1412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20" w:hanging="315"/>
        <w:spacing w:after="0" w:line="261"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license portion of our on-premises subscription software and perpetual license, both of which are recognized when the software is made available to the customer, or at the start of the subscription.</w:t>
      </w:r>
    </w:p>
    <w:p>
      <w:pPr>
        <w:spacing w:after="0" w:line="23" w:lineRule="exact"/>
        <w:rPr>
          <w:rFonts w:ascii="Arial" w:cs="Arial" w:eastAsia="Arial" w:hAnsi="Arial"/>
          <w:sz w:val="18"/>
          <w:szCs w:val="18"/>
          <w:color w:val="auto"/>
        </w:rPr>
      </w:pPr>
    </w:p>
    <w:p>
      <w:pPr>
        <w:ind w:left="320" w:hanging="315"/>
        <w:spacing w:after="0" w:line="261"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maintenance portion and usage-based fees of our on-premises subscription software, maintenance revenue on perpetual licenses, as well as SaaS revenue.</w:t>
      </w:r>
    </w:p>
    <w:p>
      <w:pPr>
        <w:spacing w:after="0" w:line="123"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segment revenues increased $69.1 million in fiscal 2023 from 2022 due to a $75.4 million increase in on-premises and SaaS software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partially offset by a $6.3 million decrease in services revenue. The increase in our on-premises and SaaS software revenue was primarily attributable to an increase in revenue recognized over the contract term largely driven by SaaS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(Expense), Net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set forth certain summary information related to our consolidated statements of income and comprehensive income for fiscal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vMerge w:val="restart"/>
          </w:tcPr>
          <w:p>
            <w:pPr>
              <w:jc w:val="center"/>
              <w:ind w:left="475"/>
              <w:spacing w:after="0"/>
              <w:rPr>
                <w:sz w:val="20"/>
                <w:szCs w:val="20"/>
                <w:color w:val="auto"/>
              </w:rPr>
            </w:pPr>
            <w:r>
              <w:rPr>
                <w:rFonts w:ascii="Arial" w:cs="Arial" w:eastAsia="Arial" w:hAnsi="Arial"/>
                <w:sz w:val="14"/>
                <w:szCs w:val="14"/>
                <w:b w:val="1"/>
                <w:bCs w:val="1"/>
                <w:color w:val="auto"/>
                <w:w w:val="90"/>
              </w:rPr>
              <w:t>Year Ended September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Period-to-Period Change</w:t>
            </w:r>
          </w:p>
        </w:tc>
        <w:tc>
          <w:tcPr>
            <w:tcW w:w="2640" w:type="dxa"/>
            <w:vAlign w:val="bottom"/>
            <w:gridSpan w:val="2"/>
          </w:tcPr>
          <w:p>
            <w:pPr>
              <w:jc w:val="right"/>
              <w:ind w:right="733"/>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vMerge w:val="continue"/>
          </w:tcPr>
          <w:p>
            <w:pPr>
              <w:spacing w:after="0"/>
              <w:rPr>
                <w:sz w:val="16"/>
                <w:szCs w:val="16"/>
                <w:color w:val="auto"/>
              </w:rPr>
            </w:pPr>
          </w:p>
        </w:tc>
        <w:tc>
          <w:tcPr>
            <w:tcW w:w="2640" w:type="dxa"/>
            <w:vAlign w:val="bottom"/>
            <w:gridSpan w:val="2"/>
          </w:tcPr>
          <w:p>
            <w:pPr>
              <w:jc w:val="right"/>
              <w:ind w:right="653"/>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2023 to 2022</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2022 to 2021</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 to 2022</w:t>
            </w:r>
          </w:p>
        </w:tc>
        <w:tc>
          <w:tcPr>
            <w:tcW w:w="12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 to 2021</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gridSpan w:val="6"/>
            <w:vMerge w:val="restart"/>
          </w:tcPr>
          <w:p>
            <w:pPr>
              <w:jc w:val="center"/>
              <w:ind w:left="475"/>
              <w:spacing w:after="0"/>
              <w:rPr>
                <w:sz w:val="20"/>
                <w:szCs w:val="20"/>
                <w:color w:val="auto"/>
              </w:rPr>
            </w:pPr>
            <w:r>
              <w:rPr>
                <w:rFonts w:ascii="Arial" w:cs="Arial" w:eastAsia="Arial" w:hAnsi="Arial"/>
                <w:sz w:val="14"/>
                <w:szCs w:val="14"/>
                <w:b w:val="1"/>
                <w:bCs w:val="1"/>
                <w:color w:val="auto"/>
                <w:w w:val="87"/>
              </w:rPr>
              <w:t>(In thousands, except employees)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3"/>
          </w:tcPr>
          <w:p>
            <w:pPr>
              <w:jc w:val="center"/>
              <w:ind w:right="73"/>
              <w:spacing w:after="0" w:line="135" w:lineRule="exact"/>
              <w:rPr>
                <w:sz w:val="20"/>
                <w:szCs w:val="20"/>
                <w:color w:val="auto"/>
              </w:rPr>
            </w:pPr>
            <w:r>
              <w:rPr>
                <w:rFonts w:ascii="Arial" w:cs="Arial" w:eastAsia="Arial" w:hAnsi="Arial"/>
                <w:sz w:val="14"/>
                <w:szCs w:val="14"/>
                <w:b w:val="1"/>
                <w:bCs w:val="1"/>
                <w:color w:val="auto"/>
                <w:w w:val="88"/>
              </w:rPr>
              <w:t>(In thousands, except</w:t>
            </w: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employees)</w:t>
            </w: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1,316,536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136,287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line="203"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8,879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280" w:type="dxa"/>
            <w:vAlign w:val="bottom"/>
          </w:tcPr>
          <w:p>
            <w:pPr>
              <w:ind w:left="340"/>
              <w:spacing w:after="0"/>
              <w:rPr>
                <w:sz w:val="20"/>
                <w:szCs w:val="20"/>
                <w:color w:val="auto"/>
              </w:rPr>
            </w:pPr>
            <w:r>
              <w:rPr>
                <w:rFonts w:ascii="Arial" w:cs="Arial" w:eastAsia="Arial" w:hAnsi="Arial"/>
                <w:sz w:val="18"/>
                <w:szCs w:val="18"/>
                <w:color w:val="auto"/>
                <w:w w:val="87"/>
              </w:rPr>
              <w:t>Research and development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13,192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(24,473)</w:t>
            </w:r>
          </w:p>
        </w:tc>
        <w:tc>
          <w:tcPr>
            <w:tcW w:w="100" w:type="dxa"/>
            <w:vAlign w:val="bottom"/>
          </w:tcPr>
          <w:p>
            <w:pPr>
              <w:spacing w:after="0"/>
              <w:rPr>
                <w:sz w:val="19"/>
                <w:szCs w:val="19"/>
                <w:color w:val="auto"/>
              </w:rPr>
            </w:pPr>
          </w:p>
        </w:tc>
        <w:tc>
          <w:tcPr>
            <w:tcW w:w="1440" w:type="dxa"/>
            <w:vAlign w:val="bottom"/>
          </w:tcPr>
          <w:p>
            <w:pPr>
              <w:jc w:val="right"/>
              <w:ind w:right="115"/>
              <w:spacing w:after="0"/>
              <w:rPr>
                <w:sz w:val="20"/>
                <w:szCs w:val="20"/>
                <w:color w:val="auto"/>
              </w:rPr>
            </w:pPr>
            <w:r>
              <w:rPr>
                <w:rFonts w:ascii="Arial" w:cs="Arial" w:eastAsia="Arial" w:hAnsi="Arial"/>
                <w:sz w:val="18"/>
                <w:szCs w:val="18"/>
                <w:color w:val="auto"/>
              </w:rPr>
              <w:t>9 %</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5"/>
        </w:trPr>
        <w:tc>
          <w:tcPr>
            <w:tcW w:w="228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16,702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5"/>
        </w:trPr>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w w:val="94"/>
              </w:rPr>
              <w:t>Amortization of intangible</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3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1440" w:type="dxa"/>
            <w:vAlign w:val="bottom"/>
          </w:tcPr>
          <w:p>
            <w:pPr>
              <w:jc w:val="right"/>
              <w:ind w:right="115"/>
              <w:spacing w:after="0"/>
              <w:rPr>
                <w:sz w:val="20"/>
                <w:szCs w:val="20"/>
                <w:color w:val="auto"/>
              </w:rPr>
            </w:pPr>
            <w:r>
              <w:rPr>
                <w:rFonts w:ascii="Arial" w:cs="Arial" w:eastAsia="Arial" w:hAnsi="Arial"/>
                <w:sz w:val="18"/>
                <w:szCs w:val="18"/>
                <w:color w:val="auto"/>
              </w:rPr>
              <w:t>(47)%</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5"/>
        </w:trPr>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w w:val="88"/>
              </w:rPr>
              <w:t>Gains on product line asset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340"/>
              <w:spacing w:after="0" w:line="171" w:lineRule="exact"/>
              <w:rPr>
                <w:sz w:val="20"/>
                <w:szCs w:val="20"/>
                <w:color w:val="auto"/>
              </w:rPr>
            </w:pPr>
            <w:r>
              <w:rPr>
                <w:rFonts w:ascii="Arial" w:cs="Arial" w:eastAsia="Arial" w:hAnsi="Arial"/>
                <w:sz w:val="18"/>
                <w:szCs w:val="18"/>
                <w:color w:val="auto"/>
              </w:rPr>
              <w:t>sales and business</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8"/>
              </w:rPr>
              <w:t>(100,139)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tcPr>
          <w:p>
            <w:pPr>
              <w:spacing w:after="0"/>
              <w:rPr>
                <w:sz w:val="14"/>
                <w:szCs w:val="14"/>
                <w:color w:val="auto"/>
              </w:rPr>
            </w:pPr>
          </w:p>
        </w:tc>
        <w:tc>
          <w:tcPr>
            <w:tcW w:w="1440" w:type="dxa"/>
            <w:vAlign w:val="bottom"/>
            <w:vMerge w:val="restart"/>
          </w:tcPr>
          <w:p>
            <w:pPr>
              <w:jc w:val="right"/>
              <w:ind w:right="115"/>
              <w:spacing w:after="0"/>
              <w:rPr>
                <w:sz w:val="20"/>
                <w:szCs w:val="20"/>
                <w:color w:val="auto"/>
              </w:rPr>
            </w:pPr>
            <w:r>
              <w:rPr>
                <w:rFonts w:ascii="Arial" w:cs="Arial" w:eastAsia="Arial" w:hAnsi="Arial"/>
                <w:sz w:val="18"/>
                <w:szCs w:val="18"/>
                <w:color w:val="auto"/>
              </w:rPr>
              <w:t>— %</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280" w:type="dxa"/>
            <w:vAlign w:val="bottom"/>
          </w:tcPr>
          <w:p>
            <w:pPr>
              <w:ind w:left="340"/>
              <w:spacing w:after="0"/>
              <w:rPr>
                <w:sz w:val="20"/>
                <w:szCs w:val="20"/>
                <w:color w:val="auto"/>
              </w:rPr>
            </w:pPr>
            <w:r>
              <w:rPr>
                <w:rFonts w:ascii="Arial" w:cs="Arial" w:eastAsia="Arial" w:hAnsi="Arial"/>
                <w:sz w:val="18"/>
                <w:szCs w:val="18"/>
                <w:color w:val="auto"/>
              </w:rPr>
              <w:t>divestiture</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870,727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834,856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35,871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4 %</w:t>
            </w:r>
          </w:p>
        </w:tc>
        <w:tc>
          <w:tcPr>
            <w:tcW w:w="1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7"/>
        </w:trPr>
        <w:tc>
          <w:tcPr>
            <w:tcW w:w="228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100,416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36,925</w:t>
            </w:r>
          </w:p>
        </w:tc>
        <w:tc>
          <w:tcPr>
            <w:tcW w:w="1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8"/>
                <w:szCs w:val="18"/>
                <w:color w:val="auto"/>
              </w:rPr>
              <w:t>19 %</w:t>
            </w:r>
          </w:p>
        </w:tc>
        <w:tc>
          <w:tcPr>
            <w:tcW w:w="12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4"/>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39 %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Other income (expense),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8,478</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(9,883)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115"/>
              <w:spacing w:after="0"/>
              <w:rPr>
                <w:sz w:val="20"/>
                <w:szCs w:val="20"/>
                <w:color w:val="auto"/>
              </w:rPr>
            </w:pPr>
            <w:r>
              <w:rPr>
                <w:rFonts w:ascii="Arial" w:cs="Arial" w:eastAsia="Arial" w:hAnsi="Arial"/>
                <w:sz w:val="18"/>
                <w:szCs w:val="18"/>
                <w:color w:val="auto"/>
              </w:rPr>
              <w:t>(397)%</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Income before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82,315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17 %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26,481</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16,710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115"/>
              <w:spacing w:after="0"/>
              <w:rPr>
                <w:sz w:val="20"/>
                <w:szCs w:val="20"/>
                <w:color w:val="auto"/>
              </w:rPr>
            </w:pPr>
            <w:r>
              <w:rPr>
                <w:rFonts w:ascii="Arial" w:cs="Arial" w:eastAsia="Arial" w:hAnsi="Arial"/>
                <w:sz w:val="18"/>
                <w:szCs w:val="18"/>
                <w:color w:val="auto"/>
              </w:rPr>
              <w:t>27 %</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2"/>
        </w:trPr>
        <w:tc>
          <w:tcPr>
            <w:tcW w:w="22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55,834</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Arial" w:cs="Arial" w:eastAsia="Arial" w:hAnsi="Arial"/>
                <w:sz w:val="18"/>
                <w:szCs w:val="18"/>
                <w:color w:val="auto"/>
                <w:w w:val="92"/>
              </w:rPr>
              <w:t>Number of employees at fiscal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0"/>
              <w:spacing w:after="0"/>
              <w:rPr>
                <w:sz w:val="20"/>
                <w:szCs w:val="20"/>
                <w:color w:val="auto"/>
              </w:rPr>
            </w:pPr>
            <w:r>
              <w:rPr>
                <w:rFonts w:ascii="Arial" w:cs="Arial" w:eastAsia="Arial" w:hAnsi="Arial"/>
                <w:sz w:val="18"/>
                <w:szCs w:val="18"/>
                <w:color w:val="auto"/>
              </w:rPr>
              <w:t>year-end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440" w:type="dxa"/>
            <w:vAlign w:val="bottom"/>
          </w:tcPr>
          <w:p>
            <w:pPr>
              <w:jc w:val="right"/>
              <w:ind w:right="115"/>
              <w:spacing w:after="0"/>
              <w:rPr>
                <w:sz w:val="20"/>
                <w:szCs w:val="20"/>
                <w:color w:val="auto"/>
              </w:rPr>
            </w:pPr>
            <w:r>
              <w:rPr>
                <w:rFonts w:ascii="Arial" w:cs="Arial" w:eastAsia="Arial" w:hAnsi="Arial"/>
                <w:sz w:val="18"/>
                <w:szCs w:val="18"/>
                <w:color w:val="auto"/>
              </w:rPr>
              <w:t>1 %</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Percentage of Revenues</w:t>
      </w:r>
    </w:p>
    <w:p>
      <w:pPr>
        <w:jc w:val="center"/>
        <w:ind w:left="7020"/>
        <w:spacing w:after="0"/>
        <w:rPr>
          <w:sz w:val="20"/>
          <w:szCs w:val="20"/>
          <w:color w:val="auto"/>
        </w:rPr>
      </w:pPr>
      <w:r>
        <w:rPr>
          <w:rFonts w:ascii="Arial" w:cs="Arial" w:eastAsia="Arial" w:hAnsi="Arial"/>
          <w:sz w:val="14"/>
          <w:szCs w:val="14"/>
          <w:b w:val="1"/>
          <w:bCs w:val="1"/>
          <w:color w:val="auto"/>
        </w:rPr>
        <w:t>Year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4"/>
        </w:trPr>
        <w:tc>
          <w:tcPr>
            <w:tcW w:w="7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4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4"/>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4"/>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900" w:type="dxa"/>
            <w:vAlign w:val="bottom"/>
            <w:gridSpan w:val="2"/>
          </w:tcPr>
          <w:p>
            <w:pPr>
              <w:ind w:left="320"/>
              <w:spacing w:after="0"/>
              <w:rPr>
                <w:sz w:val="20"/>
                <w:szCs w:val="20"/>
                <w:color w:val="auto"/>
              </w:rPr>
            </w:pPr>
            <w:r>
              <w:rPr>
                <w:rFonts w:ascii="Arial" w:cs="Arial" w:eastAsia="Arial" w:hAnsi="Arial"/>
                <w:sz w:val="18"/>
                <w:szCs w:val="18"/>
                <w:color w:val="auto"/>
              </w:rPr>
              <w:t>Restructuring charges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4"/>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Gains on product line asset sales and business divestiture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708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62 %</w:t>
            </w:r>
          </w:p>
        </w:tc>
      </w:tr>
      <w:tr>
        <w:trPr>
          <w:trHeight w:val="217"/>
        </w:trPr>
        <w:tc>
          <w:tcPr>
            <w:tcW w:w="7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3"/>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7"/>
        </w:trPr>
        <w:tc>
          <w:tcPr>
            <w:tcW w:w="7080" w:type="dxa"/>
            <w:vAlign w:val="bottom"/>
          </w:tcPr>
          <w:p>
            <w:pPr>
              <w:ind w:left="20"/>
              <w:spacing w:after="0" w:line="203" w:lineRule="exact"/>
              <w:rPr>
                <w:sz w:val="20"/>
                <w:szCs w:val="20"/>
                <w:color w:val="auto"/>
              </w:rPr>
            </w:pPr>
            <w:r>
              <w:rPr>
                <w:rFonts w:ascii="Arial" w:cs="Arial" w:eastAsia="Arial" w:hAnsi="Arial"/>
                <w:sz w:val="18"/>
                <w:szCs w:val="18"/>
                <w:color w:val="auto"/>
              </w:rPr>
              <w:t>Income before income taxes</w:t>
            </w: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2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17"/>
        </w:trPr>
        <w:tc>
          <w:tcPr>
            <w:tcW w:w="7080" w:type="dxa"/>
            <w:vAlign w:val="bottom"/>
          </w:tcPr>
          <w:p>
            <w:pPr>
              <w:ind w:left="20"/>
              <w:spacing w:after="0" w:line="203" w:lineRule="exact"/>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7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spacing w:after="0" w:line="102"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The fiscal 2023 over 2022 increase in cost of revenues of $8.9 million was primarily attributable to a $23.4 million increase in personnel and labor costs, partially offset by a $12.9 million decrease in infrastructure and facilities costs, and a $3.9 million decrease in direct materials costs. The increase in personnel and labor costs was primarily attributable to increases in employee time allocated to cost of revenues, increased stock-based compensation expense, increased incentive expense and increased headcount. The decrease in infrastructure and facilities costs was primarily attributable to a one-time reimbursement from a third-party data center provider for implementation costs previously incurred. The decrease in direct materials costs was primarily attributable to a decrease in credit bureau data costs associated with decreased business-to-consumer scoring solutions revenue through the myFICO.com website. Cost of revenues as a percentage of revenues decreased to 21% during fiscal 2023 from 22% during fiscal 2022, primarily due to increased sales of our higher margin Scores products and the one-time reimbursement from a third-party data center provider for implementation costs previously incurred.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12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The fiscal 2023 over 2022 increase in research and development expenses of $13.2 million was primarily attributable to a $10.7 million increase in personnel and labor costs as a result of increases in time allocated to research and development activities, and a $1.4 million increase in infrastructure and facilities costs primarily attributable to increased third-party data center hosting fees and SaaS costs. Research and development expenses as a percentage of revenues remained consistent at 11% during fiscal 2023 and 2022.</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The fiscal 2023 over 2022 increase in selling, general and administrative expenses of $16.7 million was primarily attributable to a $10.9 million increase in personnel and labor costs, a $5.2 million increase in marketing and business development costs, a $3.3 million increase in travel costs, and a $2.2 million increase in outside services expenses, partially offset by a $4.9 million decrease in infrastructure and facilities costs. The increase in personnel and labor costs was primarily a result of increased fringe benefit costs related to our supplemental retirement and savings plan. The increases in marketing, business development and travel costs were primarily attributable to increased costs for a company-wide marketing event held during both fiscal 2023 and 2022, with higher costs incurred for the fiscal 2023 event due to the increased scope of the event. In addition, as COVID-19 related restrictions have been relaxed, we held more corporate events, increased advertising and promotional expenses and increased travel costs. The increase in outside services expenses was primarily attributable to increased legal expenses. The decrease in infrastructure and facilities costs was primarily attributable to a decrease in software royalty fees and maintenance allocated to selling, general and administrative expenses, and a favorable adjustment from the termination of an office lease related to our consolidation of office space. Selling, general and administrative expenses as a percentage of revenues decreased to 26% during fiscal 2023 from 28% during fiscal 2022.</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periods ranging from five to ten years.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Amortization expense was $1.1 million and $2.1 million for fiscal 2023 and 2022, respectively.</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restructuring charges incurred during fiscal 2023 and 2022.</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on Product Line Asset Sales and Business Divestiture</w:t>
      </w:r>
    </w:p>
    <w:p>
      <w:pPr>
        <w:spacing w:after="0" w:line="109"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$1.9 million gain on product line asset sale during fiscal 2023 was attributable to the sale of certain assets related to our Siron compliance business in December 2022.</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Interest expense includes interest on the senior notes issued in December 2021, December 2019, and May 2018, as well as interest and credit agreement fees on the revolving line of credit and term loan. On our consolidated statements of income and comprehensive income, interest expense is netted with interest income, which is derived primarily from the investment of funds in excess of our immediate operating requirements.</w:t>
      </w:r>
    </w:p>
    <w:p>
      <w:pPr>
        <w:spacing w:after="0" w:line="10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fiscal 2023 from 2022 increase in net interest expense of $26.6 million was primarily attributable to a higher average outstanding debt balance, as well as a higher average interest rate on our revolving line of credit and term loan during fiscal 2023.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Other income (expense),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spacing w:after="0" w:line="138"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fiscal 2023 over 2022 change in other income (expense), net of $8.5 million, from $2.1 million in other expense, net to $6.3 million in other income, net, was primarily attributable to net unrealized gains on investments classified as trading securities in our supplemental retirement and savings plan in the current year compared to losses in the prior year, partially offset by an increase in foreign currency exchange losses.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effective tax rates were 22.4%, 20.7% and 17.1% in fiscal 2023, 2022 and 2021, respectively.</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increase in our effective tax rate in fiscal 2023 compared to fiscal 2022 was due to the increase in pretax income overall, in addition to a one-time increase related to the divestiture of a non-U.S. subsidiary.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set forth certain summary information on a segment basis related to our operating income for fiscal 2023,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9"/>
            <w:vMerge w:val="restart"/>
          </w:tcPr>
          <w:p>
            <w:pPr>
              <w:jc w:val="center"/>
              <w:ind w:right="40"/>
              <w:spacing w:after="0"/>
              <w:rPr>
                <w:sz w:val="20"/>
                <w:szCs w:val="20"/>
                <w:color w:val="auto"/>
              </w:rPr>
            </w:pPr>
            <w:r>
              <w:rPr>
                <w:rFonts w:ascii="Arial" w:cs="Arial" w:eastAsia="Arial" w:hAnsi="Arial"/>
                <w:sz w:val="14"/>
                <w:szCs w:val="14"/>
                <w:b w:val="1"/>
                <w:bCs w:val="1"/>
                <w:color w:val="auto"/>
                <w:w w:val="89"/>
              </w:rPr>
              <w:t>Year Ended September 30,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2580" w:type="dxa"/>
            <w:vAlign w:val="bottom"/>
            <w:gridSpan w:val="5"/>
          </w:tcPr>
          <w:p>
            <w:pPr>
              <w:jc w:val="right"/>
              <w:ind w:right="695"/>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9"/>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bottom w:val="single" w:sz="8" w:color="auto"/>
            </w:tcBorders>
            <w:gridSpan w:val="5"/>
          </w:tcPr>
          <w:p>
            <w:pPr>
              <w:jc w:val="right"/>
              <w:ind w:right="635"/>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2"/>
                <w:szCs w:val="12"/>
                <w:color w:val="auto"/>
              </w:rPr>
            </w:pPr>
          </w:p>
        </w:tc>
        <w:tc>
          <w:tcPr>
            <w:tcW w:w="760" w:type="dxa"/>
            <w:vAlign w:val="bottom"/>
          </w:tcPr>
          <w:p>
            <w:pPr>
              <w:jc w:val="right"/>
              <w:ind w:right="234"/>
              <w:spacing w:after="0" w:line="14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left="58"/>
              <w:spacing w:after="0" w:line="145" w:lineRule="exact"/>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2023 to 2022</w:t>
            </w:r>
          </w:p>
        </w:tc>
        <w:tc>
          <w:tcPr>
            <w:tcW w:w="260" w:type="dxa"/>
            <w:vAlign w:val="bottom"/>
          </w:tcPr>
          <w:p>
            <w:pPr>
              <w:spacing w:after="0"/>
              <w:rPr>
                <w:sz w:val="12"/>
                <w:szCs w:val="12"/>
                <w:color w:val="auto"/>
              </w:rPr>
            </w:pPr>
          </w:p>
        </w:tc>
        <w:tc>
          <w:tcPr>
            <w:tcW w:w="9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2022 to 2021</w:t>
            </w:r>
          </w:p>
        </w:tc>
        <w:tc>
          <w:tcPr>
            <w:tcW w:w="100" w:type="dxa"/>
            <w:vAlign w:val="bottom"/>
          </w:tcPr>
          <w:p>
            <w:pPr>
              <w:spacing w:after="0"/>
              <w:rPr>
                <w:sz w:val="12"/>
                <w:szCs w:val="12"/>
                <w:color w:val="auto"/>
              </w:rPr>
            </w:pPr>
          </w:p>
        </w:tc>
        <w:tc>
          <w:tcPr>
            <w:tcW w:w="1340" w:type="dxa"/>
            <w:vAlign w:val="bottom"/>
            <w:gridSpan w:val="4"/>
          </w:tcPr>
          <w:p>
            <w:pPr>
              <w:ind w:left="240"/>
              <w:spacing w:after="0" w:line="145" w:lineRule="exact"/>
              <w:rPr>
                <w:sz w:val="20"/>
                <w:szCs w:val="20"/>
                <w:color w:val="auto"/>
              </w:rPr>
            </w:pPr>
            <w:r>
              <w:rPr>
                <w:rFonts w:ascii="Arial" w:cs="Arial" w:eastAsia="Arial" w:hAnsi="Arial"/>
                <w:sz w:val="14"/>
                <w:szCs w:val="14"/>
                <w:b w:val="1"/>
                <w:bCs w:val="1"/>
                <w:color w:val="auto"/>
              </w:rPr>
              <w:t>2023 to 2022</w:t>
            </w:r>
          </w:p>
        </w:tc>
        <w:tc>
          <w:tcPr>
            <w:tcW w:w="1240" w:type="dxa"/>
            <w:vAlign w:val="bottom"/>
          </w:tcPr>
          <w:p>
            <w:pPr>
              <w:jc w:val="right"/>
              <w:ind w:right="175"/>
              <w:spacing w:after="0" w:line="145" w:lineRule="exact"/>
              <w:rPr>
                <w:sz w:val="20"/>
                <w:szCs w:val="20"/>
                <w:color w:val="auto"/>
              </w:rPr>
            </w:pPr>
            <w:r>
              <w:rPr>
                <w:rFonts w:ascii="Arial" w:cs="Arial" w:eastAsia="Arial" w:hAnsi="Arial"/>
                <w:sz w:val="14"/>
                <w:szCs w:val="14"/>
                <w:b w:val="1"/>
                <w:bCs w:val="1"/>
                <w:color w:val="auto"/>
              </w:rPr>
              <w:t>2022 to 2021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Scores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681,071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619,355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563,609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61,716</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241,191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183,122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58,069</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rPr>
              <w:t>Unallocated corporate</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(156,426)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(142,647)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(13,779)</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gridSpan w:val="2"/>
          </w:tcPr>
          <w:p>
            <w:pPr>
              <w:ind w:left="320"/>
              <w:spacing w:after="0" w:line="165" w:lineRule="exact"/>
              <w:rPr>
                <w:sz w:val="20"/>
                <w:szCs w:val="20"/>
                <w:color w:val="auto"/>
              </w:rPr>
            </w:pPr>
            <w:r>
              <w:rPr>
                <w:rFonts w:ascii="Arial" w:cs="Arial" w:eastAsia="Arial" w:hAnsi="Arial"/>
                <w:sz w:val="18"/>
                <w:szCs w:val="18"/>
                <w:color w:val="auto"/>
                <w:w w:val="97"/>
              </w:rPr>
              <w:t>Total segment operating</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765,836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659,830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529,019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106,006</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130,811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rPr>
              <w:t>Unallocated share-based</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(115,355)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(8,492)</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rPr>
              <w:t>Unallocated amortization</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spacing w:after="0" w:line="185" w:lineRule="exact"/>
              <w:rPr>
                <w:sz w:val="20"/>
                <w:szCs w:val="20"/>
                <w:color w:val="auto"/>
              </w:rPr>
            </w:pPr>
            <w:r>
              <w:rPr>
                <w:rFonts w:ascii="Arial" w:cs="Arial" w:eastAsia="Arial" w:hAnsi="Arial"/>
                <w:sz w:val="18"/>
                <w:szCs w:val="18"/>
                <w:color w:val="auto"/>
              </w:rPr>
              <w:t>Unallocated restructuring</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rPr>
              <w:t>Gains on product line asset</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sales and business divestiture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100,139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1,941</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(100,139)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gridSpan w:val="4"/>
          </w:tcPr>
          <w:p>
            <w:pPr>
              <w:jc w:val="right"/>
              <w:ind w:right="12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642,830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542,414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505,489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100,416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8"/>
                <w:szCs w:val="18"/>
                <w:b w:val="1"/>
                <w:bCs w:val="1"/>
                <w:i w:val="1"/>
                <w:iCs w:val="1"/>
                <w:color w:val="auto"/>
              </w:rPr>
              <w:t>Scores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jc w:val="center"/>
              <w:ind w:left="578"/>
              <w:spacing w:after="0"/>
              <w:rPr>
                <w:sz w:val="20"/>
                <w:szCs w:val="20"/>
                <w:color w:val="auto"/>
              </w:rPr>
            </w:pPr>
            <w:r>
              <w:rPr>
                <w:rFonts w:ascii="Arial" w:cs="Arial" w:eastAsia="Arial" w:hAnsi="Arial"/>
                <w:sz w:val="14"/>
                <w:szCs w:val="14"/>
                <w:b w:val="1"/>
                <w:bCs w:val="1"/>
                <w:color w:val="auto"/>
                <w:w w:val="90"/>
              </w:rPr>
              <w:t>Year Ended 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Percentage of Revenues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6"/>
              </w:rPr>
              <w:t>773,828</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706,643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654,147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4"/>
              </w:rPr>
              <w:t>Segment operating expenses</w:t>
            </w: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89"/>
              </w:rPr>
              <w:t>(92,757)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89"/>
              </w:rPr>
              <w:t>(87,288)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89"/>
              </w:rPr>
              <w:t>(90,538)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6"/>
              </w:rPr>
              <w:t>681,071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619,355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563,609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8"/>
                <w:szCs w:val="18"/>
                <w:b w:val="1"/>
                <w:bCs w:val="1"/>
                <w:i w:val="1"/>
                <w:iCs w:val="1"/>
                <w:color w:val="auto"/>
              </w:rPr>
              <w:t>Software</w:t>
            </w: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jc w:val="center"/>
              <w:ind w:left="578"/>
              <w:spacing w:after="0"/>
              <w:rPr>
                <w:sz w:val="20"/>
                <w:szCs w:val="20"/>
                <w:color w:val="auto"/>
              </w:rPr>
            </w:pPr>
            <w:r>
              <w:rPr>
                <w:rFonts w:ascii="Arial" w:cs="Arial" w:eastAsia="Arial" w:hAnsi="Arial"/>
                <w:sz w:val="14"/>
                <w:szCs w:val="14"/>
                <w:b w:val="1"/>
                <w:bCs w:val="1"/>
                <w:color w:val="auto"/>
                <w:w w:val="90"/>
              </w:rPr>
              <w:t>Year Ended 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6"/>
              </w:rPr>
              <w:t>Percentage of Revenues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6"/>
              </w:rPr>
              <w:t>739,729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670,627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662,389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4"/>
              </w:rPr>
              <w:t>Segment operating expenses</w:t>
            </w: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(498,538)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(487,505)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(555,288)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86"/>
              </w:rPr>
              <w:t>241,191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183,122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107,101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fiscal 2023 over 2022 increase in operating income of $100.4 million was primarily attributable to a $136.3 million increase in segment revenues, partially offset by a $16.5 million increase in segment operating expenses, a $13.8 million increase in corporate expenses, and an $8.5 million increase in share-based compensation cost.</w:t>
      </w:r>
    </w:p>
    <w:p>
      <w:pPr>
        <w:spacing w:after="0" w:line="13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At the segment level, the $106.0 million increase in segment operating income was the result of a $61.7 million increase in our Scores segment operating income and a $58.1 million increase in our Software segment operating income, partially offset by a $13.8 million increase in corporate expenses.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$61.7 million increase in our Scores segment operating income was attributable to a $67.2 million increase in segment revenue, partially offset by a $5.5 million increase in segment operating expenses. Segment operating income as a percentage of segment revenue for Scores was 88%, consistent with fiscal 2022.</w:t>
      </w:r>
    </w:p>
    <w:p>
      <w:pPr>
        <w:spacing w:after="0" w:line="138"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$58.1 million increase in our Software segment operating income was attributable to a $69.1 million increase in segment revenue, partially offset by a $11.0 million increase in segment operating expenses. Segment operating income as a percentage of segment revenue for Software increased to 33% from 27%, primarily attributable to an increase in software revenue recognized over the contract term due to SaaS growth, a one-time reimbursement from a third-party data center provider for implementation costs previously incurred, and a decrease in sales of our lower-margin professional services.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1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As of September 30, 2023, we had $136.8 million in cash and cash equivalents, which included $110.4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our term loan due over the next 12 months. Under our current financing arrangements, we have no other significant debt obligations maturing over the next twelve months. For jurisdictions outside the U.S. where cash may be repatriated in the future, the Company expects the net impact of any repatriations to be immaterial to the Company’s overall tax liability.</w:t>
      </w:r>
    </w:p>
    <w:p>
      <w:pPr>
        <w:spacing w:after="0" w:line="16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Year Ended September 30,</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5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57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90"/>
        </w:trPr>
        <w:tc>
          <w:tcPr>
            <w:tcW w:w="5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1"/>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3"/>
        </w:trPr>
        <w:tc>
          <w:tcPr>
            <w:tcW w:w="57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58"/>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468,915</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509,450</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423,817</w:t>
            </w:r>
          </w:p>
        </w:tc>
      </w:tr>
      <w:tr>
        <w:trPr>
          <w:trHeight w:val="224"/>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137,850</w:t>
            </w:r>
          </w:p>
        </w:tc>
      </w:tr>
      <w:tr>
        <w:trPr>
          <w:trHeight w:val="223"/>
        </w:trPr>
        <w:tc>
          <w:tcPr>
            <w:tcW w:w="57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(455,001)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(547,165)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(523,571)</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7"/>
        </w:trPr>
        <w:tc>
          <w:tcPr>
            <w:tcW w:w="5720" w:type="dxa"/>
            <w:vAlign w:val="bottom"/>
          </w:tcPr>
          <w:p>
            <w:pPr>
              <w:ind w:left="20"/>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1040" w:type="dxa"/>
            <w:vAlign w:val="bottom"/>
            <w:tcBorders>
              <w:bottom w:val="single" w:sz="8" w:color="auto"/>
            </w:tcBorders>
          </w:tcPr>
          <w:p>
            <w:pPr>
              <w:jc w:val="right"/>
              <w:ind w:right="85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37,960</w:t>
            </w:r>
          </w:p>
        </w:tc>
      </w:tr>
      <w:tr>
        <w:trPr>
          <w:trHeight w:val="20"/>
        </w:trPr>
        <w:tc>
          <w:tcPr>
            <w:tcW w:w="5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totaled $468.9 million in fiscal 2023 compared to $509.5 million in fiscal 2022. The $40.6 million decrease was attributable to a $68.9 million decrease in non-cash items and a $27.5 million decrease that resulted from timing of receipts and payments in our ordinary course of business, partially offset by a $55.8 million increase in net income.</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Net cash used in investing activities totaled $16.0 million in fiscal 2023 compared to $5.7 million in fiscal 2022. The $10.3 million increase was primarily attributable to an $8.4 million decrease in cash proceeds from the product line asset sales, net of cash transferred and a $3.0 million decrease in proceeds from sale of marketable securities.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Net cash used in financing activities totaled $455.0 million in fiscal 2023 compared to $547.2 million in fiscal 2022. The $92.2 million decrease was primarily attributable to a $698.7 million decrease in repurchases of common stock and an $8.8 million decrease in payments on debt issuance costs, partially offset by a $550.0 million decrease in proceeds from the issuance of senior notes, a $45.8 million decrease in proceeds, net of payments, on our revolving line of credit and term loan, and a $25.7 million increase in taxes paid related to net share settlement of equity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15"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In October 2022, our Board of Directors approved a stock repurchase program replacing our previously authorized program. This program is open-ended and authorizes repurchases of shares of our common stock up to an aggregate cost of $500.0 million in the open market or in negotiated transactions. As of September 30, 2023, we had $120.5 million remaining under our current stock repurchase program. During fiscal 2023 and 2022, we expended $407.3 million and $1.1 billion, respectively, under our current and previously authorized stock repurchase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 and Term Loan</w:t>
      </w:r>
    </w:p>
    <w:p>
      <w:pPr>
        <w:spacing w:after="0" w:line="11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spacing w:after="0" w:line="11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As of September 30, 2023, we had $300.0 million in borrowings outstanding under the revolving line of credit at a weighted-average interest rate of 6.678%, of which $35.0 million was classified as a current liability and $265.0 million was classified as a long-term liability. In addition, as of September 30, 2023, we had $273.8 million in outstanding balance under the term loan at an interest rate of 6.752%, of which $15.0 million was classified as a current liability and $258.8 million was classified as a long-term liability. The current and long-term revolving line of credit and term loan liabilities were recorded in current maturities on debt and long-term debt, respectively, within the accompanying consolidated balance sheets. We were in compliance with all financial covenants under this credit agreement as of September 30,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September 30, 2023, the carrying value of the Senior Notes was $1.3 billion and we were in compliance with all financial covenants under these obligations.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a summary of our contractual obligations at September 30, 2023:</w:t>
      </w:r>
    </w:p>
    <w:p>
      <w:pPr>
        <w:spacing w:after="0" w:line="99"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29210</wp:posOffset>
            </wp:positionV>
            <wp:extent cx="41363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36390" cy="8255"/>
                    </a:xfrm>
                    <a:prstGeom prst="rect">
                      <a:avLst/>
                    </a:prstGeom>
                    <a:noFill/>
                  </pic:spPr>
                </pic:pic>
              </a:graphicData>
            </a:graphic>
          </wp:anchor>
        </w:drawing>
      </w:r>
    </w:p>
    <w:p>
      <w:pPr>
        <w:spacing w:after="0" w:line="30" w:lineRule="exact"/>
        <w:rPr>
          <w:sz w:val="20"/>
          <w:szCs w:val="20"/>
          <w:color w:val="auto"/>
        </w:rPr>
      </w:pPr>
    </w:p>
    <w:p>
      <w:pPr>
        <w:jc w:val="both"/>
        <w:ind w:left="2520"/>
        <w:spacing w:after="0"/>
        <w:tabs>
          <w:tab w:leader="none" w:pos="3800" w:val="left"/>
          <w:tab w:leader="none" w:pos="5120" w:val="left"/>
          <w:tab w:leader="none" w:pos="6460" w:val="left"/>
          <w:tab w:leader="none" w:pos="7780" w:val="left"/>
          <w:tab w:leader="none" w:pos="8940" w:val="left"/>
          <w:tab w:leader="none" w:pos="104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2027</w:t>
      </w:r>
      <w:r>
        <w:rPr>
          <w:sz w:val="20"/>
          <w:szCs w:val="20"/>
          <w:color w:val="auto"/>
        </w:rPr>
        <w:tab/>
      </w:r>
      <w:r>
        <w:rPr>
          <w:rFonts w:ascii="Arial" w:cs="Arial" w:eastAsia="Arial" w:hAnsi="Arial"/>
          <w:sz w:val="14"/>
          <w:szCs w:val="14"/>
          <w:b w:val="1"/>
          <w:bCs w:val="1"/>
          <w:color w:val="auto"/>
        </w:rPr>
        <w:t>2028</w:t>
      </w:r>
      <w:r>
        <w:rPr>
          <w:sz w:val="20"/>
          <w:szCs w:val="20"/>
          <w:color w:val="auto"/>
        </w:rPr>
        <w:tab/>
      </w:r>
      <w:r>
        <w:rPr>
          <w:rFonts w:ascii="Arial" w:cs="Arial" w:eastAsia="Arial" w:hAnsi="Arial"/>
          <w:sz w:val="14"/>
          <w:szCs w:val="14"/>
          <w:b w:val="1"/>
          <w:bCs w:val="1"/>
          <w:color w:val="auto"/>
        </w:rPr>
        <w:t>Thereafter</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29210</wp:posOffset>
            </wp:positionV>
            <wp:extent cx="58242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422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127"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020" w:type="dxa"/>
            <w:vAlign w:val="bottom"/>
          </w:tcPr>
          <w:p>
            <w:pPr>
              <w:spacing w:after="0"/>
              <w:rPr>
                <w:sz w:val="20"/>
                <w:szCs w:val="20"/>
                <w:color w:val="auto"/>
              </w:rPr>
            </w:pPr>
            <w:r>
              <w:rPr>
                <w:rFonts w:ascii="Arial" w:cs="Arial" w:eastAsia="Arial" w:hAnsi="Arial"/>
                <w:sz w:val="18"/>
                <w:szCs w:val="18"/>
                <w:color w:val="auto"/>
              </w:rPr>
              <w:t xml:space="preserve">Senior Notes </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170"/>
        </w:trPr>
        <w:tc>
          <w:tcPr>
            <w:tcW w:w="2020" w:type="dxa"/>
            <w:vAlign w:val="bottom"/>
          </w:tcPr>
          <w:p>
            <w:pPr>
              <w:spacing w:after="0" w:line="170" w:lineRule="exact"/>
              <w:rPr>
                <w:sz w:val="20"/>
                <w:szCs w:val="20"/>
                <w:color w:val="auto"/>
              </w:rPr>
            </w:pPr>
            <w:r>
              <w:rPr>
                <w:rFonts w:ascii="Arial" w:cs="Arial" w:eastAsia="Arial" w:hAnsi="Arial"/>
                <w:sz w:val="18"/>
                <w:szCs w:val="18"/>
                <w:color w:val="auto"/>
                <w:w w:val="92"/>
              </w:rPr>
              <w:t>Revolving line of credit and</w:t>
            </w:r>
          </w:p>
        </w:tc>
        <w:tc>
          <w:tcPr>
            <w:tcW w:w="120" w:type="dxa"/>
            <w:vAlign w:val="bottom"/>
          </w:tcPr>
          <w:p>
            <w:pPr>
              <w:spacing w:after="0"/>
              <w:rPr>
                <w:sz w:val="14"/>
                <w:szCs w:val="14"/>
                <w:color w:val="auto"/>
              </w:rPr>
            </w:pPr>
          </w:p>
        </w:tc>
      </w:tr>
      <w:tr>
        <w:trPr>
          <w:trHeight w:val="238"/>
        </w:trPr>
        <w:tc>
          <w:tcPr>
            <w:tcW w:w="2020" w:type="dxa"/>
            <w:vAlign w:val="bottom"/>
          </w:tcPr>
          <w:p>
            <w:pPr>
              <w:spacing w:after="0" w:line="238"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2"/>
                <w:szCs w:val="22"/>
                <w:color w:val="auto"/>
                <w:vertAlign w:val="superscript"/>
              </w:rPr>
              <w:t>(1)</w:t>
            </w:r>
          </w:p>
        </w:tc>
        <w:tc>
          <w:tcPr>
            <w:tcW w:w="120" w:type="dxa"/>
            <w:vAlign w:val="bottom"/>
          </w:tcPr>
          <w:p>
            <w:pPr>
              <w:spacing w:after="0"/>
              <w:rPr>
                <w:sz w:val="20"/>
                <w:szCs w:val="20"/>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w w:val="87"/>
              </w:rPr>
              <w:t>Interest due on Senior Notes</w:t>
            </w:r>
          </w:p>
        </w:tc>
        <w:tc>
          <w:tcPr>
            <w:tcW w:w="120" w:type="dxa"/>
            <w:vAlign w:val="bottom"/>
          </w:tcPr>
          <w:p>
            <w:pPr>
              <w:spacing w:after="0"/>
              <w:rPr>
                <w:sz w:val="19"/>
                <w:szCs w:val="19"/>
                <w:color w:val="auto"/>
              </w:rPr>
            </w:pP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w w:val="91"/>
              </w:rPr>
              <w:t>Operating lease obligations</w:t>
            </w:r>
          </w:p>
        </w:tc>
        <w:tc>
          <w:tcPr>
            <w:tcW w:w="120" w:type="dxa"/>
            <w:vAlign w:val="bottom"/>
          </w:tcPr>
          <w:p>
            <w:pPr>
              <w:spacing w:after="0"/>
              <w:rPr>
                <w:sz w:val="19"/>
                <w:szCs w:val="19"/>
                <w:color w:val="auto"/>
              </w:rPr>
            </w:pPr>
          </w:p>
        </w:tc>
      </w:tr>
      <w:tr>
        <w:trPr>
          <w:trHeight w:val="172"/>
        </w:trPr>
        <w:tc>
          <w:tcPr>
            <w:tcW w:w="2020" w:type="dxa"/>
            <w:vAlign w:val="bottom"/>
          </w:tcPr>
          <w:p>
            <w:pPr>
              <w:spacing w:after="0" w:line="172" w:lineRule="exact"/>
              <w:rPr>
                <w:sz w:val="20"/>
                <w:szCs w:val="20"/>
                <w:color w:val="auto"/>
              </w:rPr>
            </w:pPr>
            <w:r>
              <w:rPr>
                <w:rFonts w:ascii="Arial" w:cs="Arial" w:eastAsia="Arial" w:hAnsi="Arial"/>
                <w:sz w:val="18"/>
                <w:szCs w:val="18"/>
                <w:color w:val="auto"/>
                <w:w w:val="96"/>
              </w:rPr>
              <w:t>Unrecognized tax benefits</w:t>
            </w:r>
          </w:p>
        </w:tc>
        <w:tc>
          <w:tcPr>
            <w:tcW w:w="120" w:type="dxa"/>
            <w:vAlign w:val="bottom"/>
          </w:tcPr>
          <w:p>
            <w:pPr>
              <w:spacing w:after="0"/>
              <w:rPr>
                <w:sz w:val="14"/>
                <w:szCs w:val="14"/>
                <w:color w:val="auto"/>
              </w:rPr>
            </w:pPr>
          </w:p>
        </w:tc>
      </w:tr>
      <w:tr>
        <w:trPr>
          <w:trHeight w:val="146"/>
        </w:trPr>
        <w:tc>
          <w:tcPr>
            <w:tcW w:w="2020" w:type="dxa"/>
            <w:vAlign w:val="bottom"/>
          </w:tcPr>
          <w:p>
            <w:pPr>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r>
      <w:tr>
        <w:trPr>
          <w:trHeight w:val="262"/>
        </w:trPr>
        <w:tc>
          <w:tcPr>
            <w:tcW w:w="2020" w:type="dxa"/>
            <w:vAlign w:val="bottom"/>
          </w:tcPr>
          <w:p>
            <w:pPr>
              <w:spacing w:after="0"/>
              <w:rPr>
                <w:sz w:val="20"/>
                <w:szCs w:val="20"/>
                <w:color w:val="auto"/>
              </w:rPr>
            </w:pPr>
            <w:r>
              <w:rPr>
                <w:rFonts w:ascii="Arial" w:cs="Arial" w:eastAsia="Arial" w:hAnsi="Arial"/>
                <w:sz w:val="18"/>
                <w:szCs w:val="18"/>
                <w:color w:val="auto"/>
              </w:rPr>
              <w:t>Total commitments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454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1,300,000</w:t>
            </w:r>
          </w:p>
        </w:tc>
      </w:tr>
      <w:tr>
        <w:trPr>
          <w:trHeight w:val="408"/>
        </w:trPr>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15,000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543,750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573,750</w:t>
            </w:r>
          </w:p>
        </w:tc>
      </w:tr>
      <w:tr>
        <w:trPr>
          <w:trHeight w:val="224"/>
        </w:trPr>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57,000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243,000</w:t>
            </w:r>
          </w:p>
        </w:tc>
      </w:tr>
      <w:tr>
        <w:trPr>
          <w:trHeight w:val="224"/>
        </w:trPr>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17,731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42,881</w:t>
            </w:r>
          </w:p>
        </w:tc>
      </w:tr>
      <w:tr>
        <w:trPr>
          <w:trHeight w:val="342"/>
        </w:trPr>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13,849</w:t>
            </w:r>
          </w:p>
        </w:tc>
      </w:tr>
      <w:tr>
        <w:trPr>
          <w:trHeight w:val="217"/>
        </w:trPr>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89,731</w:t>
            </w: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83,872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1,009,651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936,268</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2,173,480</w:t>
            </w:r>
          </w:p>
        </w:tc>
      </w:tr>
      <w:tr>
        <w:trPr>
          <w:trHeight w:val="20"/>
        </w:trPr>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-1085850</wp:posOffset>
            </wp:positionV>
            <wp:extent cx="7118985" cy="14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-684530</wp:posOffset>
            </wp:positionV>
            <wp:extent cx="7118985" cy="14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-400685</wp:posOffset>
            </wp:positionV>
            <wp:extent cx="7118985" cy="401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8985" cy="401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40"/>
            <w:col w:w="8540"/>
          </w:cols>
          <w:pgMar w:left="320" w:top="127" w:right="339" w:bottom="1440" w:gutter="0" w:footer="0" w:header="0"/>
          <w:type w:val="continuous"/>
        </w:sectPr>
      </w:pPr>
    </w:p>
    <w:p>
      <w:pPr>
        <w:spacing w:after="0" w:line="103"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unpaid principal payments due under the Senior Notes, revolving line of credit, and term loan.</w:t>
      </w:r>
    </w:p>
    <w:p>
      <w:pPr>
        <w:spacing w:after="0" w:line="56" w:lineRule="exact"/>
        <w:rPr>
          <w:rFonts w:ascii="Arial" w:cs="Arial" w:eastAsia="Arial" w:hAnsi="Arial"/>
          <w:sz w:val="18"/>
          <w:szCs w:val="18"/>
          <w:color w:val="auto"/>
        </w:rPr>
      </w:pPr>
    </w:p>
    <w:p>
      <w:pPr>
        <w:jc w:val="both"/>
        <w:ind w:left="320" w:hanging="315"/>
        <w:spacing w:after="0" w:line="252" w:lineRule="auto"/>
        <w:tabs>
          <w:tab w:leader="none" w:pos="3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unrecognized tax benefits related to uncertain tax positions. As we are not able to reasonably estimate the timing of the payments or the amount by which the liability will increase or decrease over time, the related balances have not been reflected in the section of the table showing payment by fiscal year.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prepare our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spacing w:after="0" w:line="121"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While our significant accounting policies are more fully described in Note 1 to our consolidated financial statements included elsewhere in this report, we believe the following discussion addresses our most critical accounting estimates, which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11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1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43"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5"/>
          <w:szCs w:val="15"/>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0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43"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w:t>
      </w:r>
    </w:p>
    <w:p>
      <w:pPr>
        <w:spacing w:after="0" w:line="108"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Long-Lived Assets - Impairment Assessment</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3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spacing w:after="0" w:line="11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For fiscal 2022 and 2023, we performed a step zero qualitative analysis for our annual assessment of goodwill impairment. After evaluating and weighing all relevant events and circumstances, we concluded that it is not more likely than not that the fair value of either of our reporting units was less than their carrying amounts. Consequently, we did not perform a step one quantitative analysis and determined goodwill was not impaired for either of our reporting units for fiscal 2022 and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Our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projected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other long-lived assets could occur. We did not recognize any impairment charges on other long-lived assets in fiscal 2023 and 2022.</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and other long-lived assets. Historically, there have been no significant changes in our estimates or assumptions that would have had a material impact for our goodwill or other long-lived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5"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measure share-based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a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 See Note 15 to the accompanying consolidated financial statements for further discussion of our share-based employee benefit plans.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17"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5" w:lineRule="exact"/>
        <w:rPr>
          <w:sz w:val="20"/>
          <w:szCs w:val="20"/>
          <w:color w:val="auto"/>
        </w:rPr>
      </w:pPr>
    </w:p>
    <w:p>
      <w:pPr>
        <w:jc w:val="both"/>
        <w:ind w:firstLine="316"/>
        <w:spacing w:after="0" w:line="252" w:lineRule="auto"/>
        <w:rPr>
          <w:sz w:val="20"/>
          <w:szCs w:val="20"/>
          <w:color w:val="auto"/>
        </w:rPr>
      </w:pPr>
      <w:r>
        <w:rPr>
          <w:rFonts w:ascii="Arial" w:cs="Arial" w:eastAsia="Arial" w:hAnsi="Arial"/>
          <w:sz w:val="18"/>
          <w:szCs w:val="18"/>
          <w:color w:val="auto"/>
        </w:rPr>
        <w:t xml:space="preserve">For information about recent accounting pronouncements not yet adopted and the impact on our consolidated financial statements, refer to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Note 1,</w:t>
      </w:r>
      <w:r>
        <w:rPr>
          <w:rFonts w:ascii="Arial" w:cs="Arial" w:eastAsia="Arial" w:hAnsi="Arial"/>
          <w:sz w:val="18"/>
          <w:szCs w:val="18"/>
          <w:i w:val="1"/>
          <w:iCs w:val="1"/>
          <w:color w:val="auto"/>
        </w:rPr>
        <w:t xml:space="preserve"> Nature of Business and Summary of Significant Accounting Policies, </w:t>
      </w:r>
      <w:r>
        <w:rPr>
          <w:rFonts w:ascii="Arial" w:cs="Arial" w:eastAsia="Arial" w:hAnsi="Arial"/>
          <w:sz w:val="18"/>
          <w:szCs w:val="18"/>
          <w:color w:val="auto"/>
        </w:rPr>
        <w:t>in our accompanying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September 30,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25"/>
              <w:spacing w:after="0"/>
              <w:rPr>
                <w:sz w:val="20"/>
                <w:szCs w:val="20"/>
                <w:color w:val="auto"/>
              </w:rPr>
            </w:pPr>
            <w:r>
              <w:rPr>
                <w:rFonts w:ascii="Arial" w:cs="Arial" w:eastAsia="Arial" w:hAnsi="Arial"/>
                <w:sz w:val="14"/>
                <w:szCs w:val="14"/>
                <w:b w:val="1"/>
                <w:bCs w:val="1"/>
                <w:color w:val="auto"/>
                <w:w w:val="90"/>
              </w:rPr>
              <w:t>September 30, 2023</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225"/>
              <w:spacing w:after="0"/>
              <w:rPr>
                <w:sz w:val="20"/>
                <w:szCs w:val="20"/>
                <w:color w:val="auto"/>
              </w:rPr>
            </w:pPr>
            <w:r>
              <w:rPr>
                <w:rFonts w:ascii="Arial" w:cs="Arial" w:eastAsia="Arial" w:hAnsi="Arial"/>
                <w:sz w:val="14"/>
                <w:szCs w:val="14"/>
                <w:b w:val="1"/>
                <w:bCs w:val="1"/>
                <w:color w:val="auto"/>
                <w:w w:val="90"/>
              </w:rPr>
              <w:t>September 30, 2022</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321"/>
              <w:spacing w:after="0"/>
              <w:rPr>
                <w:sz w:val="20"/>
                <w:szCs w:val="20"/>
                <w:color w:val="auto"/>
              </w:rPr>
            </w:pPr>
            <w:r>
              <w:rPr>
                <w:rFonts w:ascii="Arial" w:cs="Arial" w:eastAsia="Arial" w:hAnsi="Arial"/>
                <w:sz w:val="14"/>
                <w:szCs w:val="14"/>
                <w:b w:val="1"/>
                <w:bCs w:val="1"/>
                <w:color w:val="auto"/>
                <w:w w:val="99"/>
              </w:rPr>
              <w:t>Cost Basis</w:t>
            </w: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325"/>
              <w:spacing w:after="0" w:line="129" w:lineRule="exact"/>
              <w:rPr>
                <w:sz w:val="20"/>
                <w:szCs w:val="20"/>
                <w:color w:val="auto"/>
              </w:rPr>
            </w:pPr>
            <w:r>
              <w:rPr>
                <w:rFonts w:ascii="Arial" w:cs="Arial" w:eastAsia="Arial" w:hAnsi="Arial"/>
                <w:sz w:val="14"/>
                <w:szCs w:val="14"/>
                <w:b w:val="1"/>
                <w:bCs w:val="1"/>
                <w:color w:val="auto"/>
                <w:w w:val="93"/>
              </w:rPr>
              <w:t>Carrying</w:t>
            </w:r>
          </w:p>
        </w:tc>
        <w:tc>
          <w:tcPr>
            <w:tcW w:w="1280" w:type="dxa"/>
            <w:vAlign w:val="bottom"/>
            <w:tcBorders>
              <w:top w:val="single" w:sz="8" w:color="auto"/>
            </w:tcBorders>
          </w:tcPr>
          <w:p>
            <w:pPr>
              <w:jc w:val="center"/>
              <w:ind w:right="105"/>
              <w:spacing w:after="0" w:line="12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321"/>
              <w:spacing w:after="0"/>
              <w:rPr>
                <w:sz w:val="20"/>
                <w:szCs w:val="20"/>
                <w:color w:val="auto"/>
              </w:rPr>
            </w:pPr>
            <w:r>
              <w:rPr>
                <w:rFonts w:ascii="Arial" w:cs="Arial" w:eastAsia="Arial" w:hAnsi="Arial"/>
                <w:sz w:val="14"/>
                <w:szCs w:val="14"/>
                <w:b w:val="1"/>
                <w:bCs w:val="1"/>
                <w:color w:val="auto"/>
                <w:w w:val="99"/>
              </w:rPr>
              <w:t>Cost Basis</w:t>
            </w: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325"/>
              <w:spacing w:after="0" w:line="129" w:lineRule="exact"/>
              <w:rPr>
                <w:sz w:val="20"/>
                <w:szCs w:val="20"/>
                <w:color w:val="auto"/>
              </w:rPr>
            </w:pPr>
            <w:r>
              <w:rPr>
                <w:rFonts w:ascii="Arial" w:cs="Arial" w:eastAsia="Arial" w:hAnsi="Arial"/>
                <w:sz w:val="14"/>
                <w:szCs w:val="14"/>
                <w:b w:val="1"/>
                <w:bCs w:val="1"/>
                <w:color w:val="auto"/>
                <w:w w:val="93"/>
              </w:rPr>
              <w:t>Carrying</w:t>
            </w:r>
          </w:p>
        </w:tc>
        <w:tc>
          <w:tcPr>
            <w:tcW w:w="1300" w:type="dxa"/>
            <w:vAlign w:val="bottom"/>
            <w:tcBorders>
              <w:top w:val="single" w:sz="8" w:color="auto"/>
            </w:tcBorders>
          </w:tcPr>
          <w:p>
            <w:pPr>
              <w:jc w:val="center"/>
              <w:ind w:right="104"/>
              <w:spacing w:after="0" w:line="12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25"/>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5"/>
              </w:rPr>
              <w:t>Yield</w:t>
            </w: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25"/>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6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136,778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85"/>
              <w:spacing w:after="0"/>
              <w:rPr>
                <w:sz w:val="20"/>
                <w:szCs w:val="20"/>
                <w:color w:val="auto"/>
              </w:rPr>
            </w:pPr>
            <w:r>
              <w:rPr>
                <w:rFonts w:ascii="Arial" w:cs="Arial" w:eastAsia="Arial" w:hAnsi="Arial"/>
                <w:sz w:val="18"/>
                <w:szCs w:val="18"/>
                <w:color w:val="auto"/>
              </w:rPr>
              <w:t>136,778</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3.05 %  $</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133,202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85"/>
              <w:spacing w:after="0"/>
              <w:rPr>
                <w:sz w:val="20"/>
                <w:szCs w:val="20"/>
                <w:color w:val="auto"/>
              </w:rPr>
            </w:pPr>
            <w:r>
              <w:rPr>
                <w:rFonts w:ascii="Arial" w:cs="Arial" w:eastAsia="Arial" w:hAnsi="Arial"/>
                <w:sz w:val="18"/>
                <w:szCs w:val="18"/>
                <w:color w:val="auto"/>
              </w:rPr>
              <w:t>133,202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September 30, 2023 and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tcPr>
          <w:p>
            <w:pPr>
              <w:ind w:left="76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292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September 30, 2022</w:t>
            </w:r>
          </w:p>
        </w:tc>
      </w:tr>
      <w:tr>
        <w:trPr>
          <w:trHeight w:val="24"/>
        </w:trPr>
        <w:tc>
          <w:tcPr>
            <w:tcW w:w="7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4"/>
        </w:trPr>
        <w:tc>
          <w:tcPr>
            <w:tcW w:w="7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xml:space="preserve">Face Value </w:t>
            </w:r>
            <w:r>
              <w:rPr>
                <w:rFonts w:ascii="Arial" w:cs="Arial" w:eastAsia="Arial" w:hAnsi="Arial"/>
                <w:sz w:val="9"/>
                <w:szCs w:val="9"/>
                <w:b w:val="1"/>
                <w:bCs w:val="1"/>
                <w:color w:val="auto"/>
              </w:rPr>
              <w:t>(</w:t>
            </w:r>
            <w:r>
              <w:rPr>
                <w:rFonts w:ascii="Arial" w:cs="Arial" w:eastAsia="Arial" w:hAnsi="Arial"/>
                <w:sz w:val="14"/>
                <w:szCs w:val="14"/>
                <w:b w:val="1"/>
                <w:bCs w:val="1"/>
                <w:color w:val="auto"/>
              </w:rPr>
              <w:t>*</w:t>
            </w:r>
            <w:r>
              <w:rPr>
                <w:rFonts w:ascii="Arial" w:cs="Arial" w:eastAsia="Arial" w:hAnsi="Arial"/>
                <w:sz w:val="9"/>
                <w:szCs w:val="9"/>
                <w:b w:val="1"/>
                <w:bCs w:val="1"/>
                <w:color w:val="auto"/>
              </w:rPr>
              <w:t>)</w:t>
            </w: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xml:space="preserve">Face Value </w:t>
            </w:r>
            <w:r>
              <w:rPr>
                <w:rFonts w:ascii="Arial" w:cs="Arial" w:eastAsia="Arial" w:hAnsi="Arial"/>
                <w:sz w:val="9"/>
                <w:szCs w:val="9"/>
                <w:b w:val="1"/>
                <w:bCs w:val="1"/>
                <w:color w:val="auto"/>
              </w:rPr>
              <w:t>(</w:t>
            </w:r>
            <w:r>
              <w:rPr>
                <w:rFonts w:ascii="Arial" w:cs="Arial" w:eastAsia="Arial" w:hAnsi="Arial"/>
                <w:sz w:val="14"/>
                <w:szCs w:val="14"/>
                <w:b w:val="1"/>
                <w:bCs w:val="1"/>
                <w:color w:val="auto"/>
              </w:rPr>
              <w:t>*</w:t>
            </w:r>
            <w:r>
              <w:rPr>
                <w:rFonts w:ascii="Arial" w:cs="Arial" w:eastAsia="Arial" w:hAnsi="Arial"/>
                <w:sz w:val="9"/>
                <w:szCs w:val="9"/>
                <w:b w:val="1"/>
                <w:bCs w:val="1"/>
                <w:color w:val="auto"/>
              </w:rPr>
              <w:t>)</w:t>
            </w:r>
          </w:p>
        </w:tc>
        <w:tc>
          <w:tcPr>
            <w:tcW w:w="2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7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8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1"/>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The 2018</w:t>
            </w: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381,500</w:t>
            </w:r>
          </w:p>
        </w:tc>
      </w:tr>
      <w:tr>
        <w:trPr>
          <w:trHeight w:val="223"/>
        </w:trPr>
        <w:tc>
          <w:tcPr>
            <w:tcW w:w="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The 2019</w:t>
            </w: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Notes and the 2021 Senior Notes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767,250</w:t>
            </w:r>
          </w:p>
        </w:tc>
      </w:tr>
      <w:tr>
        <w:trPr>
          <w:trHeight w:val="242"/>
        </w:trPr>
        <w:tc>
          <w:tcPr>
            <w:tcW w:w="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4"/>
              </w:rPr>
              <w:t>Total</w:t>
            </w:r>
          </w:p>
        </w:tc>
        <w:tc>
          <w:tcPr>
            <w:tcW w:w="4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1,148,750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14"/>
        </w:trPr>
        <w:tc>
          <w:tcPr>
            <w:tcW w:w="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538"/>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2"/>
        </w:trPr>
        <w:tc>
          <w:tcPr>
            <w:tcW w:w="74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13868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5"/>
        <w:spacing w:after="0" w:line="261" w:lineRule="auto"/>
        <w:tabs>
          <w:tab w:leader="none" w:pos="233" w:val="left"/>
        </w:tabs>
        <w:numPr>
          <w:ilvl w:val="0"/>
          <w:numId w:val="34"/>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$11.5 million and $14.3 million at September 30, 2023 and 2022, respectively.</w:t>
      </w:r>
    </w:p>
    <w:p>
      <w:pPr>
        <w:spacing w:after="0" w:line="129"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September 30, 2023, we had $300.0 million in borrowings outstanding under the revolving line of credit at a weighted-average interest rate of 6.678% and $273.8 million in outstanding balance of the term loan at an interest rate of 6.752%.</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our outstanding foreign currency forward contracts, by currency, at September 30,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September 30, 2023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center"/>
              <w:ind w:right="401"/>
              <w:spacing w:after="0" w:line="135"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1"/>
                <w:szCs w:val="11"/>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USD</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1"/>
              <w:spacing w:after="0"/>
              <w:rPr>
                <w:sz w:val="20"/>
                <w:szCs w:val="20"/>
                <w:color w:val="auto"/>
              </w:rPr>
            </w:pPr>
            <w:r>
              <w:rPr>
                <w:rFonts w:ascii="Arial" w:cs="Arial" w:eastAsia="Arial" w:hAnsi="Arial"/>
                <w:sz w:val="14"/>
                <w:szCs w:val="14"/>
                <w:b w:val="1"/>
                <w:bCs w:val="1"/>
                <w:color w:val="auto"/>
                <w:w w:val="94"/>
              </w:rPr>
              <w:t>Currency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40"/>
              <w:spacing w:after="0"/>
              <w:rPr>
                <w:sz w:val="20"/>
                <w:szCs w:val="20"/>
                <w:color w:val="auto"/>
              </w:rPr>
            </w:pPr>
            <w:r>
              <w:rPr>
                <w:rFonts w:ascii="Arial" w:cs="Arial" w:eastAsia="Arial" w:hAnsi="Arial"/>
                <w:sz w:val="18"/>
                <w:szCs w:val="18"/>
                <w:color w:val="auto"/>
              </w:rPr>
              <w:t>Euro (EUR)</w:t>
            </w:r>
          </w:p>
        </w:tc>
        <w:tc>
          <w:tcPr>
            <w:tcW w:w="460" w:type="dxa"/>
            <w:vAlign w:val="bottom"/>
          </w:tcPr>
          <w:p>
            <w:pPr>
              <w:ind w:left="20"/>
              <w:spacing w:after="0"/>
              <w:rPr>
                <w:sz w:val="20"/>
                <w:szCs w:val="20"/>
                <w:color w:val="auto"/>
              </w:rPr>
            </w:pPr>
            <w:r>
              <w:rPr>
                <w:rFonts w:ascii="Arial" w:cs="Arial" w:eastAsia="Arial" w:hAnsi="Arial"/>
                <w:sz w:val="18"/>
                <w:szCs w:val="18"/>
                <w:color w:val="auto"/>
              </w:rPr>
              <w:t>EUR</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12,900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460" w:type="dxa"/>
            <w:vAlign w:val="bottom"/>
          </w:tcPr>
          <w:p>
            <w:pPr>
              <w:ind w:left="20"/>
              <w:spacing w:after="0"/>
              <w:rPr>
                <w:sz w:val="20"/>
                <w:szCs w:val="20"/>
                <w:color w:val="auto"/>
              </w:rPr>
            </w:pPr>
            <w:r>
              <w:rPr>
                <w:rFonts w:ascii="Arial" w:cs="Arial" w:eastAsia="Arial" w:hAnsi="Arial"/>
                <w:sz w:val="18"/>
                <w:szCs w:val="18"/>
                <w:color w:val="auto"/>
              </w:rPr>
              <w:t>GBP</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10,700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8,569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8"/>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September 30, 2022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center"/>
              <w:ind w:right="401"/>
              <w:spacing w:after="0" w:line="135"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1"/>
                <w:szCs w:val="11"/>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USD</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01"/>
              <w:spacing w:after="0"/>
              <w:rPr>
                <w:sz w:val="20"/>
                <w:szCs w:val="20"/>
                <w:color w:val="auto"/>
              </w:rPr>
            </w:pPr>
            <w:r>
              <w:rPr>
                <w:rFonts w:ascii="Arial" w:cs="Arial" w:eastAsia="Arial" w:hAnsi="Arial"/>
                <w:sz w:val="14"/>
                <w:szCs w:val="14"/>
                <w:b w:val="1"/>
                <w:bCs w:val="1"/>
                <w:color w:val="auto"/>
                <w:w w:val="94"/>
              </w:rPr>
              <w:t>Currency</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40"/>
              <w:spacing w:after="0"/>
              <w:rPr>
                <w:sz w:val="20"/>
                <w:szCs w:val="20"/>
                <w:color w:val="auto"/>
              </w:rPr>
            </w:pPr>
            <w:r>
              <w:rPr>
                <w:rFonts w:ascii="Arial" w:cs="Arial" w:eastAsia="Arial" w:hAnsi="Arial"/>
                <w:sz w:val="18"/>
                <w:szCs w:val="18"/>
                <w:color w:val="auto"/>
              </w:rPr>
              <w:t>Euro (EUR)</w:t>
            </w:r>
          </w:p>
        </w:tc>
        <w:tc>
          <w:tcPr>
            <w:tcW w:w="460" w:type="dxa"/>
            <w:vAlign w:val="bottom"/>
          </w:tcPr>
          <w:p>
            <w:pPr>
              <w:ind w:left="20"/>
              <w:spacing w:after="0"/>
              <w:rPr>
                <w:sz w:val="20"/>
                <w:szCs w:val="20"/>
                <w:color w:val="auto"/>
              </w:rPr>
            </w:pPr>
            <w:r>
              <w:rPr>
                <w:rFonts w:ascii="Arial" w:cs="Arial" w:eastAsia="Arial" w:hAnsi="Arial"/>
                <w:sz w:val="18"/>
                <w:szCs w:val="18"/>
                <w:color w:val="auto"/>
              </w:rPr>
              <w:t>EUR</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13,500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460" w:type="dxa"/>
            <w:vAlign w:val="bottom"/>
          </w:tcPr>
          <w:p>
            <w:pPr>
              <w:ind w:left="20"/>
              <w:spacing w:after="0"/>
              <w:rPr>
                <w:sz w:val="20"/>
                <w:szCs w:val="20"/>
                <w:color w:val="auto"/>
              </w:rPr>
            </w:pPr>
            <w:r>
              <w:rPr>
                <w:rFonts w:ascii="Arial" w:cs="Arial" w:eastAsia="Arial" w:hAnsi="Arial"/>
                <w:sz w:val="18"/>
                <w:szCs w:val="18"/>
                <w:color w:val="auto"/>
              </w:rPr>
              <w:t>GBP</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11,848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6,169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foreign currency forward contracts were entered into on September 30, 2023 and 2022; therefore, their fair value was $0 at each of these dates.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198" w:lineRule="auto"/>
        <w:rPr>
          <w:sz w:val="20"/>
          <w:szCs w:val="20"/>
          <w:color w:val="auto"/>
        </w:rPr>
      </w:pPr>
      <w:r>
        <w:rPr>
          <w:rFonts w:ascii="Arial" w:cs="Arial" w:eastAsia="Arial" w:hAnsi="Arial"/>
          <w:sz w:val="18"/>
          <w:szCs w:val="18"/>
          <w:color w:val="auto"/>
        </w:rPr>
        <w:t>Fair Isaac Corporation</w:t>
      </w:r>
    </w:p>
    <w:p>
      <w:pPr>
        <w:spacing w:after="0"/>
        <w:rPr>
          <w:sz w:val="20"/>
          <w:szCs w:val="20"/>
          <w:color w:val="auto"/>
        </w:rPr>
      </w:pPr>
      <w:r>
        <w:rPr>
          <w:rFonts w:ascii="Arial" w:cs="Arial" w:eastAsia="Arial" w:hAnsi="Arial"/>
          <w:sz w:val="18"/>
          <w:szCs w:val="18"/>
          <w:color w:val="auto"/>
        </w:rPr>
        <w:t>Bozeman, Montana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have audited the accompanying consolidated balance sheets of Fair Isaac Corporation and subsidiaries (the "Company") as of September 30, 2023 and 2022, the related consolidated statements of income and comprehensive income, stockholders' equity (deficit), and cash flows, for each of the three years in the period ended September 30, 2023, and the related notes (collectively referred to as the "financial statements"). We also have audited the Company’s internal control over financial reporting as of September 30,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111"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September 30, 2023 and 2022, and the results of operations and cash flows for each of the three years in the period ended September 30, 2023, in conformity with accounting principles generally accepted in the United States of America. Also, in our opinion, the Company maintained, in all material respects, effective internal control over financial reporting as of September 30, 2023,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Our responsibility is to express an opinion on these financial statements and an opinion on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8" w:lineRule="exact"/>
        <w:rPr>
          <w:sz w:val="20"/>
          <w:szCs w:val="20"/>
          <w:color w:val="auto"/>
        </w:rPr>
      </w:pPr>
    </w:p>
    <w:p>
      <w:pPr>
        <w:ind w:right="3520"/>
        <w:spacing w:after="0" w:line="396" w:lineRule="auto"/>
        <w:rPr>
          <w:sz w:val="20"/>
          <w:szCs w:val="20"/>
          <w:color w:val="auto"/>
        </w:rPr>
      </w:pPr>
      <w:r>
        <w:rPr>
          <w:rFonts w:ascii="Arial" w:cs="Arial" w:eastAsia="Arial" w:hAnsi="Arial"/>
          <w:sz w:val="18"/>
          <w:szCs w:val="18"/>
          <w:b w:val="1"/>
          <w:bCs w:val="1"/>
          <w:i w:val="1"/>
          <w:iCs w:val="1"/>
          <w:color w:val="auto"/>
        </w:rPr>
        <w:t xml:space="preserve">Revenue Recognition – Contracts with Customers – Refer to Note 1 and Note 11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is recognized when control of the promised goods or services is transferred to the Company’s customers, in an amount that reflects the consideration to which the Company expects to be entitled to in exchange for those goods or services. The Company’s revenue is primarily derived from on-premises software and software-as-a-service (SaaS) subscriptions, professional services, and scoring services.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For contracts with customers that contain various combinations of products and services, the Company evaluates whether the products or services are distinct</w:t>
      </w:r>
    </w:p>
    <w:p>
      <w:pPr>
        <w:spacing w:after="0" w:line="3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distinct products or services will be accounted for as separate performance obligations, while non-distinct products or services are combined with others to form a single performance obligation.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on-premises software, which includes a term-based license and post-contract support or maintenance, the transaction price is either a fixed fee, or a usage-based fee — sometimes subject to a guaranteed minimum. Any usage-based fees not subject to a guaranteed minimum or earned in excess of the minimum amount are recognized when the subsequent usage occurs.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For SaaS products, the Company estimates the total variable consideration at contract inception — subject to any constraints that may apply — and updates the estimates as new information becomes available and recognizes the amount ratably over the SaaS service period, unless the Company determines it is appropriate to allocate the variable amount to each distinct service period and recognize revenue as each distinct service period is performed.</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professional services include software implementation, consulting, model development and training. The transaction price can be a fixed amount or a variable amount based upon the time and materials expended. Revenue on fixed-price services is recognized using an input method based on labor hours expended, which the Company believe provides a faithful depiction of the transfer of services.</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scoring services include both business-to-business and business-to-consumer offerings. The Company’s business-to-business scoring services typically include a license that grants consumer reporting agencies the right to use the scoring solutions in exchange for a usage-based royalty. Revenue is generally recognized when the usage occurs. Business-to-consumer offerings provide consumers with access to their FICO® Scores and credit reports, as well as other value-add services. These are provided as either a one-time or ongoing subscription service renewed monthly or annually, all with a fixed consideration.</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Given the complexity of certain of the Company’s contracts, together with the judgment involved in identifying performance obligations and estimating variable consideration, auditing the related revenue required both extensive audit effort due to the volume and complexity of the contracts and a high degree of auditor judgment when performing audit procedures and evaluating the results of those procedures</w:t>
      </w:r>
      <w:r>
        <w:rPr>
          <w:rFonts w:ascii="Arial" w:cs="Arial" w:eastAsia="Arial" w:hAnsi="Arial"/>
          <w:sz w:val="19"/>
          <w:szCs w:val="19"/>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audit procedures related to revenue recognition over the Company’s identification of performance obligations and estimation of variable consideration, included the following, among others:</w:t>
      </w:r>
    </w:p>
    <w:p>
      <w:pPr>
        <w:spacing w:after="0" w:line="129" w:lineRule="exact"/>
        <w:rPr>
          <w:sz w:val="20"/>
          <w:szCs w:val="20"/>
          <w:color w:val="auto"/>
        </w:rPr>
      </w:pPr>
    </w:p>
    <w:p>
      <w:pPr>
        <w:ind w:left="640" w:hanging="319"/>
        <w:spacing w:after="0" w:line="261"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effectiveness of controls over contract revenue, including management’s controls over the identification of performance obligations and estimation of variable consideration.</w:t>
      </w:r>
    </w:p>
    <w:p>
      <w:pPr>
        <w:spacing w:after="0" w:line="23" w:lineRule="exact"/>
        <w:rPr>
          <w:rFonts w:ascii="Arial" w:cs="Arial" w:eastAsia="Arial" w:hAnsi="Arial"/>
          <w:sz w:val="18"/>
          <w:szCs w:val="18"/>
          <w:color w:val="auto"/>
        </w:rPr>
      </w:pPr>
    </w:p>
    <w:p>
      <w:pPr>
        <w:ind w:left="640" w:hanging="319"/>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selected a sample of contracts and performed the following procedures:</w:t>
      </w:r>
    </w:p>
    <w:p>
      <w:pPr>
        <w:spacing w:after="0" w:line="56" w:lineRule="exact"/>
        <w:rPr>
          <w:rFonts w:ascii="Arial" w:cs="Arial" w:eastAsia="Arial" w:hAnsi="Arial"/>
          <w:sz w:val="18"/>
          <w:szCs w:val="18"/>
          <w:color w:val="auto"/>
        </w:rPr>
      </w:pPr>
    </w:p>
    <w:p>
      <w:pPr>
        <w:ind w:left="1260" w:hanging="307"/>
        <w:spacing w:after="0"/>
        <w:tabs>
          <w:tab w:leader="none" w:pos="1260" w:val="left"/>
        </w:tabs>
        <w:numPr>
          <w:ilvl w:val="1"/>
          <w:numId w:val="36"/>
        </w:numPr>
        <w:rPr>
          <w:rFonts w:ascii="Arial" w:cs="Arial" w:eastAsia="Arial" w:hAnsi="Arial"/>
          <w:sz w:val="15"/>
          <w:szCs w:val="15"/>
          <w:color w:val="auto"/>
        </w:rPr>
      </w:pPr>
      <w:r>
        <w:rPr>
          <w:rFonts w:ascii="Arial" w:cs="Arial" w:eastAsia="Arial" w:hAnsi="Arial"/>
          <w:sz w:val="15"/>
          <w:szCs w:val="15"/>
          <w:color w:val="auto"/>
        </w:rPr>
        <w:t>Obtained and read the contract, including master agreements, renewal agreements, and other source documents that were part of the contract.</w:t>
      </w:r>
    </w:p>
    <w:p>
      <w:pPr>
        <w:spacing w:after="0" w:line="90" w:lineRule="exact"/>
        <w:rPr>
          <w:rFonts w:ascii="Arial" w:cs="Arial" w:eastAsia="Arial" w:hAnsi="Arial"/>
          <w:sz w:val="15"/>
          <w:szCs w:val="15"/>
          <w:color w:val="auto"/>
        </w:rPr>
      </w:pPr>
    </w:p>
    <w:p>
      <w:pPr>
        <w:jc w:val="both"/>
        <w:ind w:left="1260" w:hanging="307"/>
        <w:spacing w:after="0" w:line="252" w:lineRule="auto"/>
        <w:tabs>
          <w:tab w:leader="none" w:pos="12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Confirmed the terms of the contract directly with the customer, including whether there are terms not formally included in the contract that may impact the identification of performance obligations and revenue recognition and performed alternative procedures in the event of nonreplies.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1260" w:hanging="307"/>
        <w:spacing w:after="0" w:line="261" w:lineRule="auto"/>
        <w:tabs>
          <w:tab w:leader="none" w:pos="12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Tested management’s identification of the performance obligations within the customer contract, including whether material rights that gave rise to a performance obligation were identified.</w:t>
      </w:r>
    </w:p>
    <w:p>
      <w:pPr>
        <w:spacing w:after="0" w:line="23" w:lineRule="exact"/>
        <w:rPr>
          <w:rFonts w:ascii="Arial" w:cs="Arial" w:eastAsia="Arial" w:hAnsi="Arial"/>
          <w:sz w:val="18"/>
          <w:szCs w:val="18"/>
          <w:color w:val="auto"/>
        </w:rPr>
      </w:pPr>
    </w:p>
    <w:p>
      <w:pPr>
        <w:ind w:left="1260" w:hanging="307"/>
        <w:spacing w:after="0" w:line="261" w:lineRule="auto"/>
        <w:tabs>
          <w:tab w:leader="none" w:pos="1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Tested management’s estimation of variable consideration in the transaction price by evaluating the reasonableness of the inputs used in management’s estimates.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i w:val="1"/>
          <w:iCs w:val="1"/>
          <w:color w:val="auto"/>
        </w:rPr>
        <w:t>/s/</w:t>
      </w:r>
      <w:r>
        <w:rPr>
          <w:sz w:val="20"/>
          <w:szCs w:val="20"/>
          <w:color w:val="auto"/>
        </w:rPr>
        <w:tab/>
      </w:r>
      <w:r>
        <w:rPr>
          <w:rFonts w:ascii="Arial" w:cs="Arial" w:eastAsia="Arial" w:hAnsi="Arial"/>
          <w:sz w:val="16"/>
          <w:szCs w:val="16"/>
          <w:i w:val="1"/>
          <w:iCs w:val="1"/>
          <w:color w:val="auto"/>
        </w:rPr>
        <w:t>Deloitte &amp; Touche LLP</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8, 2023</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gridSpan w:val="4"/>
          </w:tcPr>
          <w:p>
            <w:pPr>
              <w:jc w:val="right"/>
              <w:ind w:right="473"/>
              <w:spacing w:after="0" w:line="135" w:lineRule="exact"/>
              <w:rPr>
                <w:sz w:val="20"/>
                <w:szCs w:val="20"/>
                <w:color w:val="auto"/>
              </w:rPr>
            </w:pPr>
            <w:r>
              <w:rPr>
                <w:rFonts w:ascii="Arial" w:cs="Arial" w:eastAsia="Arial" w:hAnsi="Arial"/>
                <w:sz w:val="14"/>
                <w:szCs w:val="14"/>
                <w:b w:val="1"/>
                <w:bCs w:val="1"/>
                <w:color w:val="auto"/>
                <w:w w:val="98"/>
              </w:rPr>
              <w:t>(In thousands, except par value</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data)</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133,202</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387,947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322,410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217"/>
        </w:trPr>
        <w:tc>
          <w:tcPr>
            <w:tcW w:w="8240" w:type="dxa"/>
            <w:vAlign w:val="bottom"/>
          </w:tcPr>
          <w:p>
            <w:pPr>
              <w:ind w:left="660"/>
              <w:spacing w:after="0" w:line="203" w:lineRule="exact"/>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556,448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484,715</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36,688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761,067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102,514</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1120"/>
              <w:spacing w:after="0" w:line="203"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1,575,281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260"/>
              <w:spacing w:after="0"/>
              <w:rPr>
                <w:sz w:val="20"/>
                <w:szCs w:val="20"/>
                <w:color w:val="auto"/>
              </w:rPr>
            </w:pPr>
            <w:r>
              <w:rPr>
                <w:rFonts w:ascii="Arial" w:cs="Arial" w:eastAsia="Arial" w:hAnsi="Arial"/>
                <w:sz w:val="18"/>
                <w:szCs w:val="18"/>
                <w:b w:val="1"/>
                <w:bCs w:val="1"/>
                <w:color w:val="auto"/>
              </w:rPr>
              <w:t>Liabilities and Stockholders’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97,893</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59,478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66,248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maturities on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1,811,658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1,823,669</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49,661</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2,263,271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2,243,981</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86"/>
              </w:rPr>
              <w:t>Common stock ($0.01 par value; 200,000 shares authorized, 88,857 shares issued and 24,770 and 25,154 shares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at September 30, 2023 and September 30, 2022, respectively)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1,350,713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1,299,588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7"/>
              </w:rPr>
              <w:t>Treasury stock, at cost (64,087 and 63,703 shares at September 30, 2023 and September 30, 2022,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(5,324,865)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(4,935,769)</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3,388,059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2,958,684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(124,702)</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stockholders’ deficit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(687,990)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(801,947)</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1080"/>
              <w:spacing w:after="0" w:line="203" w:lineRule="exact"/>
              <w:rPr>
                <w:sz w:val="20"/>
                <w:szCs w:val="20"/>
                <w:color w:val="auto"/>
              </w:rPr>
            </w:pPr>
            <w:r>
              <w:rPr>
                <w:rFonts w:ascii="Arial" w:cs="Arial" w:eastAsia="Arial" w:hAnsi="Arial"/>
                <w:sz w:val="18"/>
                <w:szCs w:val="18"/>
                <w:color w:val="auto"/>
              </w:rPr>
              <w:t>Total liabilities and stockholders’ deficit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1,575,281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September 30,</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88"/>
              </w:rPr>
              <w:t>(In thousands, except per share data)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640,182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517,888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Scores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654,147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1,377,270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1,316,536</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332,462</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146,758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171,231</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396,281</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Gains on product line asset sales and business divestiture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(100,139)</w:t>
            </w:r>
          </w:p>
        </w:tc>
        <w:tc>
          <w:tcPr>
            <w:tcW w:w="0" w:type="dxa"/>
            <w:vAlign w:val="bottom"/>
          </w:tcPr>
          <w:p>
            <w:pPr>
              <w:spacing w:after="0"/>
              <w:rPr>
                <w:sz w:val="1"/>
                <w:szCs w:val="1"/>
                <w:color w:val="auto"/>
              </w:rPr>
            </w:pPr>
          </w:p>
        </w:tc>
      </w:tr>
      <w:tr>
        <w:trPr>
          <w:trHeight w:val="217"/>
        </w:trPr>
        <w:tc>
          <w:tcPr>
            <w:tcW w:w="6700" w:type="dxa"/>
            <w:vAlign w:val="bottom"/>
            <w:tcBorders>
              <w:top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870,727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834,856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811,047</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642,830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542,414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505,489</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473,142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81,058</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373,541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392,084</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451,932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324,693</w:t>
            </w:r>
          </w:p>
        </w:tc>
        <w:tc>
          <w:tcPr>
            <w:tcW w:w="10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399,225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basic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25,367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26,347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29,260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820" w:type="dxa"/>
            <w:vAlign w:val="bottom"/>
          </w:tcPr>
          <w:p>
            <w:pPr>
              <w:spacing w:after="0"/>
              <w:rPr>
                <w:sz w:val="6"/>
                <w:szCs w:val="6"/>
                <w:color w:val="auto"/>
              </w:rPr>
            </w:pPr>
          </w:p>
        </w:tc>
        <w:tc>
          <w:tcPr>
            <w:tcW w:w="1340" w:type="dxa"/>
            <w:vAlign w:val="bottom"/>
            <w:gridSpan w:val="3"/>
            <w:vMerge w:val="restart"/>
          </w:tcPr>
          <w:p>
            <w:pPr>
              <w:jc w:val="right"/>
              <w:ind w:right="72"/>
              <w:spacing w:after="0"/>
              <w:rPr>
                <w:sz w:val="20"/>
                <w:szCs w:val="20"/>
                <w:color w:val="auto"/>
              </w:rPr>
            </w:pPr>
            <w:r>
              <w:rPr>
                <w:rFonts w:ascii="Arial" w:cs="Arial" w:eastAsia="Arial" w:hAnsi="Arial"/>
                <w:sz w:val="14"/>
                <w:szCs w:val="14"/>
                <w:b w:val="1"/>
                <w:bCs w:val="1"/>
                <w:color w:val="auto"/>
              </w:rPr>
              <w:t>Stock</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3820" w:type="dxa"/>
            <w:vAlign w:val="bottom"/>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00"/>
              <w:spacing w:after="0" w:line="112" w:lineRule="exact"/>
              <w:rPr>
                <w:sz w:val="20"/>
                <w:szCs w:val="20"/>
                <w:color w:val="auto"/>
              </w:rPr>
            </w:pPr>
            <w:r>
              <w:rPr>
                <w:rFonts w:ascii="Arial" w:cs="Arial" w:eastAsia="Arial" w:hAnsi="Arial"/>
                <w:sz w:val="12"/>
                <w:szCs w:val="12"/>
                <w:b w:val="1"/>
                <w:bCs w:val="1"/>
                <w:color w:val="auto"/>
              </w:rPr>
              <w:t>Additional</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center"/>
              <w:ind w:right="280"/>
              <w:spacing w:after="0" w:line="112"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9"/>
                <w:szCs w:val="9"/>
                <w:color w:val="auto"/>
              </w:rPr>
            </w:pPr>
          </w:p>
        </w:tc>
        <w:tc>
          <w:tcPr>
            <w:tcW w:w="860" w:type="dxa"/>
            <w:vAlign w:val="bottom"/>
          </w:tcPr>
          <w:p>
            <w:pPr>
              <w:jc w:val="right"/>
              <w:ind w:right="254"/>
              <w:spacing w:after="0" w:line="11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8"/>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3"/>
                <w:szCs w:val="13"/>
                <w:color w:val="auto"/>
              </w:rPr>
            </w:pPr>
          </w:p>
        </w:tc>
        <w:tc>
          <w:tcPr>
            <w:tcW w:w="7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3"/>
                <w:szCs w:val="13"/>
                <w:color w:val="auto"/>
              </w:rPr>
            </w:pPr>
          </w:p>
        </w:tc>
        <w:tc>
          <w:tcPr>
            <w:tcW w:w="9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Paid-in-</w:t>
            </w:r>
          </w:p>
        </w:tc>
        <w:tc>
          <w:tcPr>
            <w:tcW w:w="10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3"/>
                <w:szCs w:val="13"/>
                <w:color w:val="auto"/>
              </w:rPr>
            </w:pPr>
          </w:p>
        </w:tc>
        <w:tc>
          <w:tcPr>
            <w:tcW w:w="9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Comprehensive</w:t>
            </w:r>
          </w:p>
        </w:tc>
        <w:tc>
          <w:tcPr>
            <w:tcW w:w="9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29,096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1,218,583</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(2,997,856)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2,193,059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(82,995)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331,082</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111,700</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6"/>
              </w:rPr>
              <w:t>Issuance of treasury stock under employee 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(88,953)</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(70,727)</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(1,877)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(882,222)</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392,084</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7"/>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27,568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1,237,348</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(3,857,855)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2,585,143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(75,854)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(110,942)</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115,355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115,355</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6"/>
              </w:rPr>
              <w:t>Issuance of treasury stock under employee 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(34,916)</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(1,096,110)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(1,096,137)</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373,541</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(48,848)</w:t>
            </w:r>
          </w:p>
        </w:tc>
        <w:tc>
          <w:tcPr>
            <w:tcW w:w="0" w:type="dxa"/>
            <w:vAlign w:val="bottom"/>
          </w:tcPr>
          <w:p>
            <w:pPr>
              <w:spacing w:after="0"/>
              <w:rPr>
                <w:sz w:val="1"/>
                <w:szCs w:val="1"/>
                <w:color w:val="auto"/>
              </w:rPr>
            </w:pPr>
          </w:p>
        </w:tc>
      </w:tr>
      <w:tr>
        <w:trPr>
          <w:trHeight w:val="217"/>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25,154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1,299,588</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(4,935,769)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2,958,684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(124,702)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(801,947)</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123,847</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123,847</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6"/>
              </w:rPr>
              <w:t>Issuance of treasury stock under employee 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(72,722)</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(54,475)</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(407,341)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(407,347)</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429,375</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4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1,350,713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(5,324,865)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3,388,059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(102,145)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(687,990)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jc w:val="center"/>
              <w:ind w:left="573"/>
              <w:spacing w:after="0"/>
              <w:rPr>
                <w:sz w:val="20"/>
                <w:szCs w:val="20"/>
                <w:color w:val="auto"/>
              </w:rPr>
            </w:pPr>
            <w:r>
              <w:rPr>
                <w:rFonts w:ascii="Arial" w:cs="Arial" w:eastAsia="Arial" w:hAnsi="Arial"/>
                <w:sz w:val="14"/>
                <w:szCs w:val="14"/>
                <w:b w:val="1"/>
                <w:bCs w:val="1"/>
                <w:color w:val="auto"/>
                <w:w w:val="90"/>
              </w:rPr>
              <w:t>Year Ended September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392,084</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25,592</w:t>
            </w:r>
          </w:p>
        </w:tc>
        <w:tc>
          <w:tcPr>
            <w:tcW w:w="0" w:type="dxa"/>
            <w:vAlign w:val="bottom"/>
          </w:tcPr>
          <w:p>
            <w:pPr>
              <w:spacing w:after="0"/>
              <w:rPr>
                <w:sz w:val="1"/>
                <w:szCs w:val="1"/>
                <w:color w:val="auto"/>
              </w:rPr>
            </w:pPr>
          </w:p>
        </w:tc>
      </w:tr>
      <w:tr>
        <w:trPr>
          <w:trHeight w:val="223"/>
        </w:trPr>
        <w:tc>
          <w:tcPr>
            <w:tcW w:w="718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112,457</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23"/>
        </w:trPr>
        <w:tc>
          <w:tcPr>
            <w:tcW w:w="7180" w:type="dxa"/>
            <w:vAlign w:val="bottom"/>
          </w:tcPr>
          <w:p>
            <w:pPr>
              <w:ind w:left="320"/>
              <w:spacing w:after="0"/>
              <w:rPr>
                <w:sz w:val="20"/>
                <w:szCs w:val="20"/>
                <w:color w:val="auto"/>
              </w:rPr>
            </w:pPr>
            <w:r>
              <w:rPr>
                <w:rFonts w:ascii="Arial" w:cs="Arial" w:eastAsia="Arial" w:hAnsi="Arial"/>
                <w:sz w:val="18"/>
                <w:szCs w:val="18"/>
                <w:color w:val="auto"/>
              </w:rPr>
              <w:t>Net (gain) loss on marketable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operating lease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223"/>
        </w:trPr>
        <w:tc>
          <w:tcPr>
            <w:tcW w:w="7180" w:type="dxa"/>
            <w:vAlign w:val="bottom"/>
          </w:tcPr>
          <w:p>
            <w:pPr>
              <w:ind w:left="320"/>
              <w:spacing w:after="0"/>
              <w:rPr>
                <w:sz w:val="20"/>
                <w:szCs w:val="20"/>
                <w:color w:val="auto"/>
              </w:rPr>
            </w:pPr>
            <w:r>
              <w:rPr>
                <w:rFonts w:ascii="Arial" w:cs="Arial" w:eastAsia="Arial" w:hAnsi="Arial"/>
                <w:sz w:val="18"/>
                <w:szCs w:val="18"/>
                <w:color w:val="auto"/>
              </w:rPr>
              <w:t>Provision of doubtful accounts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on product line asset sales and business divestiture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0" w:type="dxa"/>
            <w:vAlign w:val="bottom"/>
          </w:tcPr>
          <w:p>
            <w:pPr>
              <w:spacing w:after="0"/>
              <w:rPr>
                <w:sz w:val="1"/>
                <w:szCs w:val="1"/>
                <w:color w:val="auto"/>
              </w:rPr>
            </w:pPr>
          </w:p>
        </w:tc>
      </w:tr>
      <w:tr>
        <w:trPr>
          <w:trHeight w:val="223"/>
        </w:trPr>
        <w:tc>
          <w:tcPr>
            <w:tcW w:w="7180" w:type="dxa"/>
            <w:vAlign w:val="bottom"/>
          </w:tcPr>
          <w:p>
            <w:pPr>
              <w:ind w:left="320"/>
              <w:spacing w:after="0"/>
              <w:rPr>
                <w:sz w:val="20"/>
                <w:szCs w:val="20"/>
                <w:color w:val="auto"/>
              </w:rPr>
            </w:pPr>
            <w:r>
              <w:rPr>
                <w:rFonts w:ascii="Arial" w:cs="Arial" w:eastAsia="Arial" w:hAnsi="Arial"/>
                <w:sz w:val="18"/>
                <w:szCs w:val="18"/>
                <w:color w:val="auto"/>
              </w:rPr>
              <w:t>Net loss on sales and abandonment of property and equipment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24,496</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3"/>
        </w:trPr>
        <w:tc>
          <w:tcPr>
            <w:tcW w:w="71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compensation and employee benefits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23"/>
        </w:trPr>
        <w:tc>
          <w:tcPr>
            <w:tcW w:w="7180" w:type="dxa"/>
            <w:vAlign w:val="bottom"/>
          </w:tcPr>
          <w:p>
            <w:pPr>
              <w:ind w:left="10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(20,502)</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CCEEFF"/>
            </w:tcBorders>
          </w:tcPr>
          <w:p>
            <w:pPr>
              <w:ind w:left="138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423,817</w:t>
            </w:r>
          </w:p>
        </w:tc>
        <w:tc>
          <w:tcPr>
            <w:tcW w:w="0" w:type="dxa"/>
            <w:vAlign w:val="bottom"/>
          </w:tcPr>
          <w:p>
            <w:pPr>
              <w:spacing w:after="0"/>
              <w:rPr>
                <w:sz w:val="1"/>
                <w:szCs w:val="1"/>
                <w:color w:val="auto"/>
              </w:rPr>
            </w:pP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marketable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product line asset sales and business divestiture, net of cash transferred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147,431</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Purchase of equity investment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7"/>
        </w:trPr>
        <w:tc>
          <w:tcPr>
            <w:tcW w:w="7180" w:type="dxa"/>
            <w:vAlign w:val="bottom"/>
            <w:tcBorders>
              <w:top w:val="single" w:sz="8" w:color="CCEEFF"/>
            </w:tcBorders>
            <w:shd w:val="clear" w:color="auto" w:fill="CCEEFF"/>
          </w:tcPr>
          <w:p>
            <w:pPr>
              <w:ind w:left="1380"/>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137,850</w:t>
            </w:r>
          </w:p>
        </w:tc>
        <w:tc>
          <w:tcPr>
            <w:tcW w:w="0" w:type="dxa"/>
            <w:vAlign w:val="bottom"/>
          </w:tcPr>
          <w:p>
            <w:pPr>
              <w:spacing w:after="0"/>
              <w:rPr>
                <w:sz w:val="1"/>
                <w:szCs w:val="1"/>
                <w:color w:val="auto"/>
              </w:rPr>
            </w:pPr>
          </w:p>
        </w:tc>
      </w:tr>
      <w:tr>
        <w:trPr>
          <w:trHeight w:val="204"/>
        </w:trPr>
        <w:tc>
          <w:tcPr>
            <w:tcW w:w="7180" w:type="dxa"/>
            <w:vAlign w:val="bottom"/>
          </w:tcPr>
          <w:p>
            <w:pPr>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revolving line of credit and term loan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682,000</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Payments on revolving line of credit and term loan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(259,000)</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senior notes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Payments on debt issuance costs</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20,881</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Repurchases of common stock</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(1,104,180)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(874,179)</w:t>
            </w: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1380"/>
              <w:spacing w:after="0" w:line="203"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(523,571)</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37,960</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157,394</w:t>
            </w:r>
          </w:p>
        </w:tc>
        <w:tc>
          <w:tcPr>
            <w:tcW w:w="0" w:type="dxa"/>
            <w:vAlign w:val="bottom"/>
          </w:tcPr>
          <w:p>
            <w:pPr>
              <w:spacing w:after="0"/>
              <w:rPr>
                <w:sz w:val="1"/>
                <w:szCs w:val="1"/>
                <w:color w:val="auto"/>
              </w:rPr>
            </w:pPr>
          </w:p>
        </w:tc>
      </w:tr>
      <w:tr>
        <w:trPr>
          <w:trHeight w:val="242"/>
        </w:trPr>
        <w:tc>
          <w:tcPr>
            <w:tcW w:w="718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 end of year</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w w:val="97"/>
              </w:rPr>
              <w:t>Cash paid for income taxes, net of refunds of $640, $1,090 and $464 during the years ended</w:t>
            </w:r>
          </w:p>
        </w:tc>
        <w:tc>
          <w:tcPr>
            <w:tcW w:w="300" w:type="dxa"/>
            <w:vAlign w:val="bottom"/>
            <w:shd w:val="clear" w:color="auto" w:fill="CCEEFF"/>
          </w:tcPr>
          <w:p>
            <w:pPr>
              <w:jc w:val="right"/>
              <w:ind w:right="112"/>
              <w:spacing w:after="0" w:line="17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152,775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65,332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12"/>
              <w:spacing w:after="0" w:line="17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71,486</w:t>
            </w:r>
          </w:p>
        </w:tc>
        <w:tc>
          <w:tcPr>
            <w:tcW w:w="0" w:type="dxa"/>
            <w:vAlign w:val="bottom"/>
          </w:tcPr>
          <w:p>
            <w:pPr>
              <w:spacing w:after="0"/>
              <w:rPr>
                <w:sz w:val="1"/>
                <w:szCs w:val="1"/>
                <w:color w:val="auto"/>
              </w:rPr>
            </w:pPr>
          </w:p>
        </w:tc>
      </w:tr>
      <w:tr>
        <w:trPr>
          <w:trHeight w:val="23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2023, 2022 and 2021, respectively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96,877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57,208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37,955</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Unsettled repurchases of common stock</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included in accounts payable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36" w:lineRule="exact"/>
        <w:rPr>
          <w:sz w:val="20"/>
          <w:szCs w:val="20"/>
          <w:color w:val="auto"/>
        </w:rPr>
      </w:pPr>
    </w:p>
    <w:p>
      <w:pPr>
        <w:ind w:left="220" w:right="6000" w:hanging="215"/>
        <w:spacing w:after="0" w:line="369" w:lineRule="auto"/>
        <w:tabs>
          <w:tab w:leader="none" w:pos="19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Summary of Significant Accounting Policies </w:t>
      </w:r>
      <w:r>
        <w:rPr>
          <w:rFonts w:ascii="Arial" w:cs="Arial" w:eastAsia="Arial" w:hAnsi="Arial"/>
          <w:sz w:val="18"/>
          <w:szCs w:val="18"/>
          <w:b w:val="1"/>
          <w:bCs w:val="1"/>
          <w:i w:val="1"/>
          <w:iCs w:val="1"/>
          <w:color w:val="auto"/>
        </w:rPr>
        <w:t>Fair Isaac Corporation</w:t>
      </w:r>
    </w:p>
    <w:p>
      <w:pPr>
        <w:spacing w:after="0" w:line="1"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6"/>
          <w:szCs w:val="16"/>
          <w:color w:val="auto"/>
        </w:rPr>
        <w:t>Fair Isaac Corporation (NYSE: FICO) (together with its consolidated subsidiaries, the “Company,” which may also be referred to in this report as “we,” “us,” “our,” or “FICO”) is a leading applied analytics company. We were founded in 1956 on the premise that data, used intelligently, can improve business decisions. Today, FICO’s software and the widely used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Scores — the standard measure in the U.S. of consumer credit risk — empowering them to increase financial literacy and manage their financial health.</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consolidated financial statements include the accounts of FICO and its subsidiaries. All intercompany accounts and transactions have been eliminated.</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and cash equivalents consist of cash in banks and investments with an original maturity of 90 days or less at time of purchase.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The fair value of certain of our financial instruments, including cash and cash equivalents, receivables, other current assets, accounts payable, accrued compensation and employee benefits, other accrued liabilities and amounts outstanding under our revolving line of credit and term loan, approximate their carrying amounts because of the short-term maturity of these instruments. The fair values of our cash and cash equivalents and marketable securities investments are disclosed in Note 4. The fair value of our derivative instruments is disclosed in Note 5. The fair value of our senior notes is disclosed in Note 9.</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10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categorize our investments in debt and equity instruments as trading, available-for-sale or held-to-maturity at the time of purchase. Trading securities are carried at fair value with unrealized gains or losses included in other income (expense). Available-for-sale securities are carried at fair value measurements using quoted prices in active markets for identical assets or liabilities with unrealized gains or losses included in accumulated other comprehensive income (loss). Held-to-maturity securities are carried at amortized cost. Dividends and interest income are accrued as earned. Realized gains and losses are determined on a specific identification basis and are included in other income (expense). We review marketable securities for impairment whenever circumstances and situations change such that there is an indication that the carrying amounts may not be recovered. We did not classify any securities as held-to-maturity or available-for-sale during each of the three years ended September 30, 2023, 2022 and 2021. Investments with remaining maturities over one year are classified as long-term investments.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Financial instruments that potentially expose us to concentrations of risk consist primarily of cash and cash equivalents, marketable securities and accounts receivable, which are generally not collateralized. Our policy is to place our cash, cash equivalents, and marketable securities with high quality financial institutions, commercial corporations and government agencies in order to limit the amount of credit exposure. We have established guidelines relative to diversification and maturities for maintaining safety and liquidity. We generally do not require collateral from our customers, but our credit extension and collection policies include analyzing the financial condition of potential customers, establishing credit limits, monitoring payments, and aggressively pursuing delinquent accounts. We maintain allowances for potential credit losses.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significant portion of our revenues are derived from the sales of products and services to the financial services industries.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Property and equipment are recorded at cost less accumulated depreciation and amortization. Major renewals and improvements are capitalized, while repair and maintenance costs are expensed as incurred. Depreciation and amortization charges are calculated using the straight-line method over the following estimated useful lives: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 Useful Life</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3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Data processing equipment and software</w:t>
            </w: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3 years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100" w:type="dxa"/>
            <w:vAlign w:val="bottom"/>
          </w:tcPr>
          <w:p>
            <w:pPr>
              <w:ind w:left="560"/>
              <w:spacing w:after="0"/>
              <w:rPr>
                <w:sz w:val="20"/>
                <w:szCs w:val="20"/>
                <w:color w:val="auto"/>
              </w:rPr>
            </w:pPr>
            <w:r>
              <w:rPr>
                <w:rFonts w:ascii="Arial" w:cs="Arial" w:eastAsia="Arial" w:hAnsi="Arial"/>
                <w:sz w:val="18"/>
                <w:szCs w:val="18"/>
                <w:color w:val="auto"/>
                <w:w w:val="88"/>
              </w:rPr>
              <w:t>3 years</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100" w:type="dxa"/>
            <w:vAlign w:val="bottom"/>
          </w:tcPr>
          <w:p>
            <w:pPr>
              <w:ind w:left="4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172"/>
        </w:trPr>
        <w:tc>
          <w:tcPr>
            <w:tcW w:w="7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100" w:type="dxa"/>
            <w:vAlign w:val="bottom"/>
            <w:shd w:val="clear" w:color="auto" w:fill="CCEEFF"/>
          </w:tcPr>
          <w:p>
            <w:pPr>
              <w:spacing w:after="0"/>
              <w:rPr>
                <w:sz w:val="14"/>
                <w:szCs w:val="14"/>
                <w:color w:val="auto"/>
              </w:rPr>
            </w:pPr>
          </w:p>
        </w:tc>
        <w:tc>
          <w:tcPr>
            <w:tcW w:w="174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7"/>
              </w:rPr>
              <w:t>Shorter of estimated</w:t>
            </w: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300" w:type="dxa"/>
            <w:vAlign w:val="bottom"/>
            <w:vMerge w:val="continue"/>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useful life or lease term</w:t>
            </w: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73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740" w:type="dxa"/>
            <w:vAlign w:val="bottom"/>
            <w:vMerge w:val="continue"/>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The cost and accumulated depreciation for property and equipment sold, retired or otherwise disposed of are removed from the applicable accounts and resulting gains or losses are recorded in our consolidated statements of income and comprehensive income. Depreciation and amortization on property and equipment totaled $10.1 million, $15.2 million and $20.3 million during fiscal 2023, 2022 and 2021,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0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Costs incurred to develop internal-use software during the application development stage are capitalized and reported at cost. Application development stage costs generally include costs associated with internal-use software configuration, coding, installation and testing. Costs of significant upgrades and enhancements that result in additional functionality are also capitalized whereas costs incurred for maintenance and minor upgrades and enhancements are expensed as incurred. Capitalized costs are amortized using the straight-line method over three years. Software development costs required to be capitalized for internal-use software have not been material to date.</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Capitalized Software and Research and Development Costs</w:t>
      </w:r>
    </w:p>
    <w:p>
      <w:pPr>
        <w:spacing w:after="0" w:line="109"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Software development costs relating to products to be sold in the normal course of business are expensed as incurred as research and development costs until technological feasibility is established. Technological feasibility for our products occurs approximately concurrently with the general release of our products; accordingly, we have not capitalized any development or production costs. Costs we incur to maintain and support our existing products after the general release of the product are expensed in the period they are incurred and included in research and development costs in our consolidated statements of income and comprehensive income.</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Acquisition Intangibles and Other Long-Lived Assets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w:t>
      </w:r>
    </w:p>
    <w:p>
      <w:pPr>
        <w:spacing w:after="0" w:line="138"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Alternatively, we may bypass the qualitative assessment described above for any reporting unit in any period and proceed directly to performing step one of the goodwill impairment test.</w:t>
      </w:r>
    </w:p>
    <w:p>
      <w:pPr>
        <w:spacing w:after="0" w:line="11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For fiscal 2021, we consolidated our operating segment structure from three to two by merging our Applications and Decision Management Software segments into the new Software segment. We performed a step one quantitative impairment test on the Software and Scores reporting units before and immediately following the change in reporting units. There was a substantial excess of fair value over carrying value for the reporting units and we determined goodwill was not impaired for any of our reporting units before or after the change for fiscal 2021. For fiscal 2022 and 2023, we performed a step zero qualitative analysis for our annual assessment of goodwill impairment. After evaluating and weighing all relevant events and circumstances, we concluded that it is not more likely than not that the fair value of either of our reporting units was less than their carrying amounts. Consequently, we did not perform a step one quantitative analysis and determined goodwill was not impaired for either of our reporting units for fiscal 2022 and 2023.</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amortize our finite-lived intangible assets which result from our acquisitions over the following estimated useful lives: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1040" w:type="dxa"/>
            <w:vAlign w:val="bottom"/>
          </w:tcPr>
          <w:p>
            <w:pPr>
              <w:spacing w:after="0"/>
              <w:rPr>
                <w:sz w:val="15"/>
                <w:szCs w:val="15"/>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0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Completed technology</w:t>
            </w:r>
          </w:p>
        </w:tc>
        <w:tc>
          <w:tcPr>
            <w:tcW w:w="3640" w:type="dxa"/>
            <w:vAlign w:val="bottom"/>
            <w:shd w:val="clear" w:color="auto" w:fill="CCEEFF"/>
          </w:tcPr>
          <w:p>
            <w:pPr>
              <w:spacing w:after="0"/>
              <w:rPr>
                <w:sz w:val="18"/>
                <w:szCs w:val="18"/>
                <w:color w:val="auto"/>
              </w:rPr>
            </w:pP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5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to</w:t>
            </w: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Customer contracts and relationships</w:t>
            </w:r>
          </w:p>
        </w:tc>
        <w:tc>
          <w:tcPr>
            <w:tcW w:w="364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Arial" w:cs="Arial" w:eastAsia="Arial" w:hAnsi="Arial"/>
                <w:sz w:val="18"/>
                <w:szCs w:val="18"/>
                <w:color w:val="auto"/>
                <w:w w:val="98"/>
              </w:rPr>
              <w:t>5 years</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1040" w:type="dxa"/>
            <w:vAlign w:val="bottom"/>
          </w:tcPr>
          <w:p>
            <w:pPr>
              <w:ind w:left="60"/>
              <w:spacing w:after="0"/>
              <w:rPr>
                <w:sz w:val="20"/>
                <w:szCs w:val="20"/>
                <w:color w:val="auto"/>
              </w:rPr>
            </w:pPr>
            <w:r>
              <w:rPr>
                <w:rFonts w:ascii="Arial" w:cs="Arial" w:eastAsia="Arial" w:hAnsi="Arial"/>
                <w:sz w:val="18"/>
                <w:szCs w:val="18"/>
                <w:color w:val="auto"/>
              </w:rPr>
              <w:t>10 years</w:t>
            </w: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1040" w:type="dxa"/>
            <w:vAlign w:val="bottom"/>
            <w:shd w:val="clear" w:color="auto" w:fill="CCEEFF"/>
          </w:tcPr>
          <w:p>
            <w:pPr>
              <w:spacing w:after="0"/>
              <w:rPr>
                <w:sz w:val="19"/>
                <w:szCs w:val="19"/>
                <w:color w:val="auto"/>
              </w:rPr>
            </w:pPr>
          </w:p>
        </w:tc>
      </w:tr>
      <w:tr>
        <w:trPr>
          <w:trHeight w:val="868"/>
        </w:trPr>
        <w:tc>
          <w:tcPr>
            <w:tcW w:w="4080" w:type="dxa"/>
            <w:vAlign w:val="bottom"/>
          </w:tcPr>
          <w:p>
            <w:pPr>
              <w:spacing w:after="0"/>
              <w:rPr>
                <w:sz w:val="24"/>
                <w:szCs w:val="24"/>
                <w:color w:val="auto"/>
              </w:rPr>
            </w:pPr>
          </w:p>
        </w:tc>
        <w:tc>
          <w:tcPr>
            <w:tcW w:w="3640" w:type="dxa"/>
            <w:vAlign w:val="bottom"/>
          </w:tcPr>
          <w:p>
            <w:pPr>
              <w:jc w:val="right"/>
              <w:ind w:right="1912"/>
              <w:spacing w:after="0"/>
              <w:rPr>
                <w:sz w:val="20"/>
                <w:szCs w:val="20"/>
                <w:color w:val="auto"/>
              </w:rPr>
            </w:pPr>
            <w:r>
              <w:rPr>
                <w:rFonts w:ascii="Arial" w:cs="Arial" w:eastAsia="Arial" w:hAnsi="Arial"/>
                <w:sz w:val="18"/>
                <w:szCs w:val="18"/>
                <w:color w:val="auto"/>
              </w:rPr>
              <w:t>57</w:t>
            </w: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We did not recognize any impairment charges on intangible assets that have finite useful lives or other long-lived assets in fiscal 2023, 2022 and 2021.</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to which we expect to be entitled to in exchange for those goods or services.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11 for further discussion on revenues.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09"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17"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Basic earnings per share are computed on the basis of the weighted-average number of common shares outstanding during the period under measurement. Diluted earnings per share are based on the weighted-average number of common shares outstanding and potential common shares. Potential common shares result from the assumed exercise of outstanding stock options or other potentially dilutive equity instruments, when they are dilutive under the treasury stock method.</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83"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Comprehensive income is the change in our equity (net assets) during each period from transactions and other events and circumstances from non-owner sources. It includes net income and foreign currency translation adjustments.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and Derivative Financial Instruments</w:t>
      </w:r>
    </w:p>
    <w:p>
      <w:pPr>
        <w:spacing w:after="0" w:line="83" w:lineRule="exact"/>
        <w:rPr>
          <w:sz w:val="20"/>
          <w:szCs w:val="20"/>
          <w:color w:val="auto"/>
        </w:rPr>
      </w:pPr>
    </w:p>
    <w:p>
      <w:pPr>
        <w:jc w:val="both"/>
        <w:ind w:firstLine="395"/>
        <w:spacing w:after="0" w:line="327" w:lineRule="auto"/>
        <w:rPr>
          <w:sz w:val="20"/>
          <w:szCs w:val="20"/>
          <w:color w:val="auto"/>
        </w:rPr>
      </w:pPr>
      <w:r>
        <w:rPr>
          <w:rFonts w:ascii="Arial" w:cs="Arial" w:eastAsia="Arial" w:hAnsi="Arial"/>
          <w:sz w:val="15"/>
          <w:szCs w:val="15"/>
          <w:color w:val="auto"/>
        </w:rPr>
        <w:t>We have determined that the functional currency of each foreign operation is the local currency. Assets and liabilities denominated in their local foreign currencies are translated into U.S. dollars at the exchange rate on the balance sheet date. Revenues and expenses are translated at average rates of exchange prevailing during the period. Foreign currency translation adjustments are accumulated as a separate component of consolidated stockholders’ deficit.</w:t>
      </w:r>
    </w:p>
    <w:p>
      <w:pPr>
        <w:spacing w:after="0" w:line="84"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utilize derivative instruments to manage market risks associated with fluctuations in certain foreign currency exchange rates as they relate to specific balances of accounts receivable and cash denominated in foreign currencies. We principally utilize foreign currency forward contracts to protect against market risks arising in the normal course of business. Our policies prohibit the use of derivative instruments for the sole purpose of trading for profit on price fluctuations or to enter into contracts that intentionally increase our underlying exposure. All of our foreign currency forward contracts have maturity periods of less than three months.</w:t>
      </w:r>
    </w:p>
    <w:p>
      <w:pPr>
        <w:spacing w:after="0" w:line="14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At the end of the reporting period, foreign-currency-denominated assets and liabilities are remeasured into the functional currencies of the reporting entities at current market rates. The change in value from this remeasurement is reported as a foreign exchange gain or loss for that period in other income (expense), net in the accompanying consolidated statements of income and comprehensive income.</w:t>
      </w:r>
    </w:p>
    <w:p>
      <w:pPr>
        <w:spacing w:after="0" w:line="138" w:lineRule="exact"/>
        <w:rPr>
          <w:sz w:val="20"/>
          <w:szCs w:val="20"/>
          <w:color w:val="auto"/>
        </w:rPr>
      </w:pPr>
    </w:p>
    <w:p>
      <w:pPr>
        <w:jc w:val="both"/>
        <w:ind w:right="20" w:firstLine="395"/>
        <w:spacing w:after="0" w:line="261" w:lineRule="auto"/>
        <w:rPr>
          <w:sz w:val="20"/>
          <w:szCs w:val="20"/>
          <w:color w:val="auto"/>
        </w:rPr>
      </w:pPr>
      <w:r>
        <w:rPr>
          <w:rFonts w:ascii="Arial" w:cs="Arial" w:eastAsia="Arial" w:hAnsi="Arial"/>
          <w:sz w:val="18"/>
          <w:szCs w:val="18"/>
          <w:color w:val="auto"/>
        </w:rPr>
        <w:t>We recorded transactional foreign exchange gains (losses) of $(2.6) million, $1.9 million and $0.0 million during fiscal 2023, 2022 and 2021, respectively.</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measure share-based compensation cost at the grant date based on the fair value of the award and recognize it as expense, net of estimated forfeitures, over the vesting or service period, as applicable, of the stock award (generally three to four years). See Note 15 for further discussion of our share-based employee benefit plans.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Advertising and promotion costs are expensed as incurred and are included in selling, general and administrative expenses in the accompanying consolidated statements of income and comprehensive income. Advertising and promotion costs totaled $9.8 million, $8.1 million and $6.9 million in fiscal 2023, 2022 and 2021, respectively.</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09"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In October 2021, the Financial Accounting Standards Board (“FASB”) issued Accounting Standards Update (“ASU”) No. 2021-08,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Accounting for Contract Assets and Contract Liabilities from Contracts with Customers</w:t>
      </w:r>
      <w:r>
        <w:rPr>
          <w:rFonts w:ascii="Arial" w:cs="Arial" w:eastAsia="Arial" w:hAnsi="Arial"/>
          <w:sz w:val="16"/>
          <w:szCs w:val="16"/>
          <w:color w:val="auto"/>
        </w:rPr>
        <w:t>” (“ASU 2021-08”). ASU 2021-08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acquirer in a business combination to recognize and measure contract assets and contract liabilities from acquired contracts using the revenue recognition guidance under Accounting Standards Codification Topic 606, </w:t>
      </w:r>
      <w:r>
        <w:rPr>
          <w:rFonts w:ascii="Arial" w:cs="Arial" w:eastAsia="Arial" w:hAnsi="Arial"/>
          <w:sz w:val="16"/>
          <w:szCs w:val="16"/>
          <w:i w:val="1"/>
          <w:iCs w:val="1"/>
          <w:color w:val="auto"/>
        </w:rPr>
        <w:t>Revenue from Contacts with Customers</w:t>
      </w:r>
      <w:r>
        <w:rPr>
          <w:rFonts w:ascii="Arial" w:cs="Arial" w:eastAsia="Arial" w:hAnsi="Arial"/>
          <w:sz w:val="16"/>
          <w:szCs w:val="16"/>
          <w:color w:val="auto"/>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The adoption of ASU 2021-08 will not have a significant impact on our consolidated financial statements.</w:t>
      </w:r>
    </w:p>
    <w:p>
      <w:pPr>
        <w:spacing w:after="0" w:line="1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Line Asset Sales and Business Divestiture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fiscal 2023, we sold certain assets related to our Siron compliance business within our Software segment, and recorded a gain of $1.9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During fiscal 2021, we sold our Collections and Recovery (“C&amp;R”) business to Jonas Collections and Recovery Inc. (“Jonas”), a company in the Jonas Software operating group of Constellation Software Inc. In addition, during fiscal 2021, we sold all assets related to our cyber risk score operations and we sold certain assets related to our Software operations to an affiliated joint venture in China. The gains recognized from these sales were $100.1 million, which were recorded in gains on product line asset sales and business divestiture within the accompanying consolidated statements of income and comprehensive income. The C&amp;R business and the assets sold were part of our Software segment.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Cash Equivalents and Marketable Securities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cash, cash equivalents and marketable securities at September 30,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93"/>
              </w:rPr>
              <w:t>Amortized</w:t>
            </w:r>
          </w:p>
        </w:tc>
        <w:tc>
          <w:tcPr>
            <w:tcW w:w="54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0"/>
                <w:szCs w:val="10"/>
                <w:color w:val="auto"/>
              </w:rPr>
            </w:pPr>
          </w:p>
        </w:tc>
        <w:tc>
          <w:tcPr>
            <w:tcW w:w="1400" w:type="dxa"/>
            <w:vAlign w:val="bottom"/>
            <w:gridSpan w:val="2"/>
          </w:tcPr>
          <w:p>
            <w:pPr>
              <w:jc w:val="center"/>
              <w:ind w:right="560"/>
              <w:spacing w:after="0" w:line="125" w:lineRule="exact"/>
              <w:rPr>
                <w:sz w:val="20"/>
                <w:szCs w:val="20"/>
                <w:color w:val="auto"/>
              </w:rPr>
            </w:pPr>
            <w:r>
              <w:rPr>
                <w:rFonts w:ascii="Arial" w:cs="Arial" w:eastAsia="Arial" w:hAnsi="Arial"/>
                <w:sz w:val="14"/>
                <w:szCs w:val="14"/>
                <w:b w:val="1"/>
                <w:bCs w:val="1"/>
                <w:color w:val="auto"/>
                <w:w w:val="93"/>
              </w:rPr>
              <w:t>Amortized</w:t>
            </w:r>
          </w:p>
        </w:tc>
        <w:tc>
          <w:tcPr>
            <w:tcW w:w="540" w:type="dxa"/>
            <w:vAlign w:val="bottom"/>
          </w:tcPr>
          <w:p>
            <w:pPr>
              <w:spacing w:after="0"/>
              <w:rPr>
                <w:sz w:val="10"/>
                <w:szCs w:val="10"/>
                <w:color w:val="auto"/>
              </w:rPr>
            </w:pPr>
          </w:p>
        </w:tc>
        <w:tc>
          <w:tcPr>
            <w:tcW w:w="12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83"/>
              </w:rPr>
              <w:t>Cost</w:t>
            </w: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40"/>
              <w:spacing w:after="0"/>
              <w:rPr>
                <w:sz w:val="20"/>
                <w:szCs w:val="20"/>
                <w:color w:val="auto"/>
              </w:rPr>
            </w:pPr>
            <w:r>
              <w:rPr>
                <w:rFonts w:ascii="Arial" w:cs="Arial" w:eastAsia="Arial" w:hAnsi="Arial"/>
                <w:sz w:val="18"/>
                <w:szCs w:val="18"/>
                <w:color w:val="auto"/>
              </w:rPr>
              <w:t>Cash</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113,157</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113,157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113,888</w:t>
            </w:r>
          </w:p>
        </w:tc>
        <w:tc>
          <w:tcPr>
            <w:tcW w:w="12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113,888</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17"/>
        </w:trPr>
        <w:tc>
          <w:tcPr>
            <w:tcW w:w="392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136,778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133,202</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133,202</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Marketable Securities:</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assets included in marketable securities represent long-term marketable equity securities held under a supplemental retirement and savings plan for certain officers and senior management employees, which are distributed upon termination or retirement of the employees. These investments are treated as trading securities and recorded at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5"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49" w:lineRule="exact"/>
        <w:rPr>
          <w:sz w:val="20"/>
          <w:szCs w:val="20"/>
          <w:color w:val="auto"/>
        </w:rPr>
      </w:pPr>
    </w:p>
    <w:p>
      <w:pPr>
        <w:ind w:left="640" w:hanging="319"/>
        <w:spacing w:after="0" w:line="308"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1 — uses unadjusted quoted prices that are available in active markets for identical assets or liabilities. Our Level 1 assets were comprised of money market funds and certain marketable securities and our Level 1 liabilities included senior notes as of September 30, 2023 and 2022.</w:t>
      </w:r>
    </w:p>
    <w:p>
      <w:pPr>
        <w:spacing w:after="0" w:line="1" w:lineRule="exact"/>
        <w:rPr>
          <w:rFonts w:ascii="Arial" w:cs="Arial" w:eastAsia="Arial" w:hAnsi="Arial"/>
          <w:sz w:val="16"/>
          <w:szCs w:val="16"/>
          <w:color w:val="auto"/>
        </w:rPr>
      </w:pPr>
    </w:p>
    <w:p>
      <w:pPr>
        <w:jc w:val="both"/>
        <w:ind w:left="640" w:hanging="319"/>
        <w:spacing w:after="0" w:line="287"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September 30, 2023 and 2022.</w:t>
      </w:r>
    </w:p>
    <w:p>
      <w:pPr>
        <w:spacing w:after="0" w:line="5" w:lineRule="exact"/>
        <w:rPr>
          <w:rFonts w:ascii="Arial" w:cs="Arial" w:eastAsia="Arial" w:hAnsi="Arial"/>
          <w:sz w:val="16"/>
          <w:szCs w:val="16"/>
          <w:color w:val="auto"/>
        </w:rPr>
      </w:pPr>
    </w:p>
    <w:p>
      <w:pPr>
        <w:jc w:val="both"/>
        <w:ind w:left="640" w:hanging="319"/>
        <w:spacing w:after="0" w:line="291" w:lineRule="auto"/>
        <w:tabs>
          <w:tab w:leader="none" w:pos="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September 30, 2023 and 2022.</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represent financial assets that we measured at fair value on a recurring basis at September 30, 2023 and 2022: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Active Markets for</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Fair Value as of September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Identical Instruments</w:t>
            </w: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(Level 1)</w:t>
            </w:r>
          </w:p>
        </w:tc>
        <w:tc>
          <w:tcPr>
            <w:tcW w:w="520" w:type="dxa"/>
            <w:vAlign w:val="bottom"/>
          </w:tcPr>
          <w:p>
            <w:pPr>
              <w:spacing w:after="0"/>
              <w:rPr>
                <w:sz w:val="12"/>
                <w:szCs w:val="12"/>
                <w:color w:val="auto"/>
              </w:rPr>
            </w:pPr>
          </w:p>
        </w:tc>
        <w:tc>
          <w:tcPr>
            <w:tcW w:w="1260" w:type="dxa"/>
            <w:vAlign w:val="bottom"/>
          </w:tcPr>
          <w:p>
            <w:pPr>
              <w:jc w:val="right"/>
              <w:ind w:right="557"/>
              <w:spacing w:after="0" w:line="145" w:lineRule="exact"/>
              <w:rPr>
                <w:sz w:val="20"/>
                <w:szCs w:val="20"/>
                <w:color w:val="auto"/>
              </w:rPr>
            </w:pPr>
            <w:r>
              <w:rPr>
                <w:rFonts w:ascii="Arial" w:cs="Arial" w:eastAsia="Arial" w:hAnsi="Arial"/>
                <w:sz w:val="14"/>
                <w:szCs w:val="14"/>
                <w:b w:val="1"/>
                <w:bCs w:val="1"/>
                <w:color w:val="auto"/>
              </w:rPr>
              <w:t>30, 2023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gridSpan w:val="3"/>
          </w:tcPr>
          <w:p>
            <w:pPr>
              <w:spacing w:after="0" w:line="224"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2"/>
                <w:szCs w:val="22"/>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23,621</w:t>
            </w:r>
          </w:p>
        </w:tc>
        <w:tc>
          <w:tcPr>
            <w:tcW w:w="100" w:type="dxa"/>
            <w:vAlign w:val="bottom"/>
          </w:tcPr>
          <w:p>
            <w:pPr>
              <w:spacing w:after="0"/>
              <w:rPr>
                <w:sz w:val="19"/>
                <w:szCs w:val="19"/>
                <w:color w:val="auto"/>
              </w:rPr>
            </w:pPr>
          </w:p>
        </w:tc>
        <w:tc>
          <w:tcPr>
            <w:tcW w:w="520" w:type="dxa"/>
            <w:vAlign w:val="bottom"/>
          </w:tcPr>
          <w:p>
            <w:pPr>
              <w:jc w:val="right"/>
              <w:ind w:right="31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23,621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560" w:type="dxa"/>
            <w:vAlign w:val="bottom"/>
            <w:gridSpan w:val="3"/>
            <w:shd w:val="clear" w:color="auto" w:fill="CCEEFF"/>
          </w:tcPr>
          <w:p>
            <w:pPr>
              <w:spacing w:after="0" w:line="224"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2"/>
                <w:szCs w:val="22"/>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gridSpan w:val="3"/>
          </w:tcPr>
          <w:p>
            <w:pPr>
              <w:spacing w:after="0" w:line="203"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Active Markets for</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Fair Value as of September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Identical Instruments</w:t>
            </w: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(Level 1)</w:t>
            </w:r>
          </w:p>
        </w:tc>
        <w:tc>
          <w:tcPr>
            <w:tcW w:w="520" w:type="dxa"/>
            <w:vAlign w:val="bottom"/>
          </w:tcPr>
          <w:p>
            <w:pPr>
              <w:spacing w:after="0"/>
              <w:rPr>
                <w:sz w:val="12"/>
                <w:szCs w:val="12"/>
                <w:color w:val="auto"/>
              </w:rPr>
            </w:pPr>
          </w:p>
        </w:tc>
        <w:tc>
          <w:tcPr>
            <w:tcW w:w="1260" w:type="dxa"/>
            <w:vAlign w:val="bottom"/>
          </w:tcPr>
          <w:p>
            <w:pPr>
              <w:jc w:val="right"/>
              <w:ind w:right="557"/>
              <w:spacing w:after="0" w:line="145" w:lineRule="exact"/>
              <w:rPr>
                <w:sz w:val="20"/>
                <w:szCs w:val="20"/>
                <w:color w:val="auto"/>
              </w:rPr>
            </w:pPr>
            <w:r>
              <w:rPr>
                <w:rFonts w:ascii="Arial" w:cs="Arial" w:eastAsia="Arial" w:hAnsi="Arial"/>
                <w:sz w:val="14"/>
                <w:szCs w:val="14"/>
                <w:b w:val="1"/>
                <w:bCs w:val="1"/>
                <w:color w:val="auto"/>
              </w:rPr>
              <w:t>30, 2022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gridSpan w:val="3"/>
          </w:tcPr>
          <w:p>
            <w:pPr>
              <w:spacing w:after="0" w:line="224"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2"/>
                <w:szCs w:val="22"/>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19"/>
                <w:szCs w:val="19"/>
                <w:color w:val="auto"/>
              </w:rPr>
            </w:pPr>
          </w:p>
        </w:tc>
        <w:tc>
          <w:tcPr>
            <w:tcW w:w="520" w:type="dxa"/>
            <w:vAlign w:val="bottom"/>
          </w:tcPr>
          <w:p>
            <w:pPr>
              <w:jc w:val="right"/>
              <w:ind w:right="318"/>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19,314</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560" w:type="dxa"/>
            <w:vAlign w:val="bottom"/>
            <w:gridSpan w:val="3"/>
            <w:shd w:val="clear" w:color="auto" w:fill="CCEEFF"/>
          </w:tcPr>
          <w:p>
            <w:pPr>
              <w:spacing w:after="0" w:line="224"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2"/>
                <w:szCs w:val="22"/>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gridSpan w:val="3"/>
          </w:tcPr>
          <w:p>
            <w:pPr>
              <w:spacing w:after="0" w:line="203"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5"/>
        <w:spacing w:after="0" w:line="250" w:lineRule="auto"/>
        <w:tabs>
          <w:tab w:leader="none" w:pos="3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cash and cash equivalents on our consolidated balance sheets at September 30, 2023 and 2022. Not included in these tables are cash deposits of $113.2 million and $113.9 million at September 30, 2023 and 2022, respectively.</w:t>
      </w:r>
    </w:p>
    <w:p>
      <w:pPr>
        <w:spacing w:after="0" w:line="1" w:lineRule="exact"/>
        <w:rPr>
          <w:rFonts w:ascii="Arial" w:cs="Arial" w:eastAsia="Arial" w:hAnsi="Arial"/>
          <w:sz w:val="18"/>
          <w:szCs w:val="18"/>
          <w:color w:val="auto"/>
        </w:rPr>
      </w:pPr>
    </w:p>
    <w:p>
      <w:pPr>
        <w:ind w:left="320" w:hanging="315"/>
        <w:spacing w:after="0" w:line="345" w:lineRule="auto"/>
        <w:tabs>
          <w:tab w:leader="none" w:pos="314"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Represents securities held under a supplemental retirement and savings plan for certain officers and senior management employees, which are distributed upon termination or retirement of the employees. Included in marketable securities on our consolidated balance sheets at September 30, 2023 and 2022.</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9 for the fair value of our senior notes.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years ended September 30, 2023, 2022 or 2021.</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15"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4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our outstanding foreign currency forward contracts, by currency, at September 30,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40" w:type="dxa"/>
            <w:vAlign w:val="bottom"/>
            <w:gridSpan w:val="4"/>
          </w:tcPr>
          <w:p>
            <w:pPr>
              <w:ind w:left="1280"/>
              <w:spacing w:after="0"/>
              <w:rPr>
                <w:sz w:val="20"/>
                <w:szCs w:val="20"/>
                <w:color w:val="auto"/>
              </w:rPr>
            </w:pPr>
            <w:r>
              <w:rPr>
                <w:rFonts w:ascii="Arial" w:cs="Arial" w:eastAsia="Arial" w:hAnsi="Arial"/>
                <w:sz w:val="14"/>
                <w:szCs w:val="14"/>
                <w:b w:val="1"/>
                <w:bCs w:val="1"/>
                <w:color w:val="auto"/>
              </w:rPr>
              <w:t>September 30, 2023</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Contract Amount</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32"/>
        </w:trPr>
        <w:tc>
          <w:tcPr>
            <w:tcW w:w="6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tcPr>
          <w:p>
            <w:pPr>
              <w:jc w:val="right"/>
              <w:ind w:right="802"/>
              <w:spacing w:after="0" w:line="132" w:lineRule="exact"/>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USD</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w w:val="97"/>
              </w:rPr>
              <w:t>Currency</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8"/>
                <w:szCs w:val="18"/>
                <w:color w:val="auto"/>
              </w:rPr>
              <w:t>Euro (EUR)</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EUR</w:t>
            </w: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12,900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GBP</w:t>
            </w: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10,700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SGD</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8,569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5"/>
        </w:trPr>
        <w:tc>
          <w:tcPr>
            <w:tcW w:w="6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gridSpan w:val="4"/>
          </w:tcPr>
          <w:p>
            <w:pPr>
              <w:ind w:left="1320"/>
              <w:spacing w:after="0"/>
              <w:rPr>
                <w:sz w:val="20"/>
                <w:szCs w:val="20"/>
                <w:color w:val="auto"/>
              </w:rPr>
            </w:pPr>
            <w:r>
              <w:rPr>
                <w:rFonts w:ascii="Arial" w:cs="Arial" w:eastAsia="Arial" w:hAnsi="Arial"/>
                <w:sz w:val="14"/>
                <w:szCs w:val="14"/>
                <w:b w:val="1"/>
                <w:bCs w:val="1"/>
                <w:color w:val="auto"/>
              </w:rPr>
              <w:t>September 30, 2022</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Contract Amount</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tcPr>
          <w:p>
            <w:pPr>
              <w:jc w:val="right"/>
              <w:ind w:right="762"/>
              <w:spacing w:after="0" w:line="135" w:lineRule="exact"/>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USD</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Currency</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8"/>
                <w:szCs w:val="18"/>
                <w:color w:val="auto"/>
              </w:rPr>
              <w:t>Euro (EUR)</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EUR</w:t>
            </w: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13,500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8"/>
                <w:szCs w:val="18"/>
                <w:color w:val="auto"/>
              </w:rPr>
              <w:t>British pound (GBP)</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GBP</w:t>
            </w: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11,848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dollar (SGD)</w:t>
            </w: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SGD</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6,169</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foreign currency forward contracts were entered into on September 30, 2023 and 2022; therefore, their fair value was $0 at each of these dates.</w:t>
      </w:r>
    </w:p>
    <w:p>
      <w:pPr>
        <w:spacing w:after="0" w:line="184"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Gains (losses) on derivative financial instruments were recorded in our consolidated statements of income and comprehensive income as a component of other income (expense), net, and consisted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89"/>
              </w:rPr>
              <w:t>2022</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190"/>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04"/>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foreign currency forward contracts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(2,748)</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that are subject to amortization consisted of the following at September 30,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September 30, 2023</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September 30, 2022</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center"/>
              <w:ind w:left="22"/>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jc w:val="center"/>
              <w:ind w:left="21"/>
              <w:spacing w:after="0" w:line="12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Net</w:t>
            </w:r>
          </w:p>
        </w:tc>
        <w:tc>
          <w:tcPr>
            <w:tcW w:w="10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Net</w:t>
            </w:r>
          </w:p>
        </w:tc>
        <w:tc>
          <w:tcPr>
            <w:tcW w:w="980" w:type="dxa"/>
            <w:vAlign w:val="bottom"/>
          </w:tcPr>
          <w:p>
            <w:pPr>
              <w:jc w:val="center"/>
              <w:ind w:left="21"/>
              <w:spacing w:after="0" w:line="141"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Life in 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1"/>
              </w:rPr>
              <w:t>Life in Years</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average life)</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69,706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line="172" w:lineRule="exact"/>
              <w:rPr>
                <w:sz w:val="20"/>
                <w:szCs w:val="20"/>
                <w:color w:val="auto"/>
              </w:rPr>
            </w:pPr>
            <w:r>
              <w:rPr>
                <w:rFonts w:ascii="Arial" w:cs="Arial" w:eastAsia="Arial" w:hAnsi="Arial"/>
                <w:sz w:val="18"/>
                <w:szCs w:val="18"/>
                <w:color w:val="auto"/>
                <w:w w:val="98"/>
              </w:rPr>
              <w:t>Customer contracts and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relationships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2"/>
        </w:trPr>
        <w:tc>
          <w:tcPr>
            <w:tcW w:w="1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72,706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13"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consolidated statements of income and comprehensive income. Amortization expense consisted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 September 30,</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
        </w:trPr>
        <w:tc>
          <w:tcPr>
            <w:tcW w:w="5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5740" w:type="dxa"/>
            <w:vAlign w:val="bottom"/>
          </w:tcPr>
          <w:p>
            <w:pPr>
              <w:spacing w:after="0"/>
              <w:rPr>
                <w:sz w:val="15"/>
                <w:szCs w:val="15"/>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190"/>
        </w:trPr>
        <w:tc>
          <w:tcPr>
            <w:tcW w:w="5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116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Customer contracts and relationships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2,082</w:t>
            </w: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7"/>
        </w:trPr>
        <w:tc>
          <w:tcPr>
            <w:tcW w:w="574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978"/>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w:t>
            </w:r>
          </w:p>
        </w:tc>
      </w:tr>
      <w:tr>
        <w:trPr>
          <w:trHeight w:val="20"/>
        </w:trPr>
        <w:tc>
          <w:tcPr>
            <w:tcW w:w="5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September 30, 2023, estimated future intangible asset amortization expense was $0.9 million, which will be recognized in fiscal 2024.</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summarizes changes to goodwill during fiscal 2023 and 2022, both in total and as allocated to our segments. We have not recognized any goodwill impairment losses to date.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Software</w:t>
            </w:r>
          </w:p>
        </w:tc>
        <w:tc>
          <w:tcPr>
            <w:tcW w:w="420" w:type="dxa"/>
            <w:vAlign w:val="bottom"/>
          </w:tcPr>
          <w:p>
            <w:pPr>
              <w:spacing w:after="0"/>
              <w:rPr>
                <w:sz w:val="15"/>
                <w:szCs w:val="15"/>
                <w:color w:val="auto"/>
              </w:rPr>
            </w:pPr>
          </w:p>
        </w:tc>
        <w:tc>
          <w:tcPr>
            <w:tcW w:w="1340" w:type="dxa"/>
            <w:vAlign w:val="bottom"/>
          </w:tcPr>
          <w:p>
            <w:pPr>
              <w:jc w:val="right"/>
              <w:ind w:right="635"/>
              <w:spacing w:after="0"/>
              <w:rPr>
                <w:sz w:val="20"/>
                <w:szCs w:val="20"/>
                <w:color w:val="auto"/>
              </w:rPr>
            </w:pPr>
            <w:r>
              <w:rPr>
                <w:rFonts w:ascii="Arial" w:cs="Arial" w:eastAsia="Arial" w:hAnsi="Arial"/>
                <w:sz w:val="14"/>
                <w:szCs w:val="14"/>
                <w:b w:val="1"/>
                <w:bCs w:val="1"/>
                <w:color w:val="auto"/>
              </w:rPr>
              <w:t>Total</w:t>
            </w:r>
          </w:p>
        </w:tc>
      </w:tr>
      <w:tr>
        <w:trPr>
          <w:trHeight w:val="24"/>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5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146,648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641,537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788,185</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(27,118)</w:t>
            </w: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146,648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761,067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12,260</w:t>
            </w:r>
          </w:p>
        </w:tc>
      </w:tr>
      <w:tr>
        <w:trPr>
          <w:trHeight w:val="242"/>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146,648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773,327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Composition of Certain Financial Statement Captions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composition of property and equipment, net and other accrued liabilities at September 30, 2023 and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29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340"/>
              <w:spacing w:after="0"/>
              <w:rPr>
                <w:sz w:val="20"/>
                <w:szCs w:val="20"/>
                <w:color w:val="auto"/>
              </w:rPr>
            </w:pPr>
            <w:r>
              <w:rPr>
                <w:rFonts w:ascii="Arial" w:cs="Arial" w:eastAsia="Arial" w:hAnsi="Arial"/>
                <w:sz w:val="18"/>
                <w:szCs w:val="18"/>
                <w:color w:val="auto"/>
              </w:rPr>
              <w:t>Data processing equipment and software</w:t>
            </w:r>
          </w:p>
        </w:tc>
        <w:tc>
          <w:tcPr>
            <w:tcW w:w="39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69,928</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514"/>
              <w:spacing w:after="0"/>
              <w:rPr>
                <w:sz w:val="20"/>
                <w:szCs w:val="20"/>
                <w:color w:val="auto"/>
              </w:rPr>
            </w:pPr>
            <w:r>
              <w:rPr>
                <w:rFonts w:ascii="Arial" w:cs="Arial" w:eastAsia="Arial" w:hAnsi="Arial"/>
                <w:sz w:val="18"/>
                <w:szCs w:val="18"/>
                <w:color w:val="auto"/>
                <w:w w:val="87"/>
              </w:rPr>
              <w:t>76,335</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 furniture and equipment</w:t>
            </w:r>
          </w:p>
        </w:tc>
        <w:tc>
          <w:tcPr>
            <w:tcW w:w="2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12,296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87"/>
              </w:rPr>
              <w:t>14,790</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Leasehold improvements</w:t>
            </w:r>
          </w:p>
        </w:tc>
        <w:tc>
          <w:tcPr>
            <w:tcW w:w="29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16,743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87"/>
              </w:rPr>
              <w:t>21,286</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Less: accumulated depreciation and amortization</w:t>
            </w:r>
          </w:p>
        </w:tc>
        <w:tc>
          <w:tcPr>
            <w:tcW w:w="29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(88,001)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9"/>
              </w:rPr>
              <w:t>(94,831)</w:t>
            </w:r>
          </w:p>
        </w:tc>
        <w:tc>
          <w:tcPr>
            <w:tcW w:w="0" w:type="dxa"/>
            <w:vAlign w:val="bottom"/>
          </w:tcPr>
          <w:p>
            <w:pPr>
              <w:spacing w:after="0"/>
              <w:rPr>
                <w:sz w:val="1"/>
                <w:szCs w:val="1"/>
                <w:color w:val="auto"/>
              </w:rPr>
            </w:pPr>
          </w:p>
        </w:tc>
      </w:tr>
      <w:tr>
        <w:trPr>
          <w:trHeight w:val="217"/>
        </w:trPr>
        <w:tc>
          <w:tcPr>
            <w:tcW w:w="4720" w:type="dxa"/>
            <w:vAlign w:val="bottom"/>
          </w:tcPr>
          <w:p>
            <w:pPr>
              <w:ind w:left="560"/>
              <w:spacing w:after="0" w:line="203" w:lineRule="exact"/>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10,966</w:t>
            </w:r>
          </w:p>
        </w:tc>
        <w:tc>
          <w:tcPr>
            <w:tcW w:w="100" w:type="dxa"/>
            <w:vAlign w:val="bottom"/>
          </w:tcPr>
          <w:p>
            <w:pPr>
              <w:spacing w:after="0"/>
              <w:rPr>
                <w:sz w:val="18"/>
                <w:szCs w:val="18"/>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514"/>
              <w:spacing w:after="0"/>
              <w:rPr>
                <w:sz w:val="20"/>
                <w:szCs w:val="20"/>
                <w:color w:val="auto"/>
              </w:rPr>
            </w:pPr>
            <w:r>
              <w:rPr>
                <w:rFonts w:ascii="Arial" w:cs="Arial" w:eastAsia="Arial" w:hAnsi="Arial"/>
                <w:sz w:val="18"/>
                <w:szCs w:val="18"/>
                <w:color w:val="auto"/>
                <w:w w:val="87"/>
              </w:rPr>
              <w:t>17,580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Other accrued liabilities:</w:t>
            </w:r>
          </w:p>
        </w:tc>
        <w:tc>
          <w:tcPr>
            <w:tcW w:w="2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payable</w:t>
            </w:r>
          </w:p>
        </w:tc>
        <w:tc>
          <w:tcPr>
            <w:tcW w:w="39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20,770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87"/>
              </w:rPr>
              <w:t>21,314</w:t>
            </w:r>
          </w:p>
        </w:tc>
        <w:tc>
          <w:tcPr>
            <w:tcW w:w="0" w:type="dxa"/>
            <w:vAlign w:val="bottom"/>
          </w:tcPr>
          <w:p>
            <w:pPr>
              <w:spacing w:after="0"/>
              <w:rPr>
                <w:sz w:val="1"/>
                <w:szCs w:val="1"/>
                <w:color w:val="auto"/>
              </w:rPr>
            </w:pPr>
          </w:p>
        </w:tc>
      </w:tr>
      <w:tr>
        <w:trPr>
          <w:trHeight w:val="223"/>
        </w:trPr>
        <w:tc>
          <w:tcPr>
            <w:tcW w:w="4720" w:type="dxa"/>
            <w:vAlign w:val="bottom"/>
          </w:tcPr>
          <w:p>
            <w:pPr>
              <w:ind w:left="340"/>
              <w:spacing w:after="0"/>
              <w:rPr>
                <w:sz w:val="20"/>
                <w:szCs w:val="20"/>
                <w:color w:val="auto"/>
              </w:rPr>
            </w:pPr>
            <w:r>
              <w:rPr>
                <w:rFonts w:ascii="Arial" w:cs="Arial" w:eastAsia="Arial" w:hAnsi="Arial"/>
                <w:sz w:val="18"/>
                <w:szCs w:val="18"/>
                <w:color w:val="auto"/>
              </w:rPr>
              <w:t>Current operating leases</w:t>
            </w:r>
          </w:p>
        </w:tc>
        <w:tc>
          <w:tcPr>
            <w:tcW w:w="2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16,336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center"/>
              <w:ind w:left="514"/>
              <w:spacing w:after="0"/>
              <w:rPr>
                <w:sz w:val="20"/>
                <w:szCs w:val="20"/>
                <w:color w:val="auto"/>
              </w:rPr>
            </w:pPr>
            <w:r>
              <w:rPr>
                <w:rFonts w:ascii="Arial" w:cs="Arial" w:eastAsia="Arial" w:hAnsi="Arial"/>
                <w:sz w:val="18"/>
                <w:szCs w:val="18"/>
                <w:color w:val="auto"/>
                <w:w w:val="87"/>
              </w:rPr>
              <w:t>19,369</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22,372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25,565</w:t>
            </w:r>
          </w:p>
        </w:tc>
        <w:tc>
          <w:tcPr>
            <w:tcW w:w="0" w:type="dxa"/>
            <w:vAlign w:val="bottom"/>
          </w:tcPr>
          <w:p>
            <w:pPr>
              <w:spacing w:after="0"/>
              <w:rPr>
                <w:sz w:val="1"/>
                <w:szCs w:val="1"/>
                <w:color w:val="auto"/>
              </w:rPr>
            </w:pPr>
          </w:p>
        </w:tc>
      </w:tr>
      <w:tr>
        <w:trPr>
          <w:trHeight w:val="216"/>
        </w:trPr>
        <w:tc>
          <w:tcPr>
            <w:tcW w:w="4720" w:type="dxa"/>
            <w:vAlign w:val="bottom"/>
          </w:tcPr>
          <w:p>
            <w:pPr>
              <w:ind w:left="520"/>
              <w:spacing w:after="0" w:line="203" w:lineRule="exact"/>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59,478</w:t>
            </w:r>
          </w:p>
        </w:tc>
        <w:tc>
          <w:tcPr>
            <w:tcW w:w="100" w:type="dxa"/>
            <w:vAlign w:val="bottom"/>
          </w:tcPr>
          <w:p>
            <w:pPr>
              <w:spacing w:after="0"/>
              <w:rPr>
                <w:sz w:val="18"/>
                <w:szCs w:val="18"/>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514"/>
              <w:spacing w:after="0"/>
              <w:rPr>
                <w:sz w:val="20"/>
                <w:szCs w:val="20"/>
                <w:color w:val="auto"/>
              </w:rPr>
            </w:pPr>
            <w:r>
              <w:rPr>
                <w:rFonts w:ascii="Arial" w:cs="Arial" w:eastAsia="Arial" w:hAnsi="Arial"/>
                <w:sz w:val="18"/>
                <w:szCs w:val="18"/>
                <w:color w:val="auto"/>
                <w:w w:val="87"/>
              </w:rPr>
              <w:t>66,248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900" w:type="dxa"/>
            <w:vAlign w:val="bottom"/>
            <w:vMerge w:val="restart"/>
          </w:tcPr>
          <w:p>
            <w:pPr>
              <w:jc w:val="right"/>
              <w:ind w:right="1812"/>
              <w:spacing w:after="0"/>
              <w:rPr>
                <w:sz w:val="20"/>
                <w:szCs w:val="20"/>
                <w:color w:val="auto"/>
              </w:rPr>
            </w:pPr>
            <w:r>
              <w:rPr>
                <w:rFonts w:ascii="Arial" w:cs="Arial" w:eastAsia="Arial" w:hAnsi="Arial"/>
                <w:sz w:val="18"/>
                <w:szCs w:val="18"/>
                <w:color w:val="auto"/>
              </w:rPr>
              <w:t>63</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4"/>
        </w:trPr>
        <w:tc>
          <w:tcPr>
            <w:tcW w:w="47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2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Revolving Line of Credit and Term Loan</w:t>
      </w:r>
    </w:p>
    <w:p>
      <w:pPr>
        <w:spacing w:after="0" w:line="115" w:lineRule="exact"/>
        <w:rPr>
          <w:sz w:val="20"/>
          <w:szCs w:val="20"/>
          <w:color w:val="auto"/>
        </w:rPr>
      </w:pPr>
    </w:p>
    <w:p>
      <w:pPr>
        <w:jc w:val="both"/>
        <w:ind w:firstLine="395"/>
        <w:spacing w:after="0" w:line="279" w:lineRule="auto"/>
        <w:rPr>
          <w:sz w:val="20"/>
          <w:szCs w:val="20"/>
          <w:color w:val="auto"/>
        </w:rPr>
      </w:pPr>
      <w:r>
        <w:rPr>
          <w:rFonts w:ascii="Arial" w:cs="Arial" w:eastAsia="Arial" w:hAnsi="Arial"/>
          <w:sz w:val="16"/>
          <w:szCs w:val="16"/>
          <w:color w:val="auto"/>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spacing w:after="0" w:line="11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As of September 30, 2023, we had $300.0 million in borrowings outstanding under the revolving line of credit at a weighted-average interest rate of 6.678%, of which $35.0 million was classified as a current liability and $265.0 million was classified as a long-term liability. In addition, as of September 30, 2023, we had $273.8 million in outstanding balance under the term loan at an interest rate of 6.752%, of which $15.0 million was classified as a current liability and $258.8 million was classified as a long-term liability. The current and long-term revolving line of credit and term loan liabilities were recorded in current maturities on debt and long-term debt, respectively, within the accompanying consolidated balance sheets. We were in compliance with all financial covenants under this credit agreement as of September 30, 2023.</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principal payments for the term loan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2024</w:t>
            </w:r>
          </w:p>
        </w:tc>
        <w:tc>
          <w:tcPr>
            <w:tcW w:w="7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15,000</w:t>
            </w:r>
          </w:p>
        </w:tc>
      </w:tr>
      <w:tr>
        <w:trPr>
          <w:trHeight w:val="224"/>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1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w:t>
            </w:r>
          </w:p>
        </w:tc>
        <w:tc>
          <w:tcPr>
            <w:tcW w:w="7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243,750</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360" w:type="dxa"/>
            <w:vAlign w:val="bottom"/>
            <w:tcBorders>
              <w:bottom w:val="single" w:sz="8" w:color="CCEEFF"/>
            </w:tcBorders>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Senior Notes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29"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29"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indentures for the Senior Notes contain certain covenants typical of unsecured obligations and we were in compliance as of September 30, 2023.</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face values and fair values for the Senior Notes at September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5"/>
          </w:tcPr>
          <w:p>
            <w:pPr>
              <w:ind w:left="78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2940" w:type="dxa"/>
            <w:vAlign w:val="bottom"/>
            <w:gridSpan w:val="4"/>
          </w:tcPr>
          <w:p>
            <w:pPr>
              <w:jc w:val="right"/>
              <w:ind w:right="917"/>
              <w:spacing w:after="0"/>
              <w:rPr>
                <w:sz w:val="20"/>
                <w:szCs w:val="20"/>
                <w:color w:val="auto"/>
              </w:rPr>
            </w:pPr>
            <w:r>
              <w:rPr>
                <w:rFonts w:ascii="Arial" w:cs="Arial" w:eastAsia="Arial" w:hAnsi="Arial"/>
                <w:sz w:val="14"/>
                <w:szCs w:val="14"/>
                <w:b w:val="1"/>
                <w:bCs w:val="1"/>
                <w:color w:val="auto"/>
              </w:rPr>
              <w:t>September 30, 2022</w:t>
            </w:r>
          </w:p>
        </w:tc>
      </w:tr>
      <w:tr>
        <w:trPr>
          <w:trHeight w:val="24"/>
        </w:trPr>
        <w:tc>
          <w:tcPr>
            <w:tcW w:w="7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4"/>
        </w:trPr>
        <w:tc>
          <w:tcPr>
            <w:tcW w:w="7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Face Value (*)</w:t>
            </w:r>
          </w:p>
        </w:tc>
        <w:tc>
          <w:tcPr>
            <w:tcW w:w="2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7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8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1"/>
        </w:trPr>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The 2018</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381,500</w:t>
            </w:r>
          </w:p>
        </w:tc>
      </w:tr>
      <w:tr>
        <w:trPr>
          <w:trHeight w:val="223"/>
        </w:trPr>
        <w:tc>
          <w:tcPr>
            <w:tcW w:w="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The 2019</w:t>
            </w:r>
          </w:p>
        </w:tc>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Notes and the 2021 Senior Notes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767,250</w:t>
            </w:r>
          </w:p>
        </w:tc>
      </w:tr>
      <w:tr>
        <w:trPr>
          <w:trHeight w:val="242"/>
        </w:trPr>
        <w:tc>
          <w:tcPr>
            <w:tcW w:w="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1,148,750</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11112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283" w:lineRule="exact"/>
        <w:rPr>
          <w:sz w:val="20"/>
          <w:szCs w:val="20"/>
          <w:color w:val="auto"/>
        </w:rPr>
      </w:pPr>
    </w:p>
    <w:p>
      <w:pPr>
        <w:ind w:firstLine="5"/>
        <w:spacing w:after="0" w:line="261" w:lineRule="auto"/>
        <w:tabs>
          <w:tab w:leader="none" w:pos="233" w:val="left"/>
        </w:tabs>
        <w:numPr>
          <w:ilvl w:val="0"/>
          <w:numId w:val="41"/>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$11.5 million and $14.3 million at September 30, 2023 and 2022, respectively.</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Future principal payments for the Senior Notes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20" w:type="dxa"/>
            <w:vAlign w:val="bottom"/>
            <w:tcBorders>
              <w:top w:val="single" w:sz="8" w:color="CCEEFF"/>
            </w:tcBorders>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2026</w:t>
            </w:r>
          </w:p>
        </w:tc>
        <w:tc>
          <w:tcPr>
            <w:tcW w:w="7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400,000</w:t>
            </w:r>
          </w:p>
        </w:tc>
      </w:tr>
      <w:tr>
        <w:trPr>
          <w:trHeight w:val="224"/>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w:t>
            </w:r>
          </w:p>
        </w:tc>
        <w:tc>
          <w:tcPr>
            <w:tcW w:w="7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9360" w:type="dxa"/>
            <w:vAlign w:val="bottom"/>
            <w:tcBorders>
              <w:bottom w:val="single" w:sz="8" w:color="CCEEFF"/>
            </w:tcBorders>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Accelerated Share Repurchase</w:t>
      </w:r>
    </w:p>
    <w:p>
      <w:pPr>
        <w:spacing w:after="0" w:line="11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We have authorization to make repurchases of shares of our common stock from time to time in the open market or in negotiated transactions. As part of the broader share repurchase program, we entered into an accelerated share repurchase agreement (“ASR Agreement”) with a financial institution on June 17, 2021 to repurchase $200.0 million of our common stock. The ASR Agreement was accounted for as two separate transactions (1) a repurchase of common stock and (2) an equity-linked contract on our own stock. Pursuant to the ASR Agreement, we paid $200.0 million to the financial institution and received an initial delivery of 319,400 shares of common stock, which approximated 80% of the total number of expected shares to be repurchased under the ASR Agreement. The equity-linked contract for the remaining $40.0 million, representing remaining shares to be delivered under the ASR Agreement, was recorded as a reduction to stockholders’ equity as of June 30, 2021 and was settled in August 2021 with us receiving 70,127 additional shares. In total, 389,527 shares were repurchased under the ASR Agreement. We were not required to make any additional cash payments or delivery of common stock to the financial institution upon settlement of the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from Contracts with Customers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Our revenue is primarily derived from on-premises software and SaaS subscriptions, professional services and scoring services. For contracts with customers that contain various combinations of products and services, we evaluate whether the products or services are distinct — 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on-premises software is primarily sold on a subscription basis, which includes a term-based license and post-contract support or maintenance, both of which generally represent distinct performance obligations and are accounted for separately. The transaction price is either a fixed fee, or a usage-based fee — sometimes subject to a guaranteed minimum. When the amount is fixed, including the guaranteed minimum in a usage-based fee, license revenue is recognized at the point in time when the software is made available to the customer. Maintenance revenue is recognized ratably over the contract period as customers simultaneously consume and receive benefits. Any usage-based fees not subject to a guaranteed minimum or earned in excess of the minimum amount are recognized when the subsequent usage occurs. We occasionally sell software arrangements consisting of on-premises perpetual licenses and maintenance. License revenue is recognized at a point in time when the software is made available to the customer and maintenance revenue is recognized ratably over the contract term.</w:t>
      </w:r>
    </w:p>
    <w:p>
      <w:pPr>
        <w:spacing w:after="0" w:line="119"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SaaS products provide customers with access to and standard support for our software on a subscription basis, delivered through our own infrastructure or third-party cloud services. The SaaS transaction contracts typically include a guaranteed minimum fee per period that allows up to a certain level of usage and a consumption-based variable fee in excess of the minimum threshold; or a consumption-based variable fee not subject to a minimum threshold. The nature of our SaaS arrangements is to provide continuous access to our hosted solutions in the cloud, i.e., a stand-ready obligation that comprises a series of distinct service periods (e.g., a series of distinct daily, monthly or annual periods of service). We estimate the total variable consideration at contract inception — subject to any constraints that may apply — 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1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professional services include software implementation, consulting, model development and training. Professional services are sold either standalone, or together with other products or services and generally represent distinct performance obligations. The transaction price can be a fixed amount or a variable amount based upon the time and materials expended. Revenue on fixed-price services is recognized using an input method based on labor hours expended, which we believe provides a faithful depiction of the transfer of services. Revenue on services provided on a time and materials basis is recognized by applying the “right-to-invoice” practical expedient as the amount to which we have a right to invoice the customer corresponds directly with the value of our performance to the customer.</w:t>
      </w:r>
    </w:p>
    <w:p>
      <w:pPr>
        <w:spacing w:after="0" w:line="143"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5"/>
          <w:szCs w:val="15"/>
          <w:color w:val="auto"/>
        </w:rPr>
        <w:t>Our scoring services include both business-to-business and business-to-consumer offerings. Our business-to-business scoring services typically include a license that grants consumer reporting agencies the right to use our scoring solutions in exchange for a usage-based royalty. Revenue is generally recognized when the usage occurs. Business-to-consumer offerings provide consumers with access to their FICO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Scores and credit reports, as well as other value-add services. These are provided as either a one-time or ongoing subscription service renewed monthly or annually, all with a fixed consideration.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During fiscal 2021, we sold all assets related to our cyber risk score operations, sold certain assets related to our Software segment to an affiliated joint venture in China, and divested our C&amp;R business. During fiscal 2023, we sold certain assets related to our Siron compliance business. The comparability of the data below is impacted as a result of these divestitures.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information about disaggregated revenue by primary geographical market: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September 30, 2023</w:t>
            </w:r>
          </w:p>
        </w:tc>
        <w:tc>
          <w:tcPr>
            <w:tcW w:w="1660" w:type="dxa"/>
            <w:vAlign w:val="bottom"/>
          </w:tcPr>
          <w:p>
            <w:pPr>
              <w:spacing w:after="0"/>
              <w:rPr>
                <w:sz w:val="15"/>
                <w:szCs w:val="15"/>
                <w:color w:val="auto"/>
              </w:rPr>
            </w:pPr>
          </w:p>
        </w:tc>
      </w:tr>
      <w:tr>
        <w:trPr>
          <w:trHeight w:val="24"/>
        </w:trPr>
        <w:tc>
          <w:tcPr>
            <w:tcW w:w="4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4"/>
        </w:trPr>
        <w:tc>
          <w:tcPr>
            <w:tcW w:w="40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Percentage</w:t>
            </w:r>
          </w:p>
        </w:tc>
      </w:tr>
      <w:tr>
        <w:trPr>
          <w:trHeight w:val="190"/>
        </w:trPr>
        <w:tc>
          <w:tcPr>
            <w:tcW w:w="4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763,874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523,076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1,286,950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135,562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141,364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17"/>
        </w:trPr>
        <w:tc>
          <w:tcPr>
            <w:tcW w:w="406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773,828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739,729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1,513,557</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Year Ended September 30, 2022</w:t>
            </w:r>
          </w:p>
        </w:tc>
        <w:tc>
          <w:tcPr>
            <w:tcW w:w="1660" w:type="dxa"/>
            <w:vAlign w:val="bottom"/>
          </w:tcPr>
          <w:p>
            <w:pPr>
              <w:spacing w:after="0"/>
              <w:rPr>
                <w:sz w:val="15"/>
                <w:szCs w:val="15"/>
                <w:color w:val="auto"/>
              </w:rPr>
            </w:pPr>
          </w:p>
        </w:tc>
      </w:tr>
      <w:tr>
        <w:trPr>
          <w:trHeight w:val="24"/>
        </w:trPr>
        <w:tc>
          <w:tcPr>
            <w:tcW w:w="4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4"/>
        </w:trPr>
        <w:tc>
          <w:tcPr>
            <w:tcW w:w="40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Percentage</w:t>
            </w:r>
          </w:p>
        </w:tc>
      </w:tr>
      <w:tr>
        <w:trPr>
          <w:trHeight w:val="190"/>
        </w:trPr>
        <w:tc>
          <w:tcPr>
            <w:tcW w:w="4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0"/>
              </w:rPr>
              <w:t>(Dollars 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691,006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439,705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1,130,711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142,824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147,299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99,260</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17"/>
        </w:trPr>
        <w:tc>
          <w:tcPr>
            <w:tcW w:w="406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706,643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670,627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1,377,270</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22"/>
        </w:trPr>
        <w:tc>
          <w:tcPr>
            <w:tcW w:w="4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9"/>
              </w:rPr>
              <w:t>Year Ended September 30, 2021</w:t>
            </w:r>
          </w:p>
        </w:tc>
        <w:tc>
          <w:tcPr>
            <w:tcW w:w="1660" w:type="dxa"/>
            <w:vAlign w:val="bottom"/>
          </w:tcPr>
          <w:p>
            <w:pPr>
              <w:spacing w:after="0"/>
              <w:rPr>
                <w:sz w:val="24"/>
                <w:szCs w:val="24"/>
                <w:color w:val="auto"/>
              </w:rPr>
            </w:pPr>
          </w:p>
        </w:tc>
      </w:tr>
      <w:tr>
        <w:trPr>
          <w:trHeight w:val="24"/>
        </w:trPr>
        <w:tc>
          <w:tcPr>
            <w:tcW w:w="4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4"/>
        </w:trPr>
        <w:tc>
          <w:tcPr>
            <w:tcW w:w="40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Scores</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Software</w:t>
            </w: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Percentage</w:t>
            </w:r>
          </w:p>
        </w:tc>
      </w:tr>
      <w:tr>
        <w:trPr>
          <w:trHeight w:val="190"/>
        </w:trPr>
        <w:tc>
          <w:tcPr>
            <w:tcW w:w="4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0"/>
              </w:rPr>
              <w:t>(Dollars 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1"/>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633,497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416,436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1,049,933</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178,515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190,396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17"/>
        </w:trPr>
        <w:tc>
          <w:tcPr>
            <w:tcW w:w="406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654,147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662,389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1,316,536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deployment method: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w w:val="89"/>
              </w:rPr>
              <w:t>Year Ended September 30,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86"/>
              </w:rPr>
              <w:t>Percentage of revenues</w:t>
            </w:r>
          </w:p>
        </w:tc>
        <w:tc>
          <w:tcPr>
            <w:tcW w:w="1200" w:type="dxa"/>
            <w:vAlign w:val="bottom"/>
          </w:tcPr>
          <w:p>
            <w:pPr>
              <w:spacing w:after="0"/>
              <w:rPr>
                <w:sz w:val="15"/>
                <w:szCs w:val="15"/>
                <w:color w:val="auto"/>
              </w:rPr>
            </w:pPr>
          </w:p>
        </w:tc>
      </w:tr>
      <w:tr>
        <w:trPr>
          <w:trHeight w:val="24"/>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3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r>
      <w:tr>
        <w:trPr>
          <w:trHeight w:val="190"/>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w w:val="91"/>
              </w:rPr>
              <w:t>(Dollars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On-premises software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292,763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280,649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SaaS software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on-premises and SaaS software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640,182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517,888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product features: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w w:val="89"/>
              </w:rPr>
              <w:t>Year Ended September 30,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86"/>
              </w:rPr>
              <w:t>Percentage of revenues</w:t>
            </w:r>
          </w:p>
        </w:tc>
        <w:tc>
          <w:tcPr>
            <w:tcW w:w="1200" w:type="dxa"/>
            <w:vAlign w:val="bottom"/>
          </w:tcPr>
          <w:p>
            <w:pPr>
              <w:spacing w:after="0"/>
              <w:rPr>
                <w:sz w:val="15"/>
                <w:szCs w:val="15"/>
                <w:color w:val="auto"/>
              </w:rPr>
            </w:pPr>
          </w:p>
        </w:tc>
      </w:tr>
      <w:tr>
        <w:trPr>
          <w:trHeight w:val="24"/>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3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r>
      <w:tr>
        <w:trPr>
          <w:trHeight w:val="190"/>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w w:val="91"/>
              </w:rPr>
              <w:t>(Dollars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30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Platform software </w:t>
            </w: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Non-Platform software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448,499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on-premises and SaaS software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640,182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517,888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14122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83" w:lineRule="exact"/>
        <w:rPr>
          <w:sz w:val="20"/>
          <w:szCs w:val="20"/>
          <w:color w:val="auto"/>
        </w:rPr>
      </w:pPr>
    </w:p>
    <w:p>
      <w:pPr>
        <w:jc w:val="both"/>
        <w:ind w:firstLine="5"/>
        <w:spacing w:after="0" w:line="252" w:lineRule="auto"/>
        <w:tabs>
          <w:tab w:leader="none" w:pos="2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about disaggregated revenue for our Software segment by timing of revenue recognition: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w w:val="89"/>
              </w:rPr>
              <w:t>Year Ended September 30,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86"/>
              </w:rPr>
              <w:t>Percentage of revenues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(Dollars 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0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w w:val="91"/>
              </w:rPr>
              <w:t xml:space="preserve">Software recognized at a point in time </w:t>
            </w:r>
            <w:r>
              <w:rPr>
                <w:rFonts w:ascii="Arial" w:cs="Arial" w:eastAsia="Arial" w:hAnsi="Arial"/>
                <w:sz w:val="22"/>
                <w:szCs w:val="22"/>
                <w:color w:val="auto"/>
                <w:w w:val="91"/>
                <w:vertAlign w:val="superscript"/>
              </w:rPr>
              <w:t>(1)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72,843</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30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w w:val="88"/>
              </w:rPr>
              <w:t xml:space="preserve">Software recognized over contract term </w:t>
            </w:r>
            <w:r>
              <w:rPr>
                <w:rFonts w:ascii="Arial" w:cs="Arial" w:eastAsia="Arial" w:hAnsi="Arial"/>
                <w:sz w:val="22"/>
                <w:szCs w:val="22"/>
                <w:color w:val="auto"/>
                <w:w w:val="88"/>
                <w:vertAlign w:val="superscript"/>
              </w:rPr>
              <w:t>(2)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567,339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489,104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152"/>
        </w:trPr>
        <w:tc>
          <w:tcPr>
            <w:tcW w:w="3020" w:type="dxa"/>
            <w:vAlign w:val="bottom"/>
            <w:shd w:val="clear" w:color="auto" w:fill="CCEEFF"/>
          </w:tcPr>
          <w:p>
            <w:pPr>
              <w:ind w:left="240"/>
              <w:spacing w:after="0" w:line="152" w:lineRule="exact"/>
              <w:rPr>
                <w:sz w:val="20"/>
                <w:szCs w:val="20"/>
                <w:color w:val="auto"/>
              </w:rPr>
            </w:pPr>
            <w:r>
              <w:rPr>
                <w:rFonts w:ascii="Arial" w:cs="Arial" w:eastAsia="Arial" w:hAnsi="Arial"/>
                <w:sz w:val="16"/>
                <w:szCs w:val="16"/>
                <w:color w:val="auto"/>
              </w:rPr>
              <w:t>Total on-premises and SaaS</w:t>
            </w: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640,182</w:t>
            </w:r>
          </w:p>
        </w:tc>
        <w:tc>
          <w:tcPr>
            <w:tcW w:w="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517,888</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w:t>
            </w: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1412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20" w:hanging="315"/>
        <w:spacing w:after="0" w:line="250" w:lineRule="auto"/>
        <w:tabs>
          <w:tab w:leader="none" w:pos="3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license portion of our on-premises subscription software and perpetual license, both of which are recognized when the software is made available to the customer, or at the start of the subscription.</w:t>
      </w:r>
    </w:p>
    <w:p>
      <w:pPr>
        <w:spacing w:after="0" w:line="1" w:lineRule="exact"/>
        <w:rPr>
          <w:rFonts w:ascii="Arial" w:cs="Arial" w:eastAsia="Arial" w:hAnsi="Arial"/>
          <w:sz w:val="18"/>
          <w:szCs w:val="18"/>
          <w:color w:val="auto"/>
        </w:rPr>
      </w:pPr>
    </w:p>
    <w:p>
      <w:pPr>
        <w:ind w:left="320" w:hanging="315"/>
        <w:spacing w:after="0" w:line="248" w:lineRule="auto"/>
        <w:tabs>
          <w:tab w:leader="none" w:pos="3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maintenance portion and usage-based fees of our on-premises subscription software, maintenance revenue on perpetual licenses, as well as SaaS revenue.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about disaggregated revenue for our Scores segment by distribution method: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w w:val="89"/>
              </w:rPr>
              <w:t>Year Ended September 30,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86"/>
              </w:rPr>
              <w:t>Percentage of revenues</w:t>
            </w:r>
          </w:p>
        </w:tc>
        <w:tc>
          <w:tcPr>
            <w:tcW w:w="1200" w:type="dxa"/>
            <w:vAlign w:val="bottom"/>
          </w:tcPr>
          <w:p>
            <w:pPr>
              <w:spacing w:after="0"/>
              <w:rPr>
                <w:sz w:val="15"/>
                <w:szCs w:val="15"/>
                <w:color w:val="auto"/>
              </w:rPr>
            </w:pPr>
          </w:p>
        </w:tc>
      </w:tr>
      <w:tr>
        <w:trPr>
          <w:trHeight w:val="24"/>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3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3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r>
      <w:tr>
        <w:trPr>
          <w:trHeight w:val="190"/>
        </w:trPr>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w w:val="91"/>
              </w:rPr>
              <w:t>(Dollars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1"/>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Business-to-business Scores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560,995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446,538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2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Business-to-consumer Scores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37"/>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706,643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derive a substantial portion of revenues from our contracts with the three major consumer reporting agencies, TransUnion, Equifax and Experian. Revenues collectively generated by agreements with these customers accounted for 41%, 39% and 38% of our total revenues in fiscal 2023, 2022 and 2021, respectively, with all three consumer reporting agencies each contributing more than 10% of our total revenues in fiscal 2023, and two each contributing more than 10% of our total revenues in fiscal 2022 and 2021. At September 30, 2023, one individual customer accounted for 10% or more of total consolidated receivables. At September 30, 2022, no individual customer accounted for 10% or more of total consolidated receivables.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9"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Receivables at September 30, 2023 and 2022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tcPr>
          <w:p>
            <w:pPr>
              <w:spacing w:after="0"/>
              <w:rPr>
                <w:sz w:val="15"/>
                <w:szCs w:val="15"/>
                <w:color w:val="auto"/>
              </w:rPr>
            </w:pPr>
          </w:p>
        </w:tc>
      </w:tr>
      <w:tr>
        <w:trPr>
          <w:trHeight w:val="24"/>
        </w:trPr>
        <w:tc>
          <w:tcPr>
            <w:tcW w:w="1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16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190"/>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6"/>
                <w:szCs w:val="16"/>
                <w:color w:val="auto"/>
              </w:rPr>
            </w:pPr>
          </w:p>
        </w:tc>
      </w:tr>
      <w:tr>
        <w:trPr>
          <w:trHeight w:val="231"/>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203,351</w:t>
            </w:r>
          </w:p>
        </w:tc>
      </w:tr>
      <w:tr>
        <w:trPr>
          <w:trHeight w:val="223"/>
        </w:trPr>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203,896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165,386</w:t>
            </w:r>
          </w:p>
        </w:tc>
      </w:tr>
      <w:tr>
        <w:trPr>
          <w:trHeight w:val="217"/>
        </w:trPr>
        <w:tc>
          <w:tcPr>
            <w:tcW w:w="16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438,641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368,737</w:t>
            </w:r>
          </w:p>
        </w:tc>
      </w:tr>
      <w:tr>
        <w:trPr>
          <w:trHeight w:val="223"/>
        </w:trPr>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r>
      <w:tr>
        <w:trPr>
          <w:trHeight w:val="217"/>
        </w:trPr>
        <w:tc>
          <w:tcPr>
            <w:tcW w:w="73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Net receivables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433,663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364,519</w:t>
            </w:r>
          </w:p>
        </w:tc>
      </w:tr>
      <w:tr>
        <w:trPr>
          <w:trHeight w:val="224"/>
        </w:trPr>
        <w:tc>
          <w:tcPr>
            <w:tcW w:w="7380" w:type="dxa"/>
            <w:vAlign w:val="bottom"/>
            <w:tcBorders>
              <w:bottom w:val="single" w:sz="8" w:color="CCEEFF"/>
            </w:tcBorders>
            <w:gridSpan w:val="2"/>
          </w:tcPr>
          <w:p>
            <w:pPr>
              <w:ind w:left="200"/>
              <w:spacing w:after="0" w:line="224" w:lineRule="exact"/>
              <w:rPr>
                <w:sz w:val="20"/>
                <w:szCs w:val="20"/>
                <w:color w:val="auto"/>
              </w:rPr>
            </w:pPr>
            <w:r>
              <w:rPr>
                <w:rFonts w:ascii="Arial" w:cs="Arial" w:eastAsia="Arial" w:hAnsi="Arial"/>
                <w:sz w:val="18"/>
                <w:szCs w:val="18"/>
                <w:color w:val="auto"/>
              </w:rPr>
              <w:t xml:space="preserve">Less: long-term receivables </w:t>
            </w: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(42,109)</w:t>
            </w:r>
          </w:p>
        </w:tc>
      </w:tr>
      <w:tr>
        <w:trPr>
          <w:trHeight w:val="242"/>
        </w:trPr>
        <w:tc>
          <w:tcPr>
            <w:tcW w:w="7380" w:type="dxa"/>
            <w:vAlign w:val="bottom"/>
            <w:tcBorders>
              <w:bottom w:val="single" w:sz="8" w:color="CCEEFF"/>
            </w:tcBorders>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 xml:space="preserve">Short-term receivables </w:t>
            </w: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387,947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322,410</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1640" w:type="dxa"/>
            <w:vAlign w:val="bottom"/>
            <w:tcBorders>
              <w:bottom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67" w:lineRule="exact"/>
        <w:rPr>
          <w:sz w:val="20"/>
          <w:szCs w:val="20"/>
          <w:color w:val="auto"/>
        </w:rPr>
      </w:pPr>
    </w:p>
    <w:p>
      <w:pPr>
        <w:ind w:firstLine="5"/>
        <w:spacing w:after="0" w:line="261" w:lineRule="auto"/>
        <w:tabs>
          <w:tab w:leader="none" w:pos="2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consolidated balance sheets.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Year Ended September 30,</w:t>
            </w:r>
          </w:p>
        </w:tc>
        <w:tc>
          <w:tcPr>
            <w:tcW w:w="108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73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w w:val="89"/>
              </w:rPr>
              <w:t>2022</w:t>
            </w:r>
          </w:p>
        </w:tc>
      </w:tr>
      <w:tr>
        <w:trPr>
          <w:trHeight w:val="190"/>
        </w:trPr>
        <w:tc>
          <w:tcPr>
            <w:tcW w:w="7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balance</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476"/>
              <w:spacing w:after="0"/>
              <w:rPr>
                <w:sz w:val="20"/>
                <w:szCs w:val="20"/>
                <w:color w:val="auto"/>
              </w:rPr>
            </w:pPr>
            <w:r>
              <w:rPr>
                <w:rFonts w:ascii="Arial" w:cs="Arial" w:eastAsia="Arial" w:hAnsi="Arial"/>
                <w:sz w:val="18"/>
                <w:szCs w:val="18"/>
                <w:color w:val="auto"/>
                <w:w w:val="88"/>
              </w:rPr>
              <w:t>4,154</w:t>
            </w:r>
          </w:p>
        </w:tc>
      </w:tr>
      <w:tr>
        <w:trPr>
          <w:trHeight w:val="223"/>
        </w:trPr>
        <w:tc>
          <w:tcPr>
            <w:tcW w:w="7380" w:type="dxa"/>
            <w:vAlign w:val="bottom"/>
          </w:tcPr>
          <w:p>
            <w:pPr>
              <w:ind w:left="340"/>
              <w:spacing w:after="0"/>
              <w:rPr>
                <w:sz w:val="20"/>
                <w:szCs w:val="20"/>
                <w:color w:val="auto"/>
              </w:rPr>
            </w:pPr>
            <w:r>
              <w:rPr>
                <w:rFonts w:ascii="Arial" w:cs="Arial" w:eastAsia="Arial" w:hAnsi="Arial"/>
                <w:sz w:val="18"/>
                <w:szCs w:val="18"/>
                <w:color w:val="auto"/>
              </w:rPr>
              <w:t>Add: expense</w:t>
            </w: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ind w:left="476"/>
              <w:spacing w:after="0"/>
              <w:rPr>
                <w:sz w:val="20"/>
                <w:szCs w:val="20"/>
                <w:color w:val="auto"/>
              </w:rPr>
            </w:pPr>
            <w:r>
              <w:rPr>
                <w:rFonts w:ascii="Arial" w:cs="Arial" w:eastAsia="Arial" w:hAnsi="Arial"/>
                <w:sz w:val="18"/>
                <w:szCs w:val="18"/>
                <w:color w:val="auto"/>
                <w:w w:val="88"/>
              </w:rPr>
              <w:t>2,300</w:t>
            </w:r>
          </w:p>
        </w:tc>
      </w:tr>
      <w:tr>
        <w:trPr>
          <w:trHeight w:val="224"/>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write-offs (net of recoveries)</w:t>
            </w:r>
          </w:p>
        </w:tc>
        <w:tc>
          <w:tcPr>
            <w:tcW w:w="1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36"/>
              <w:spacing w:after="0"/>
              <w:rPr>
                <w:sz w:val="20"/>
                <w:szCs w:val="20"/>
                <w:color w:val="auto"/>
              </w:rPr>
            </w:pPr>
            <w:r>
              <w:rPr>
                <w:rFonts w:ascii="Arial" w:cs="Arial" w:eastAsia="Arial" w:hAnsi="Arial"/>
                <w:sz w:val="18"/>
                <w:szCs w:val="18"/>
                <w:color w:val="auto"/>
                <w:w w:val="91"/>
              </w:rPr>
              <w:t>(2,236)</w:t>
            </w:r>
          </w:p>
        </w:tc>
      </w:tr>
      <w:tr>
        <w:trPr>
          <w:trHeight w:val="217"/>
        </w:trPr>
        <w:tc>
          <w:tcPr>
            <w:tcW w:w="7380" w:type="dxa"/>
            <w:vAlign w:val="bottom"/>
          </w:tcPr>
          <w:p>
            <w:pPr>
              <w:ind w:left="20"/>
              <w:spacing w:after="0" w:line="203" w:lineRule="exact"/>
              <w:rPr>
                <w:sz w:val="20"/>
                <w:szCs w:val="20"/>
                <w:color w:val="auto"/>
              </w:rPr>
            </w:pPr>
            <w:r>
              <w:rPr>
                <w:rFonts w:ascii="Arial" w:cs="Arial" w:eastAsia="Arial" w:hAnsi="Arial"/>
                <w:sz w:val="18"/>
                <w:szCs w:val="18"/>
                <w:color w:val="auto"/>
              </w:rPr>
              <w:t>Allowance for doubtful accounts, ending balance</w:t>
            </w:r>
          </w:p>
        </w:tc>
        <w:tc>
          <w:tcPr>
            <w:tcW w:w="110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88"/>
              </w:rPr>
              <w:t>4,218</w:t>
            </w:r>
          </w:p>
        </w:tc>
      </w:tr>
      <w:tr>
        <w:trPr>
          <w:trHeight w:val="20"/>
        </w:trPr>
        <w:tc>
          <w:tcPr>
            <w:tcW w:w="7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Year Ended September 30,</w:t>
            </w:r>
          </w:p>
        </w:tc>
        <w:tc>
          <w:tcPr>
            <w:tcW w:w="1080" w:type="dxa"/>
            <w:vAlign w:val="bottom"/>
          </w:tcPr>
          <w:p>
            <w:pPr>
              <w:spacing w:after="0"/>
              <w:rPr>
                <w:sz w:val="15"/>
                <w:szCs w:val="15"/>
                <w:color w:val="auto"/>
              </w:rPr>
            </w:pPr>
          </w:p>
        </w:tc>
      </w:tr>
      <w:tr>
        <w:trPr>
          <w:trHeight w:val="24"/>
        </w:trPr>
        <w:tc>
          <w:tcPr>
            <w:tcW w:w="16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16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w w:val="89"/>
              </w:rPr>
              <w:t>2022</w:t>
            </w:r>
          </w:p>
        </w:tc>
      </w:tr>
      <w:tr>
        <w:trPr>
          <w:trHeight w:val="190"/>
        </w:trPr>
        <w:tc>
          <w:tcPr>
            <w:tcW w:w="1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r>
      <w:tr>
        <w:trPr>
          <w:trHeight w:val="231"/>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revenues, beginning balance</w:t>
            </w:r>
          </w:p>
        </w:tc>
        <w:tc>
          <w:tcPr>
            <w:tcW w:w="1100" w:type="dxa"/>
            <w:vAlign w:val="bottom"/>
            <w:shd w:val="clear" w:color="auto" w:fill="CCEEFF"/>
          </w:tcPr>
          <w:p>
            <w:pPr>
              <w:jc w:val="right"/>
              <w:ind w:right="898"/>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126,560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110,763</w:t>
            </w:r>
          </w:p>
        </w:tc>
      </w:tr>
      <w:tr>
        <w:trPr>
          <w:trHeight w:val="223"/>
        </w:trPr>
        <w:tc>
          <w:tcPr>
            <w:tcW w:w="7380" w:type="dxa"/>
            <w:vAlign w:val="bottom"/>
            <w:gridSpan w:val="2"/>
          </w:tcPr>
          <w:p>
            <w:pPr>
              <w:ind w:left="20"/>
              <w:spacing w:after="0"/>
              <w:rPr>
                <w:sz w:val="20"/>
                <w:szCs w:val="20"/>
                <w:color w:val="auto"/>
              </w:rPr>
            </w:pPr>
            <w:r>
              <w:rPr>
                <w:rFonts w:ascii="Arial" w:cs="Arial" w:eastAsia="Arial" w:hAnsi="Arial"/>
                <w:sz w:val="18"/>
                <w:szCs w:val="18"/>
                <w:color w:val="auto"/>
                <w:w w:val="90"/>
              </w:rPr>
              <w:t>Revenue recognized that was included in the deferred revenues balance at the beginning of the period</w:t>
            </w:r>
          </w:p>
        </w:tc>
        <w:tc>
          <w:tcPr>
            <w:tcW w:w="1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(113,341)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(95,286)</w:t>
            </w:r>
          </w:p>
        </w:tc>
      </w:tr>
      <w:tr>
        <w:trPr>
          <w:trHeight w:val="224"/>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1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130,016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111,083</w:t>
            </w:r>
          </w:p>
        </w:tc>
      </w:tr>
      <w:tr>
        <w:trPr>
          <w:trHeight w:val="217"/>
        </w:trPr>
        <w:tc>
          <w:tcPr>
            <w:tcW w:w="7380" w:type="dxa"/>
            <w:vAlign w:val="bottom"/>
            <w:gridSpan w:val="2"/>
          </w:tcPr>
          <w:p>
            <w:pPr>
              <w:ind w:left="20"/>
              <w:spacing w:after="0" w:line="218" w:lineRule="exact"/>
              <w:rPr>
                <w:sz w:val="20"/>
                <w:szCs w:val="20"/>
                <w:color w:val="auto"/>
              </w:rPr>
            </w:pPr>
            <w:r>
              <w:rPr>
                <w:rFonts w:ascii="Arial" w:cs="Arial" w:eastAsia="Arial" w:hAnsi="Arial"/>
                <w:sz w:val="18"/>
                <w:szCs w:val="18"/>
                <w:color w:val="auto"/>
              </w:rPr>
              <w:t xml:space="preserve">Deferred revenues, ending balance </w:t>
            </w:r>
            <w:r>
              <w:rPr>
                <w:rFonts w:ascii="Arial" w:cs="Arial" w:eastAsia="Arial" w:hAnsi="Arial"/>
                <w:sz w:val="22"/>
                <w:szCs w:val="22"/>
                <w:color w:val="auto"/>
                <w:vertAlign w:val="superscript"/>
              </w:rPr>
              <w:t>(</w:t>
            </w:r>
            <w:r>
              <w:rPr>
                <w:rFonts w:ascii="Arial" w:cs="Arial" w:eastAsia="Arial" w:hAnsi="Arial"/>
                <w:sz w:val="18"/>
                <w:szCs w:val="18"/>
                <w:color w:val="auto"/>
              </w:rPr>
              <w:t>*</w:t>
            </w:r>
            <w:r>
              <w:rPr>
                <w:rFonts w:ascii="Arial" w:cs="Arial" w:eastAsia="Arial" w:hAnsi="Arial"/>
                <w:sz w:val="22"/>
                <w:szCs w:val="22"/>
                <w:color w:val="auto"/>
                <w:vertAlign w:val="superscript"/>
              </w:rPr>
              <w:t>)</w:t>
            </w:r>
          </w:p>
        </w:tc>
        <w:tc>
          <w:tcPr>
            <w:tcW w:w="1100" w:type="dxa"/>
            <w:vAlign w:val="bottom"/>
            <w:tcBorders>
              <w:bottom w:val="single" w:sz="8" w:color="auto"/>
            </w:tcBorders>
          </w:tcPr>
          <w:p>
            <w:pPr>
              <w:jc w:val="right"/>
              <w:ind w:right="898"/>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143,235</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126,560</w:t>
            </w:r>
          </w:p>
        </w:tc>
      </w:tr>
      <w:tr>
        <w:trPr>
          <w:trHeight w:val="20"/>
        </w:trPr>
        <w:tc>
          <w:tcPr>
            <w:tcW w:w="16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6"/>
        </w:trPr>
        <w:tc>
          <w:tcPr>
            <w:tcW w:w="1640" w:type="dxa"/>
            <w:vAlign w:val="bottom"/>
            <w:tcBorders>
              <w:bottom w:val="single" w:sz="8" w:color="auto"/>
            </w:tcBorders>
          </w:tcPr>
          <w:p>
            <w:pPr>
              <w:spacing w:after="0"/>
              <w:rPr>
                <w:sz w:val="18"/>
                <w:szCs w:val="18"/>
                <w:color w:val="auto"/>
              </w:rPr>
            </w:pPr>
          </w:p>
        </w:tc>
        <w:tc>
          <w:tcPr>
            <w:tcW w:w="5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85" w:lineRule="exact"/>
        <w:rPr>
          <w:sz w:val="20"/>
          <w:szCs w:val="20"/>
          <w:color w:val="auto"/>
        </w:rPr>
      </w:pPr>
    </w:p>
    <w:p>
      <w:pPr>
        <w:jc w:val="both"/>
        <w:ind w:firstLine="5"/>
        <w:spacing w:after="0" w:line="299" w:lineRule="auto"/>
        <w:tabs>
          <w:tab w:leader="none" w:pos="259"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Deferred revenues at September 30, 2023 included current portion of $136.7 million and long-term portion of $6.5 million that were recorded in deferred revenue and other liabilities, respectively, within the consolidated balance sheets. Deferred revenues at September 30, 2022 included current portion of $120.0 million and long-term portion of $6.6 million that were recorded in deferred revenue and other liabilities, respectively, within the consolidated balance sheets.</w:t>
      </w:r>
    </w:p>
    <w:p>
      <w:pPr>
        <w:spacing w:after="0" w:line="102"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0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24" w:lineRule="exact"/>
        <w:rPr>
          <w:sz w:val="20"/>
          <w:szCs w:val="20"/>
          <w:color w:val="auto"/>
        </w:rPr>
      </w:pPr>
    </w:p>
    <w:p>
      <w:pPr>
        <w:ind w:left="640" w:hanging="319"/>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Usage-based revenue that will be recognized in future periods from on-premises software subscriptions;</w:t>
      </w:r>
    </w:p>
    <w:p>
      <w:pPr>
        <w:spacing w:after="0" w:line="56" w:lineRule="exact"/>
        <w:rPr>
          <w:rFonts w:ascii="Arial" w:cs="Arial" w:eastAsia="Arial" w:hAnsi="Arial"/>
          <w:sz w:val="18"/>
          <w:szCs w:val="18"/>
          <w:color w:val="auto"/>
        </w:rPr>
      </w:pPr>
    </w:p>
    <w:p>
      <w:pPr>
        <w:ind w:left="640" w:hanging="319"/>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Consumption-based variable fees from SaaS software that will be recognized in the distinct service period during which it is earned; and</w:t>
      </w:r>
    </w:p>
    <w:p>
      <w:pPr>
        <w:spacing w:after="0" w:line="79"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2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Revenue allocated to remaining performance obligations was $470.5 million as of September 30, 2023, approximately 51% of which we expect to recognize over the next 17 months and the remainder thereafter. Revenue allocated to remaining performance obligations was $357.4 million as of September 30, 2022.</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0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or SaaS service and will result in the combination of software or SaaS service and implementation service as one performance obligation.</w:t>
      </w:r>
    </w:p>
    <w:p>
      <w:pPr>
        <w:spacing w:after="0" w:line="143"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11"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0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capitalize incremental commission fees paid as a result of obtaining customer contracts. Capitalized commission costs, which are recorded in other assets within the accompanying consolidated balance sheets, were $58.6 million and $53.0 million at September 30, 2023 and 2022, respectively.</w:t>
      </w:r>
    </w:p>
    <w:p>
      <w:pPr>
        <w:spacing w:after="0" w:line="82"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consolidated statements of income and comprehensive income. The amount of amortization was $8.2 million, $7.2 million, and $6.0 million during the years ended September 30, 2023, 2022 and 2021, respectively. There was no impairment loss in relation to the costs capitalized.</w:t>
      </w:r>
    </w:p>
    <w:p>
      <w:pPr>
        <w:spacing w:after="0" w:line="141"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09"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We sponsor the Fair Isaac Corporation 401(k) plan for eligible employees in the U.S. Under this plan, eligible employees may contribute up to 25% of compensation, not to exceed statutory limits. We also provide a company matching contribution. Investment in FICO common stock is not an option under this plan. Our contributions into all 401(k) plans, including former-acquired-company-sponsored plans that have since merged into the Fair Isaac Corporation 401(k) plan or have been frozen, totaled $8.9 million, $8.2 million and $9.8 million during fiscal 2023, 2022 and 2021, respectively.</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Incentive Plans</w:t>
      </w:r>
    </w:p>
    <w:p>
      <w:pPr>
        <w:spacing w:after="0" w:line="109" w:lineRule="exact"/>
        <w:rPr>
          <w:sz w:val="20"/>
          <w:szCs w:val="20"/>
          <w:color w:val="auto"/>
        </w:rPr>
      </w:pPr>
    </w:p>
    <w:p>
      <w:pPr>
        <w:jc w:val="both"/>
        <w:ind w:firstLine="434"/>
        <w:spacing w:after="0" w:line="250" w:lineRule="auto"/>
        <w:rPr>
          <w:sz w:val="20"/>
          <w:szCs w:val="20"/>
          <w:color w:val="auto"/>
        </w:rPr>
      </w:pPr>
      <w:r>
        <w:rPr>
          <w:rFonts w:ascii="Arial" w:cs="Arial" w:eastAsia="Arial" w:hAnsi="Arial"/>
          <w:sz w:val="18"/>
          <w:szCs w:val="18"/>
          <w:color w:val="auto"/>
        </w:rPr>
        <w:t>We maintain various employee incentive plans for the benefit of eligible employees, including officers. The awards generally are based upon the achievement of certain financial and performance objectives subject to the discretion of management. For executive officers, such discretion is exercised by the Leadership Development and Compensation Committee of Company’s Board of Directors. Total expenses under our employee incentive plans were $57.8 million, $55.7 million and $58.1 million during fiscal 2023, 2022 and 2021,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restructuring charges incurred during fiscal 2023 or 2022.</w:t>
      </w:r>
    </w:p>
    <w:p>
      <w:pPr>
        <w:spacing w:after="0" w:line="16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During fiscal 2021, we incurred restructuring charges of $8.0 million in employee separation costs due to the elimination of 160 positions throughout the Company. Cash payments for all the employee separation costs were fully paid before the end of fiscal 2022.</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provision for income taxes was as follows during fiscal 2023,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Year ended September 30,</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90"/>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6720" w:type="dxa"/>
            <w:vAlign w:val="bottom"/>
          </w:tcPr>
          <w:p>
            <w:pPr>
              <w:ind w:left="4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112,456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50,403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43,437</w:t>
            </w:r>
          </w:p>
        </w:tc>
      </w:tr>
      <w:tr>
        <w:trPr>
          <w:trHeight w:val="224"/>
        </w:trPr>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r>
      <w:tr>
        <w:trPr>
          <w:trHeight w:val="223"/>
        </w:trPr>
        <w:tc>
          <w:tcPr>
            <w:tcW w:w="67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35,615</w:t>
            </w:r>
          </w:p>
        </w:tc>
      </w:tr>
      <w:tr>
        <w:trPr>
          <w:trHeight w:val="217"/>
        </w:trPr>
        <w:tc>
          <w:tcPr>
            <w:tcW w:w="6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87,013</w:t>
            </w:r>
          </w:p>
        </w:tc>
      </w:tr>
      <w:tr>
        <w:trPr>
          <w:trHeight w:val="204"/>
        </w:trPr>
        <w:tc>
          <w:tcPr>
            <w:tcW w:w="672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Deferred:</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r>
      <w:tr>
        <w:trPr>
          <w:trHeight w:val="223"/>
        </w:trPr>
        <w:tc>
          <w:tcPr>
            <w:tcW w:w="6720" w:type="dxa"/>
            <w:vAlign w:val="bottom"/>
          </w:tcPr>
          <w:p>
            <w:pPr>
              <w:ind w:left="4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24"/>
        </w:trPr>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7"/>
        </w:trPr>
        <w:tc>
          <w:tcPr>
            <w:tcW w:w="6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provision</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foreign provision was based on foreign pre-tax earnings of $172.7 million, $136.0 million and $62.1 million in fiscal 2023, 2022 and 2021, respectively. Current foreign tax expense related to foreign tax withholdings was $12.3 million, $9.5 million and $7.5 million in fiscal 2023, 2022 and 2021, respectively. Foreign withholding tax and related foreign tax credits are included in current tax expense above.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assets and liabilities at September 30, 2023 and 2022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Loss and credit carryforwards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12,309</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19,122</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13,065</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76,275</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(16,635)</w:t>
            </w:r>
          </w:p>
        </w:tc>
      </w:tr>
      <w:tr>
        <w:trPr>
          <w:trHeight w:val="217"/>
        </w:trPr>
        <w:tc>
          <w:tcPr>
            <w:tcW w:w="82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59,640</w:t>
            </w:r>
          </w:p>
        </w:tc>
      </w:tr>
      <w:tr>
        <w:trPr>
          <w:trHeight w:val="204"/>
        </w:trPr>
        <w:tc>
          <w:tcPr>
            <w:tcW w:w="82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4"/>
        </w:trPr>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r>
      <w:tr>
        <w:trPr>
          <w:trHeight w:val="223"/>
        </w:trPr>
        <w:tc>
          <w:tcPr>
            <w:tcW w:w="8260" w:type="dxa"/>
            <w:vAlign w:val="bottom"/>
          </w:tcPr>
          <w:p>
            <w:pPr>
              <w:ind w:left="420"/>
              <w:spacing w:after="0"/>
              <w:rPr>
                <w:sz w:val="20"/>
                <w:szCs w:val="20"/>
                <w:color w:val="auto"/>
              </w:rPr>
            </w:pPr>
            <w:r>
              <w:rPr>
                <w:rFonts w:ascii="Arial" w:cs="Arial" w:eastAsia="Arial" w:hAnsi="Arial"/>
                <w:sz w:val="18"/>
                <w:szCs w:val="18"/>
                <w:color w:val="auto"/>
              </w:rPr>
              <w:t>Deferred commission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(12,419)</w:t>
            </w:r>
          </w:p>
        </w:tc>
      </w:tr>
      <w:tr>
        <w:trPr>
          <w:trHeight w:val="224"/>
        </w:trPr>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w:t>
            </w:r>
          </w:p>
        </w:tc>
      </w:tr>
      <w:tr>
        <w:trPr>
          <w:trHeight w:val="223"/>
        </w:trPr>
        <w:tc>
          <w:tcPr>
            <w:tcW w:w="82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(12,357)</w:t>
            </w:r>
          </w:p>
        </w:tc>
      </w:tr>
      <w:tr>
        <w:trPr>
          <w:trHeight w:val="217"/>
        </w:trPr>
        <w:tc>
          <w:tcPr>
            <w:tcW w:w="82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(47,837)</w:t>
            </w:r>
          </w:p>
        </w:tc>
      </w:tr>
      <w:tr>
        <w:trPr>
          <w:trHeight w:val="217"/>
        </w:trPr>
        <w:tc>
          <w:tcPr>
            <w:tcW w:w="8260" w:type="dxa"/>
            <w:vAlign w:val="bottom"/>
          </w:tcPr>
          <w:p>
            <w:pPr>
              <w:ind w:left="20"/>
              <w:spacing w:after="0" w:line="203" w:lineRule="exact"/>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Based upon the level of historical taxable income and projections for future taxable income over the periods that the deferred tax assets will reverse, management believes it is more likely than not that we will realize the benefits of the deferred tax assets, net of the existing valuation allowance at September 30, 2023.</w:t>
      </w:r>
    </w:p>
    <w:p>
      <w:pPr>
        <w:spacing w:after="0" w:line="138"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As of September 30, 2023, we had available U.S. federal net operating loss (“NOL”) carryforwards of approximately $4.1 million. The U.S. federal NOLs were acquired in connection with our acquisitions of Adeptra in fiscal 2012 and Infoglide in fiscal 2013. The U.S. federal NOL carryforward will expire at various dates beginning in fiscal 2024, if not utilized. Utilization of the U.S. federal NOL is subject to an annual limitation due to the “change in ownership” provisions of the Internal Revenue Code of 1986, as amended. We had available an excess California state research credit of approximately $9.2 million as of September 30, 2023. There was approximately $2.2 million of foreign tax credit carryforwards as of September 30, 2023. The excess foreign tax credit can be carried forward for 10 years; however, based on enacted law and expected future usage, we have recorded a valuation allowance of $2.2 million as of September 30, 2023.</w:t>
      </w:r>
    </w:p>
    <w:p>
      <w:pPr>
        <w:spacing w:after="0" w:line="14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 reconciliation of the provision for income taxes, with the amount computed by applying the U.S. federal statutory income tax rate of 21% to income before provision for income taxes for fiscal 2023, 2022 and 2021 is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at U.S. federal statutory rate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State income taxes, net of U.S. federal benefit</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Research credits</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Excess tax benefits relating to share-based compensation</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(15,573)</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GILTI, FDII, BEAT and FTC</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income tax provision</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Arial" w:cs="Arial" w:eastAsia="Arial" w:hAnsi="Arial"/>
                <w:sz w:val="18"/>
                <w:szCs w:val="18"/>
                <w:color w:val="auto"/>
              </w:rPr>
              <w:t>72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7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As of September 30, 2023, we had approximately $27.2 million of unremitted earnings of non-U.S. subsidiaries. The Company has not provided deferred tax liabilities for foreign withholding taxes and certain state income taxes on the undistributed earnings and profits from certain non-U.S. subsidiaries that will be permanently reinvested outside the United States. In the event these earnings are later remitted to the U.S., any estimated withholding tax and state income tax due upon remittance of those earnings is expected to be immaterial to the income tax provision. For jurisdictions not permanently reinvested, the Company expects the net impact of any future repatriations to be immaterial to the Company’s overall tax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 for Uncertain Tax Positions</w:t>
      </w:r>
    </w:p>
    <w:p>
      <w:pPr>
        <w:spacing w:after="0" w:line="11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conduct business globally and, as a result, file income tax returns in the U.S. federal jurisdiction and various state and foreign jurisdictions. In the normal course of business, we are subject to examination by taxing authorities. With a few exceptions, we are no longer subject to U.S. federal, state, local, or foreign income tax examinations for fiscal years prior to 2019.</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90"/>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beginning of year</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Gross increases for tax positions in prior years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for tax positions in prior years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Gross increases based on tax positions related to the current year</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5,273</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for settlements and payments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due to statute expiration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37"/>
        </w:trPr>
        <w:tc>
          <w:tcPr>
            <w:tcW w:w="67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Gross unrecognized tax benefits at end of year</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13,849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had $13.8 million of total unrecognized tax benefits as of September 30, 2023, including $12.7 million of tax benefits that, if recognized, would impact the effective tax rate. Although the timing and outcome of audit settlements are uncertain, it is unlikely there will be a significant reduction of the uncertain tax benefits in the next twelve months.</w:t>
      </w:r>
    </w:p>
    <w:p>
      <w:pPr>
        <w:spacing w:after="0" w:line="138"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recognize interest expense and penalties related to unrecognized tax benefits and penalties as part of the provision for income taxes in our consolidated statements of income and comprehensive income. We recognize interest earned related to income tax matters as interest income in our consolidated statements of income and comprehensive income. As of September 30, 2023, we had accrued interest of $0.9 million related to the unrecognized tax benefits.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Employee Benefit Plans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Description of Stock Option and Share Plans</w:t>
      </w:r>
    </w:p>
    <w:p>
      <w:pPr>
        <w:spacing w:after="0" w:line="109"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maintain the 2021 Long-Term Incentive Plan (the “2021 Plan”). The 2021 Plan authorizes the issuance of up to 5,900,000 shares of our common stock, plus additional shares that become available due to the expiration, forfeiture or cancellation of awards outstanding under the 2012 Long-Term Incentive Plan. Under the terms of the 2021 Plan, the pool of shares available for issuance may be used for all types of equity awards available under the 2021 Plan, which include stock options, stock appreciation rights, restricted stock awards, stock unit awards and other share-based awards. All employees, consultants and advisors of FICO or any subsidiary, as well as all non-employee directors, are eligible to receive awards under the 2021 Plan. The 2021 Plan will remain in effect until the earliest of the following: all shares subject to the Plan are distributed, the Board terminates the Plan, or the tenth anniversary of the effective date of the Plan.</w:t>
      </w:r>
    </w:p>
    <w:p>
      <w:pPr>
        <w:spacing w:after="0" w:line="141" w:lineRule="exact"/>
        <w:rPr>
          <w:sz w:val="20"/>
          <w:szCs w:val="20"/>
          <w:color w:val="auto"/>
        </w:rPr>
      </w:pPr>
    </w:p>
    <w:p>
      <w:pPr>
        <w:jc w:val="both"/>
        <w:ind w:firstLine="395"/>
        <w:spacing w:after="0" w:line="299" w:lineRule="auto"/>
        <w:rPr>
          <w:sz w:val="20"/>
          <w:szCs w:val="20"/>
          <w:color w:val="auto"/>
        </w:rPr>
      </w:pPr>
      <w:r>
        <w:rPr>
          <w:rFonts w:ascii="Arial" w:cs="Arial" w:eastAsia="Arial" w:hAnsi="Arial"/>
          <w:sz w:val="16"/>
          <w:szCs w:val="16"/>
          <w:color w:val="auto"/>
        </w:rPr>
        <w:t>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 At September 30, 2023, there were 4,726,001 shares available for issuance as new awards under the 2021 Plan.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Employee Stock Purchase Plan</w:t>
      </w:r>
    </w:p>
    <w:p>
      <w:pPr>
        <w:spacing w:after="0" w:line="109"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We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The purchase price of the stock is 85% of the closing sales price of FICO common stock on the last trading day of each offering period. Offering period means approximately six-month periods commencing (a) on the first trading day on or after September 1 and terminating on the last trading day in the following February, and (b) on the first trading day on or after March 1 and terminating on the last trading day in the following August. At September 30, 2023, there were 852,896 shares available for issuance under the 2019 Purchase Plan.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satisfy stock option exercises, vesting of stock units and the 2019 Purchase Plan issuances from treasury shares.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 and Related Income Tax Benefits</w:t>
      </w:r>
    </w:p>
    <w:p>
      <w:pPr>
        <w:spacing w:after="0" w:line="109"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recorded share-based compensation expense of $123.8 million, $115.4 million and $112.5 million in fiscal 2023, 2022 and 2021, respectively. The total tax benefit related to this share-based compensation expense was $13.8 million, $13.5 million and $14.0 million in fiscal 2023, 2022 and 2021, respectively. As of September 30, 2023, there was $194.3 million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weighted-average period of 2.56 years.</w:t>
      </w:r>
    </w:p>
    <w:p>
      <w:pPr>
        <w:spacing w:after="0" w:line="11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In fiscal 2023 we received $8.1 million in cash from stock option exercises, with the tax benefit realized for the tax deductions from these exercises of $4.0 million.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Activity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Restricted Stock Units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fair value of restricted stock units (“RSUs”) granted is the closing market price of our common stock on the date of grant, adjusted for the expected dividend yield, if applicable. We amortize the fair value on a straight-line basis over the vesting period.</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RSUs activity during fiscal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Weighted-average Grant-date</w:t>
            </w: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320" w:type="dxa"/>
            <w:vAlign w:val="bottom"/>
          </w:tcPr>
          <w:p>
            <w:pPr>
              <w:jc w:val="right"/>
              <w:ind w:right="13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620.51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356.97</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449.89</w:t>
            </w:r>
          </w:p>
        </w:tc>
        <w:tc>
          <w:tcPr>
            <w:tcW w:w="0" w:type="dxa"/>
            <w:vAlign w:val="bottom"/>
          </w:tcPr>
          <w:p>
            <w:pPr>
              <w:spacing w:after="0"/>
              <w:rPr>
                <w:sz w:val="1"/>
                <w:szCs w:val="1"/>
                <w:color w:val="auto"/>
              </w:rPr>
            </w:pPr>
          </w:p>
        </w:tc>
      </w:tr>
      <w:tr>
        <w:trPr>
          <w:trHeight w:val="24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weighted-average fair value of the RSUs granted was $620.51, $416.62 and $505.70 during fiscal 2023, 2022 and 2021, respectively. The total intrinsic value of the RSUs that vested was $101.1 million, $97.3 million and $156.6 million during fiscal 2023, 2022 and 2021, respectively, determined as of the date of vesting.</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Performance Share Units</w:t>
      </w:r>
    </w:p>
    <w:p>
      <w:pPr>
        <w:spacing w:after="0" w:line="115"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Performance share units (“PSUs”) are granted to our senior officers and earned based on pre-established performance goals approved by the Leadership Development and Compensation Committee of our Board of Directors for any given performance period. The range of payout is zero to 200% of the number of target PSUs, based on the outcome of the performance conditions. We estimate the fair value of the PSUs using the closing market price of our common stock on the date of grant, adjusted for the expected dividend yield if applicable, based on the performance condition that is probable of achievement. We amortize the fair values over the requisite service period for each vesting tranche of the award. We reassess the probability at each reporting period and recognize the cumulative effect of the change in estimate in the period of change.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PSUs activity during fiscal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4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 average Grant-date</w:t>
            </w:r>
          </w:p>
        </w:tc>
        <w:tc>
          <w:tcPr>
            <w:tcW w:w="0" w:type="dxa"/>
            <w:vAlign w:val="bottom"/>
          </w:tcPr>
          <w:p>
            <w:pPr>
              <w:spacing w:after="0"/>
              <w:rPr>
                <w:sz w:val="1"/>
                <w:szCs w:val="1"/>
                <w:color w:val="auto"/>
              </w:rPr>
            </w:pPr>
          </w:p>
        </w:tc>
      </w:tr>
      <w:tr>
        <w:trPr>
          <w:trHeight w:val="191"/>
        </w:trPr>
        <w:tc>
          <w:tcPr>
            <w:tcW w:w="77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7720" w:type="dxa"/>
            <w:vAlign w:val="bottom"/>
          </w:tcPr>
          <w:p>
            <w:pPr>
              <w:spacing w:after="0"/>
              <w:rPr>
                <w:sz w:val="16"/>
                <w:szCs w:val="16"/>
                <w:color w:val="auto"/>
              </w:rPr>
            </w:pPr>
          </w:p>
        </w:tc>
        <w:tc>
          <w:tcPr>
            <w:tcW w:w="1460" w:type="dxa"/>
            <w:vAlign w:val="bottom"/>
          </w:tcPr>
          <w:p>
            <w:pPr>
              <w:jc w:val="right"/>
              <w:ind w:right="19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615.45</w:t>
            </w:r>
          </w:p>
        </w:tc>
        <w:tc>
          <w:tcPr>
            <w:tcW w:w="0" w:type="dxa"/>
            <w:vAlign w:val="bottom"/>
          </w:tcPr>
          <w:p>
            <w:pPr>
              <w:spacing w:after="0"/>
              <w:rPr>
                <w:sz w:val="1"/>
                <w:szCs w:val="1"/>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465.25</w:t>
            </w:r>
          </w:p>
        </w:tc>
        <w:tc>
          <w:tcPr>
            <w:tcW w:w="0" w:type="dxa"/>
            <w:vAlign w:val="bottom"/>
          </w:tcPr>
          <w:p>
            <w:pPr>
              <w:spacing w:after="0"/>
              <w:rPr>
                <w:sz w:val="1"/>
                <w:szCs w:val="1"/>
                <w:color w:val="auto"/>
              </w:rPr>
            </w:pPr>
          </w:p>
        </w:tc>
      </w:tr>
      <w:tr>
        <w:trPr>
          <w:trHeight w:val="24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weighted-average fair value of the PSUs granted was $615.45, $407.49 and $506.91 during fiscal 2023, 2022 and 2021, respectively. The total intrinsic value of the PSUs that vested was $40.3 million, $25.9 million and $34.7 million during fiscal 2023, 2022 and 2021, respectively, determined as of the date of vesting.</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Market Share Units</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Market share units (“MSUs”) are granted to our senior officers and earned based on our total stockholder return relative to the Russell 3000 Index over performance periods of one, two and three years. We estimate the fair value of MSUs granted using the Monte Carlo valuation model and amortize the fair values over the requisite service period for each vesting tranche of the award. In addition, we do not reverse the compensation cost solely because the market condition is not satisfied, and the award is therefore not earned by the employee, provided the requisite service is rendered. We used the following assumptions to estimate the fair value of our MSUs during fiscal 2023,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September 30,</w:t>
            </w: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
        </w:trPr>
        <w:tc>
          <w:tcPr>
            <w:tcW w:w="5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0"/>
        </w:trPr>
        <w:tc>
          <w:tcPr>
            <w:tcW w:w="6600" w:type="dxa"/>
            <w:vAlign w:val="bottom"/>
            <w:gridSpan w:val="2"/>
          </w:tcPr>
          <w:p>
            <w:pPr>
              <w:ind w:left="6200"/>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r>
      <w:tr>
        <w:trPr>
          <w:trHeight w:val="24"/>
        </w:trPr>
        <w:tc>
          <w:tcPr>
            <w:tcW w:w="5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1"/>
        </w:trPr>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 in FICO’s stock price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Expected volatility in Russell 3000 Index</w:t>
            </w: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3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Correlation between FICO and the Russell 3000 Index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0.97</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4"/>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expected dividend yield</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w:t>
            </w:r>
          </w:p>
        </w:tc>
      </w:tr>
    </w:tbl>
    <w:p>
      <w:pPr>
        <w:spacing w:after="0" w:line="2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The expected volatility was determined based on daily historical movements in our stock price and the Russell 3000 Index for the three years preceding the grant date. The correlation between FICO and the Russell 3000 Index was determined based on historical daily stock price movements for the three years preceding the grant date. The risk-free rate was determined based on U.S. Treasury zero-coupon yields over the three-year performance period. Because we have not declared or paid any cash dividends on our common stock since May 2017, and we do not presently plan to pay cash dividends on our common stock in the foreseeable future, we used an expected dividend yield of zero.</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MSUs activity during fiscal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80" w:type="dxa"/>
            <w:vAlign w:val="bottom"/>
            <w:vMerge w:val="restart"/>
          </w:tcPr>
          <w:p>
            <w:pPr>
              <w:jc w:val="center"/>
              <w:ind w:left="35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 Grant-date</w:t>
            </w:r>
          </w:p>
        </w:tc>
        <w:tc>
          <w:tcPr>
            <w:tcW w:w="0" w:type="dxa"/>
            <w:vAlign w:val="bottom"/>
          </w:tcPr>
          <w:p>
            <w:pPr>
              <w:spacing w:after="0"/>
              <w:rPr>
                <w:sz w:val="1"/>
                <w:szCs w:val="1"/>
                <w:color w:val="auto"/>
              </w:rPr>
            </w:pPr>
          </w:p>
        </w:tc>
      </w:tr>
      <w:tr>
        <w:trPr>
          <w:trHeight w:val="188"/>
        </w:trPr>
        <w:tc>
          <w:tcPr>
            <w:tcW w:w="72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7200" w:type="dxa"/>
            <w:vAlign w:val="bottom"/>
          </w:tcPr>
          <w:p>
            <w:pPr>
              <w:spacing w:after="0"/>
              <w:rPr>
                <w:sz w:val="16"/>
                <w:szCs w:val="16"/>
                <w:color w:val="auto"/>
              </w:rPr>
            </w:pPr>
          </w:p>
        </w:tc>
        <w:tc>
          <w:tcPr>
            <w:tcW w:w="1480" w:type="dxa"/>
            <w:vAlign w:val="bottom"/>
          </w:tcPr>
          <w:p>
            <w:pPr>
              <w:jc w:val="center"/>
              <w:ind w:left="35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92</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20" w:type="dxa"/>
            <w:vAlign w:val="bottom"/>
          </w:tcPr>
          <w:p>
            <w:pPr>
              <w:jc w:val="center"/>
              <w:ind w:left="12"/>
              <w:spacing w:after="0"/>
              <w:rPr>
                <w:sz w:val="20"/>
                <w:szCs w:val="20"/>
                <w:color w:val="auto"/>
              </w:rPr>
            </w:pPr>
            <w:r>
              <w:rPr>
                <w:rFonts w:ascii="Arial" w:cs="Arial" w:eastAsia="Arial" w:hAnsi="Arial"/>
                <w:sz w:val="18"/>
                <w:szCs w:val="18"/>
                <w:color w:val="auto"/>
                <w:w w:val="79"/>
              </w:rPr>
              <w:t>77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822.96</w:t>
            </w:r>
          </w:p>
        </w:tc>
        <w:tc>
          <w:tcPr>
            <w:tcW w:w="0" w:type="dxa"/>
            <w:vAlign w:val="bottom"/>
          </w:tcPr>
          <w:p>
            <w:pPr>
              <w:spacing w:after="0"/>
              <w:rPr>
                <w:sz w:val="1"/>
                <w:szCs w:val="1"/>
                <w:color w:val="auto"/>
              </w:rPr>
            </w:pPr>
          </w:p>
        </w:tc>
      </w:tr>
      <w:tr>
        <w:trPr>
          <w:trHeight w:val="224"/>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715.94</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42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87</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75</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7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2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weighted-average fair value of the MSUs granted was $822.96, $493.66 and $471.16 during fiscal 2023, 2022 and 2021, respectively. The total intrinsic value of the MSUs that vested was $42.2 million, $7.8 million and $34.5 million during fiscal 2023, 2022 and 2021, respectively, determined as of the date of vesting.</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Stock Options</w:t>
      </w:r>
    </w:p>
    <w:p>
      <w:pPr>
        <w:spacing w:after="0" w:line="115"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estimate the fair value of stock options granted using the Black-Scholes option valuation model and we amortize the fair value on a straight-line basis over the vesting period. We used the following assumptions to estimate the fair value of our stock options during fiscal 2023,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w w:val="83"/>
              </w:rPr>
              <w:t>2021</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 Options:</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Weighted-average expected term (years)</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volatility (range)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6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Weighted-average volatility</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33.9 %</w:t>
            </w:r>
          </w:p>
        </w:tc>
      </w:tr>
      <w:tr>
        <w:trPr>
          <w:trHeight w:val="224"/>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Risk-free interest rate (range)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6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0.73 %</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Weighted-average expected dividend yield</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stock options are expected to be outstanding. We estimate the expected term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of similar awards, giving consideration to the contractual terms of the share-based awards, vesting schedules and expectations of future employee behavior.</w:t>
      </w:r>
    </w:p>
    <w:p>
      <w:pPr>
        <w:spacing w:after="0" w:line="13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estimate the volatility of our common stock at the date of grant based on a combination of the implied volatility of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on our common stock and our historical volatility rate.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assumption is based on observed interest rates appropriate for the term of our employee options.</w:t>
      </w:r>
    </w:p>
    <w:p>
      <w:pPr>
        <w:spacing w:after="0" w:line="184"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declared or paid any cash dividends on our common stock since May 2017, and we do not presently plan to pay cash dividends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in the foreseeable future. Consequently, we used an expected dividend yield of zero in the years presented.</w:t>
      </w:r>
    </w:p>
    <w:p>
      <w:pPr>
        <w:spacing w:after="0" w:line="82"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We use historical data to estimate pre-vesting option forfeitures and record share-based compensation expense only for those awards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vest.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option activity during fiscal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gridSpan w:val="2"/>
          </w:tcPr>
          <w:p>
            <w:pPr>
              <w:jc w:val="center"/>
              <w:ind w:right="80"/>
              <w:spacing w:after="0" w:line="132"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12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4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Exercise</w:t>
            </w:r>
          </w:p>
        </w:tc>
        <w:tc>
          <w:tcPr>
            <w:tcW w:w="15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44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31"/>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247.56</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779.98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390.14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Outstanding at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387.95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109,242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September 30, 2023</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w:t>
            </w:r>
          </w:p>
        </w:tc>
        <w:tc>
          <w:tcPr>
            <w:tcW w:w="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236.84</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96,648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Vested or expected to vest at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108,544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180" w:type="dxa"/>
            <w:vAlign w:val="bottom"/>
          </w:tcPr>
          <w:p>
            <w:pPr>
              <w:spacing w:after="0"/>
              <w:rPr>
                <w:sz w:val="24"/>
                <w:szCs w:val="24"/>
                <w:color w:val="auto"/>
              </w:rPr>
            </w:pPr>
          </w:p>
        </w:tc>
        <w:tc>
          <w:tcPr>
            <w:tcW w:w="1440" w:type="dxa"/>
            <w:vAlign w:val="bottom"/>
          </w:tcPr>
          <w:p>
            <w:pPr>
              <w:jc w:val="right"/>
              <w:ind w:right="81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The weighted-average fair value of options granted was $289.54, $134.91 and $139.11 during fiscal 2023, 2022 and 2021, respectively. The aggregate intrinsic value of options outstanding at September 30, 2023 was calculated as the difference between the exercise price of the underlying options and the market price of our common stock for the 227,000 outstanding options that had exercise prices lower than the $868.53 market price of our common stock at September 30, 2023. The total intrinsic value of options exercised was $16.7 million, $14.5 million and $15.8 million during fiscal 2023, 2022 and 2021, respectively, determined as of the date of exercise.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Employee Stock Purchase Plan</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compensation expense on the 2019 Purchase Plan arises from the 15% discount offered to participants. A total of 21,876, 32,528, and 42,402 shares of our common stock were issued under the 2019 Purchase Plan during fiscal 2023, 2022 and 2021, respectively. The weighted-average purchase price was $646.37, $393.95, and $389.61 per share for fiscal 2023, 2022 and 2021,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during fiscal 2023, 2022 and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September 30,</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6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90"/>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6"/>
          </w:tcPr>
          <w:p>
            <w:pPr>
              <w:jc w:val="center"/>
              <w:ind w:left="577"/>
              <w:spacing w:after="0"/>
              <w:rPr>
                <w:sz w:val="20"/>
                <w:szCs w:val="20"/>
                <w:color w:val="auto"/>
              </w:rPr>
            </w:pPr>
            <w:r>
              <w:rPr>
                <w:rFonts w:ascii="Arial" w:cs="Arial" w:eastAsia="Arial" w:hAnsi="Arial"/>
                <w:sz w:val="14"/>
                <w:szCs w:val="14"/>
                <w:b w:val="1"/>
                <w:bCs w:val="1"/>
                <w:color w:val="auto"/>
                <w:w w:val="89"/>
              </w:rPr>
              <w:t>(In thousands, except per share data)</w:t>
            </w:r>
          </w:p>
        </w:tc>
        <w:tc>
          <w:tcPr>
            <w:tcW w:w="1000" w:type="dxa"/>
            <w:vAlign w:val="bottom"/>
          </w:tcPr>
          <w:p>
            <w:pPr>
              <w:spacing w:after="0"/>
              <w:rPr>
                <w:sz w:val="16"/>
                <w:szCs w:val="16"/>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and basic earnings per share:</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429,375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373,541</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392,084</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Denominator — share:</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Basic weighted-average shares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28,734</w:t>
            </w:r>
          </w:p>
        </w:tc>
      </w:tr>
      <w:tr>
        <w:trPr>
          <w:trHeight w:val="22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17"/>
        </w:trPr>
        <w:tc>
          <w:tcPr>
            <w:tcW w:w="6720" w:type="dxa"/>
            <w:vAlign w:val="bottom"/>
          </w:tcPr>
          <w:p>
            <w:pPr>
              <w:ind w:left="340"/>
              <w:spacing w:after="0" w:line="203" w:lineRule="exact"/>
              <w:rPr>
                <w:sz w:val="20"/>
                <w:szCs w:val="20"/>
                <w:color w:val="auto"/>
              </w:rPr>
            </w:pPr>
            <w:r>
              <w:rPr>
                <w:rFonts w:ascii="Arial" w:cs="Arial" w:eastAsia="Arial" w:hAnsi="Arial"/>
                <w:sz w:val="18"/>
                <w:szCs w:val="18"/>
                <w:color w:val="auto"/>
              </w:rPr>
              <w:t>Diluted weighted-average shares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Earnings per share:</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7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74"/>
        <w:spacing w:after="0" w:line="252" w:lineRule="auto"/>
        <w:rPr>
          <w:sz w:val="20"/>
          <w:szCs w:val="20"/>
          <w:color w:val="auto"/>
        </w:rPr>
      </w:pPr>
      <w:r>
        <w:rPr>
          <w:rFonts w:ascii="Arial" w:cs="Arial" w:eastAsia="Arial" w:hAnsi="Arial"/>
          <w:sz w:val="18"/>
          <w:szCs w:val="18"/>
          <w:color w:val="auto"/>
        </w:rPr>
        <w:t>The computation of diluted EPS excluded options to purchase approximately 14,000, 32,000, and 12,000 shares of common stock for fiscal 2023, 2022 and 2021, respectively, because the exercise prices of the options exceeded the average market price of our common stock in these fiscal years and their inclusion would be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38" w:lineRule="exact"/>
        <w:rPr>
          <w:sz w:val="20"/>
          <w:szCs w:val="20"/>
          <w:color w:val="auto"/>
        </w:rPr>
      </w:pPr>
    </w:p>
    <w:p>
      <w:pPr>
        <w:jc w:val="both"/>
        <w:ind w:left="640" w:hanging="319"/>
        <w:spacing w:after="0" w:line="252"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(“B2B”) scoring solutions and services which give our clients access to predictive credit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scores that can be easily integrated into their transaction streams and decision-making processes. This segment also includes our business-to-consumer (“B2C”) scoring solutions, including our myFICO.com subscription offerings.</w:t>
      </w:r>
    </w:p>
    <w:p>
      <w:pPr>
        <w:spacing w:after="0" w:line="32" w:lineRule="exact"/>
        <w:rPr>
          <w:rFonts w:ascii="Arial" w:cs="Arial" w:eastAsia="Arial" w:hAnsi="Arial"/>
          <w:sz w:val="18"/>
          <w:szCs w:val="18"/>
          <w:color w:val="auto"/>
        </w:rPr>
      </w:pPr>
    </w:p>
    <w:p>
      <w:pPr>
        <w:ind w:left="640" w:hanging="319"/>
        <w:spacing w:after="0"/>
        <w:tabs>
          <w:tab w:leader="none" w:pos="64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 xml:space="preserve">Software. </w:t>
      </w:r>
      <w:r>
        <w:rPr>
          <w:rFonts w:ascii="Arial" w:cs="Arial" w:eastAsia="Arial" w:hAnsi="Arial"/>
          <w:sz w:val="15"/>
          <w:szCs w:val="15"/>
          <w:color w:val="auto"/>
        </w:rPr>
        <w:t>This segment includes pre-configured analytic and decision management solutions designed for a specific type of business need or process</w:t>
      </w:r>
    </w:p>
    <w:p>
      <w:pPr>
        <w:spacing w:after="0" w:line="49" w:lineRule="exact"/>
        <w:rPr>
          <w:rFonts w:ascii="Arial" w:cs="Arial" w:eastAsia="Arial" w:hAnsi="Arial"/>
          <w:sz w:val="15"/>
          <w:szCs w:val="15"/>
          <w:color w:val="auto"/>
        </w:rPr>
      </w:pPr>
    </w:p>
    <w:p>
      <w:pPr>
        <w:jc w:val="both"/>
        <w:ind w:left="640"/>
        <w:spacing w:after="0" w:line="245" w:lineRule="auto"/>
        <w:rPr>
          <w:rFonts w:ascii="Arial" w:cs="Arial" w:eastAsia="Arial" w:hAnsi="Arial"/>
          <w:sz w:val="15"/>
          <w:szCs w:val="15"/>
          <w:color w:val="auto"/>
        </w:rPr>
      </w:pPr>
      <w:r>
        <w:rPr>
          <w:rFonts w:ascii="Arial" w:cs="Arial" w:eastAsia="Arial" w:hAnsi="Arial"/>
          <w:sz w:val="17"/>
          <w:szCs w:val="17"/>
          <w:color w:val="auto"/>
        </w:rPr>
        <w:t>— such as account origination, customer management, customer engagement, fraud detection, and marketing — as well as associated professional services. This segment also includes FICO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7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spacing w:after="0" w:line="119" w:lineRule="exact"/>
        <w:rPr>
          <w:sz w:val="20"/>
          <w:szCs w:val="20"/>
          <w:color w:val="auto"/>
        </w:rPr>
      </w:pPr>
    </w:p>
    <w:p>
      <w:pPr>
        <w:jc w:val="both"/>
        <w:ind w:firstLine="395"/>
        <w:spacing w:after="0" w:line="324" w:lineRule="auto"/>
        <w:rPr>
          <w:sz w:val="20"/>
          <w:szCs w:val="20"/>
          <w:color w:val="auto"/>
        </w:rPr>
      </w:pPr>
      <w:r>
        <w:rPr>
          <w:rFonts w:ascii="Arial" w:cs="Arial" w:eastAsia="Arial" w:hAnsi="Arial"/>
          <w:sz w:val="16"/>
          <w:szCs w:val="16"/>
          <w:color w:val="auto"/>
        </w:rPr>
        <w:t>We have recast certain prior period amounts within this note to conform to the way we internally managed and monitored segment performance during the current fiscal year, reflecting immaterial movements of business activities between segments and changes in cost allocations.</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segment information for fiscal 2023,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Year Ended September 30, 2023</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Unallocated</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8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Corporate</w:t>
            </w:r>
          </w:p>
        </w:tc>
        <w:tc>
          <w:tcPr>
            <w:tcW w:w="340" w:type="dxa"/>
            <w:vAlign w:val="bottom"/>
          </w:tcPr>
          <w:p>
            <w:pPr>
              <w:spacing w:after="0"/>
              <w:rPr>
                <w:sz w:val="11"/>
                <w:szCs w:val="11"/>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640,182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640,182</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Scores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773,828</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segment 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1,513,557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(156,426)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(747,721)</w:t>
            </w:r>
          </w:p>
        </w:tc>
        <w:tc>
          <w:tcPr>
            <w:tcW w:w="0" w:type="dxa"/>
            <w:vAlign w:val="bottom"/>
          </w:tcPr>
          <w:p>
            <w:pPr>
              <w:spacing w:after="0"/>
              <w:rPr>
                <w:sz w:val="1"/>
                <w:szCs w:val="1"/>
                <w:color w:val="auto"/>
              </w:rPr>
            </w:pPr>
          </w:p>
        </w:tc>
      </w:tr>
      <w:tr>
        <w:trPr>
          <w:trHeight w:val="242"/>
        </w:trPr>
        <w:tc>
          <w:tcPr>
            <w:tcW w:w="520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Segment operating income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(156,426)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share-based compensation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(123,847)</w:t>
            </w:r>
          </w:p>
        </w:tc>
        <w:tc>
          <w:tcPr>
            <w:tcW w:w="0" w:type="dxa"/>
            <w:vAlign w:val="bottom"/>
          </w:tcPr>
          <w:p>
            <w:pPr>
              <w:spacing w:after="0" w:line="20" w:lineRule="exact"/>
              <w:rPr>
                <w:sz w:val="1"/>
                <w:szCs w:val="1"/>
                <w:color w:val="auto"/>
              </w:rPr>
            </w:pPr>
          </w:p>
        </w:tc>
      </w:tr>
      <w:tr>
        <w:trPr>
          <w:trHeight w:val="170"/>
        </w:trPr>
        <w:tc>
          <w:tcPr>
            <w:tcW w:w="5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gain on product line asset sale</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642,830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Unallocated interest expense,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(95,546)</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other income,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553,624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expense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Year Ended September 30, 2022</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Unallocated</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85"/>
              </w:rPr>
              <w:t>Scores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Software</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Corporate</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564,751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564,751</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105,876</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Scores</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706,643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706,643</w:t>
            </w: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706,643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1,377,270</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(487,505)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(717,440)</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Segment operating income</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619,355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659,830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Unallocated share-based compensation expense</w:t>
            </w: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(115,355)</w:t>
            </w:r>
          </w:p>
        </w:tc>
        <w:tc>
          <w:tcPr>
            <w:tcW w:w="0" w:type="dxa"/>
            <w:vAlign w:val="bottom"/>
          </w:tcPr>
          <w:p>
            <w:pPr>
              <w:spacing w:after="0" w:line="20" w:lineRule="exact"/>
              <w:rPr>
                <w:sz w:val="1"/>
                <w:szCs w:val="1"/>
                <w:color w:val="auto"/>
              </w:rPr>
            </w:pPr>
          </w:p>
        </w:tc>
      </w:tr>
      <w:tr>
        <w:trPr>
          <w:trHeight w:val="170"/>
        </w:trPr>
        <w:tc>
          <w:tcPr>
            <w:tcW w:w="3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7"/>
        </w:trPr>
        <w:tc>
          <w:tcPr>
            <w:tcW w:w="362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542,414</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(68,967)</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other expense, net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42"/>
        </w:trPr>
        <w:tc>
          <w:tcPr>
            <w:tcW w:w="36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471,309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gridSpan w:val="2"/>
            <w:vMerge w:val="restart"/>
          </w:tcPr>
          <w:p>
            <w:pPr>
              <w:jc w:val="right"/>
              <w:ind w:right="30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14,412</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32"/>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3"/>
              </w:rPr>
              <w:t>Year Ended September 30,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Unallocated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Scores</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98"/>
              </w:rPr>
              <w:t>Software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Expenses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340"/>
              <w:spacing w:after="0"/>
              <w:rPr>
                <w:sz w:val="20"/>
                <w:szCs w:val="20"/>
                <w:color w:val="auto"/>
              </w:rPr>
            </w:pPr>
            <w:r>
              <w:rPr>
                <w:rFonts w:ascii="Arial" w:cs="Arial" w:eastAsia="Arial" w:hAnsi="Arial"/>
                <w:sz w:val="18"/>
                <w:szCs w:val="18"/>
                <w:color w:val="auto"/>
              </w:rPr>
              <w:t>On-premises and SaaS software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517,888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517,888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Scores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654,147</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654,147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662,389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1,316,536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operating expense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(90,538)</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(555,288)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(141,691)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Segment operating income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(141,691)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Unallocated share-based compensation expense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(112,457)</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Unallocated restructuring charges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0"/>
              </w:rPr>
              <w:t>Unallocated gains on product line asset sales and</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divestiture</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505,489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other income, net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473,142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19,505</w:t>
            </w:r>
          </w:p>
        </w:tc>
        <w:tc>
          <w:tcPr>
            <w:tcW w:w="22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147</w:t>
            </w: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20,319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115" w:lineRule="exact"/>
        <w:rPr>
          <w:sz w:val="20"/>
          <w:szCs w:val="20"/>
          <w:color w:val="auto"/>
        </w:rPr>
      </w:pPr>
    </w:p>
    <w:p>
      <w:pPr>
        <w:jc w:val="both"/>
        <w:ind w:firstLine="395"/>
        <w:spacing w:after="0" w:line="247" w:lineRule="auto"/>
        <w:rPr>
          <w:sz w:val="20"/>
          <w:szCs w:val="20"/>
          <w:color w:val="auto"/>
        </w:rPr>
      </w:pPr>
      <w:r>
        <w:rPr>
          <w:rFonts w:ascii="Arial" w:cs="Arial" w:eastAsia="Arial" w:hAnsi="Arial"/>
          <w:sz w:val="18"/>
          <w:szCs w:val="18"/>
          <w:color w:val="auto"/>
        </w:rPr>
        <w:t>We lease office space and data centers under operating lease arrangements, which constitute the majority of our lease obligations. For any lease with a lease term in excess of 12 months, the related lease assets and liabilities are recognized on our consolidated balance sheets as operating leases at the commencement of an agreement where it is determined that a lease exists. We have lease agreements that contain both lease and non-lease components, and we have elected to combine these components together and account for them as a single lease component for all classes of assets. Leases with a lease term of 12 months or less are not recorded on our consolidated balance sheets. Furthermore, we recognize lease expense for these leases on a straight-line basis over the lease term.</w:t>
      </w:r>
    </w:p>
    <w:p>
      <w:pPr>
        <w:spacing w:after="0" w:line="143" w:lineRule="exact"/>
        <w:rPr>
          <w:sz w:val="20"/>
          <w:szCs w:val="20"/>
          <w:color w:val="auto"/>
        </w:rPr>
      </w:pPr>
    </w:p>
    <w:p>
      <w:pPr>
        <w:jc w:val="both"/>
        <w:ind w:firstLine="395"/>
        <w:spacing w:after="0" w:line="300" w:lineRule="auto"/>
        <w:rPr>
          <w:sz w:val="20"/>
          <w:szCs w:val="20"/>
          <w:color w:val="auto"/>
        </w:rPr>
      </w:pPr>
      <w:r>
        <w:rPr>
          <w:rFonts w:ascii="Arial" w:cs="Arial" w:eastAsia="Arial" w:hAnsi="Arial"/>
          <w:sz w:val="15"/>
          <w:szCs w:val="15"/>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We use a collateralized incremental borrowing rate based on the information available at the commencement date, including the lease term, in determining the present value of future payments. In calculating the incremental borrowing rates, we consider recent ratings from credit agencies and current lease demographic information. Our operating leases also typically require payment of real estate taxes, common area maintenance, insurance and other operating costs as well as payments that are adjusted based on a consumer price index. These components comprise the majority of our variable lease cost and are excluded from the present value of our lease obligations. In instances where they are fixed, they are included due to our election to combine lease and non-lease components. Operating lease assets also include prepaid lease payments and initial direct costs, and are reduced by lease incentives. Our lease terms generally do not include options to extend or terminate the lease unless it is reasonably certain that the option will be exercised. Fixed payments may contain predetermined fixed rent escalations. We recognize the related rent expense on a straight-line basis from the commencement date to the end of the lease term.</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lease balances within the accompanying consolidated balance sheets as of September 30,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326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180" w:type="dxa"/>
            <w:vAlign w:val="bottom"/>
          </w:tcPr>
          <w:p>
            <w:pPr>
              <w:spacing w:after="0"/>
              <w:rPr>
                <w:sz w:val="15"/>
                <w:szCs w:val="15"/>
                <w:color w:val="auto"/>
              </w:rPr>
            </w:pPr>
          </w:p>
        </w:tc>
        <w:tc>
          <w:tcPr>
            <w:tcW w:w="13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tcPr>
          <w:p>
            <w:pPr>
              <w:spacing w:after="0"/>
              <w:rPr>
                <w:sz w:val="15"/>
                <w:szCs w:val="15"/>
                <w:color w:val="auto"/>
              </w:rPr>
            </w:pPr>
          </w:p>
        </w:tc>
      </w:tr>
      <w:tr>
        <w:trPr>
          <w:trHeight w:val="24"/>
        </w:trPr>
        <w:tc>
          <w:tcPr>
            <w:tcW w:w="418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1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r>
      <w:tr>
        <w:trPr>
          <w:trHeight w:val="190"/>
        </w:trPr>
        <w:tc>
          <w:tcPr>
            <w:tcW w:w="41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6"/>
                <w:szCs w:val="16"/>
                <w:color w:val="auto"/>
              </w:rPr>
            </w:pPr>
          </w:p>
        </w:tc>
      </w:tr>
      <w:tr>
        <w:trPr>
          <w:trHeight w:val="231"/>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4"/>
        </w:trPr>
        <w:tc>
          <w:tcPr>
            <w:tcW w:w="418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18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25,703</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36,688</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0"/>
        </w:trPr>
        <w:tc>
          <w:tcPr>
            <w:tcW w:w="41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w:t>
            </w:r>
          </w:p>
        </w:tc>
        <w:tc>
          <w:tcPr>
            <w:tcW w:w="3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3"/>
        </w:trPr>
        <w:tc>
          <w:tcPr>
            <w:tcW w:w="4180" w:type="dxa"/>
            <w:vAlign w:val="bottom"/>
          </w:tcPr>
          <w:p>
            <w:pPr>
              <w:ind w:left="160"/>
              <w:spacing w:after="0"/>
              <w:rPr>
                <w:sz w:val="20"/>
                <w:szCs w:val="20"/>
                <w:color w:val="auto"/>
              </w:rPr>
            </w:pPr>
            <w:r>
              <w:rPr>
                <w:rFonts w:ascii="Arial" w:cs="Arial" w:eastAsia="Arial" w:hAnsi="Arial"/>
                <w:sz w:val="18"/>
                <w:szCs w:val="18"/>
                <w:color w:val="auto"/>
              </w:rPr>
              <w:t>Current operating leases</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1180" w:type="dxa"/>
            <w:vAlign w:val="bottom"/>
          </w:tcPr>
          <w:p>
            <w:pPr>
              <w:jc w:val="right"/>
              <w:ind w:right="99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16,336</w:t>
            </w:r>
          </w:p>
        </w:tc>
        <w:tc>
          <w:tcPr>
            <w:tcW w:w="80" w:type="dxa"/>
            <w:vAlign w:val="bottom"/>
          </w:tcPr>
          <w:p>
            <w:pPr>
              <w:spacing w:after="0"/>
              <w:rPr>
                <w:sz w:val="19"/>
                <w:szCs w:val="19"/>
                <w:color w:val="auto"/>
              </w:rPr>
            </w:pP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19,369</w:t>
            </w:r>
          </w:p>
        </w:tc>
      </w:tr>
      <w:tr>
        <w:trPr>
          <w:trHeight w:val="224"/>
        </w:trPr>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operating leases</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39,192</w:t>
            </w:r>
          </w:p>
        </w:tc>
      </w:tr>
      <w:tr>
        <w:trPr>
          <w:trHeight w:val="217"/>
        </w:trPr>
        <w:tc>
          <w:tcPr>
            <w:tcW w:w="4180" w:type="dxa"/>
            <w:vAlign w:val="bottom"/>
          </w:tcPr>
          <w:p>
            <w:pPr>
              <w:ind w:left="320"/>
              <w:spacing w:after="0"/>
              <w:rPr>
                <w:sz w:val="20"/>
                <w:szCs w:val="20"/>
                <w:color w:val="auto"/>
              </w:rPr>
            </w:pPr>
            <w:r>
              <w:rPr>
                <w:rFonts w:ascii="Arial" w:cs="Arial" w:eastAsia="Arial" w:hAnsi="Arial"/>
                <w:sz w:val="18"/>
                <w:szCs w:val="18"/>
                <w:color w:val="auto"/>
              </w:rPr>
              <w:t>Total lease liabilities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40,239</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58,561</w:t>
            </w:r>
          </w:p>
        </w:tc>
      </w:tr>
      <w:tr>
        <w:trPr>
          <w:trHeight w:val="20"/>
        </w:trPr>
        <w:tc>
          <w:tcPr>
            <w:tcW w:w="4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our operating lease expenses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 September 30,</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500" w:type="dxa"/>
            <w:vAlign w:val="bottom"/>
          </w:tcPr>
          <w:p>
            <w:pPr>
              <w:spacing w:after="0"/>
              <w:rPr>
                <w:sz w:val="15"/>
                <w:szCs w:val="15"/>
                <w:color w:val="auto"/>
              </w:rPr>
            </w:pP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r>
      <w:tr>
        <w:trPr>
          <w:trHeight w:val="190"/>
        </w:trPr>
        <w:tc>
          <w:tcPr>
            <w:tcW w:w="5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8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55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1180" w:type="dxa"/>
            <w:vAlign w:val="bottom"/>
            <w:tcBorders>
              <w:top w:val="single" w:sz="8" w:color="auto"/>
              <w:bottom w:val="single" w:sz="8" w:color="auto"/>
            </w:tcBorders>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weighted-average remaining lease term and weighted-average discount rates related to our operating leases: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2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2022</w:t>
            </w:r>
          </w:p>
        </w:tc>
      </w:tr>
      <w:tr>
        <w:trPr>
          <w:trHeight w:val="224"/>
        </w:trPr>
        <w:tc>
          <w:tcPr>
            <w:tcW w:w="8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Weighted-average remaining lease term (in months)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Weighted-average discount rate</w:t>
            </w:r>
          </w:p>
        </w:tc>
        <w:tc>
          <w:tcPr>
            <w:tcW w:w="680" w:type="dxa"/>
            <w:vAlign w:val="bottom"/>
          </w:tcPr>
          <w:p>
            <w:pPr>
              <w:jc w:val="right"/>
              <w:spacing w:after="0"/>
              <w:rPr>
                <w:sz w:val="20"/>
                <w:szCs w:val="20"/>
                <w:color w:val="auto"/>
              </w:rPr>
            </w:pPr>
            <w:r>
              <w:rPr>
                <w:rFonts w:ascii="Arial" w:cs="Arial" w:eastAsia="Arial" w:hAnsi="Arial"/>
                <w:sz w:val="18"/>
                <w:szCs w:val="18"/>
                <w:color w:val="auto"/>
              </w:rPr>
              <w:t>4.58 %</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4.01 %</w:t>
            </w:r>
          </w:p>
        </w:tc>
      </w:tr>
    </w:tbl>
    <w:p>
      <w:pPr>
        <w:spacing w:after="0" w:line="25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our operating leases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83"/>
              <w:spacing w:after="0"/>
              <w:rPr>
                <w:sz w:val="20"/>
                <w:szCs w:val="20"/>
                <w:color w:val="auto"/>
              </w:rPr>
            </w:pPr>
            <w:r>
              <w:rPr>
                <w:rFonts w:ascii="Arial" w:cs="Arial" w:eastAsia="Arial" w:hAnsi="Arial"/>
                <w:sz w:val="14"/>
                <w:szCs w:val="14"/>
                <w:b w:val="1"/>
                <w:bCs w:val="1"/>
                <w:color w:val="auto"/>
                <w:w w:val="90"/>
              </w:rPr>
              <w:t>Year Ended September 30,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4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4"/>
        </w:trPr>
        <w:tc>
          <w:tcPr>
            <w:tcW w:w="4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0"/>
        </w:trPr>
        <w:tc>
          <w:tcPr>
            <w:tcW w:w="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Cash paid for amounts included in the measurement of lease liabilities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22,021</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w:t>
            </w:r>
          </w:p>
        </w:tc>
        <w:tc>
          <w:tcPr>
            <w:tcW w:w="100" w:type="dxa"/>
            <w:vAlign w:val="bottom"/>
          </w:tcPr>
          <w:p>
            <w:pPr>
              <w:spacing w:after="0"/>
              <w:rPr>
                <w:sz w:val="20"/>
                <w:szCs w:val="20"/>
                <w:color w:val="auto"/>
              </w:rPr>
            </w:pPr>
          </w:p>
        </w:tc>
      </w:tr>
      <w:tr>
        <w:trPr>
          <w:trHeight w:val="223"/>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4,150</w:t>
            </w:r>
          </w:p>
        </w:tc>
        <w:tc>
          <w:tcPr>
            <w:tcW w:w="200" w:type="dxa"/>
            <w:vAlign w:val="bottom"/>
          </w:tcPr>
          <w:p>
            <w:pPr>
              <w:spacing w:after="0"/>
              <w:rPr>
                <w:sz w:val="19"/>
                <w:szCs w:val="19"/>
                <w:color w:val="auto"/>
              </w:rPr>
            </w:pPr>
          </w:p>
        </w:tc>
        <w:tc>
          <w:tcPr>
            <w:tcW w:w="1760" w:type="dxa"/>
            <w:vAlign w:val="bottom"/>
          </w:tcPr>
          <w:p>
            <w:pPr>
              <w:jc w:val="right"/>
              <w:ind w:right="23"/>
              <w:spacing w:after="0"/>
              <w:rPr>
                <w:sz w:val="20"/>
                <w:szCs w:val="20"/>
                <w:color w:val="auto"/>
              </w:rPr>
            </w:pPr>
            <w:r>
              <w:rPr>
                <w:rFonts w:ascii="Arial" w:cs="Arial" w:eastAsia="Arial" w:hAnsi="Arial"/>
                <w:sz w:val="18"/>
                <w:szCs w:val="18"/>
                <w:color w:val="auto"/>
              </w:rPr>
              <w:t>7,505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19"/>
                <w:szCs w:val="19"/>
                <w:color w:val="auto"/>
              </w:rPr>
            </w:pPr>
          </w:p>
        </w:tc>
      </w:tr>
      <w:tr>
        <w:trPr>
          <w:trHeight w:val="447"/>
        </w:trPr>
        <w:tc>
          <w:tcPr>
            <w:tcW w:w="9320" w:type="dxa"/>
            <w:vAlign w:val="bottom"/>
            <w:gridSpan w:val="6"/>
          </w:tcPr>
          <w:p>
            <w:pPr>
              <w:ind w:left="400"/>
              <w:spacing w:after="0"/>
              <w:rPr>
                <w:sz w:val="20"/>
                <w:szCs w:val="20"/>
                <w:color w:val="auto"/>
              </w:rPr>
            </w:pPr>
            <w:r>
              <w:rPr>
                <w:rFonts w:ascii="Arial" w:cs="Arial" w:eastAsia="Arial" w:hAnsi="Arial"/>
                <w:sz w:val="18"/>
                <w:szCs w:val="18"/>
                <w:color w:val="auto"/>
              </w:rPr>
              <w:t>Future lease payments under our non-cancellable operating leases as of September 30, 2023 were as follows: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thousands)</w:t>
            </w:r>
          </w:p>
        </w:tc>
      </w:tr>
      <w:tr>
        <w:trPr>
          <w:trHeight w:val="24"/>
        </w:trPr>
        <w:tc>
          <w:tcPr>
            <w:tcW w:w="4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24"/>
        </w:trPr>
        <w:tc>
          <w:tcPr>
            <w:tcW w:w="4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4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24"/>
        </w:trPr>
        <w:tc>
          <w:tcPr>
            <w:tcW w:w="4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4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4"/>
        </w:trPr>
        <w:tc>
          <w:tcPr>
            <w:tcW w:w="40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7"/>
        </w:trPr>
        <w:tc>
          <w:tcPr>
            <w:tcW w:w="400" w:type="dxa"/>
            <w:vAlign w:val="bottom"/>
          </w:tcPr>
          <w:p>
            <w:pPr>
              <w:spacing w:after="0"/>
              <w:rPr>
                <w:sz w:val="18"/>
                <w:szCs w:val="18"/>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future undiscounted lease payments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400" w:type="dxa"/>
            <w:vAlign w:val="bottom"/>
          </w:tcPr>
          <w:p>
            <w:pPr>
              <w:spacing w:after="0"/>
              <w:rPr>
                <w:sz w:val="19"/>
                <w:szCs w:val="19"/>
                <w:color w:val="auto"/>
              </w:rPr>
            </w:pPr>
          </w:p>
        </w:tc>
        <w:tc>
          <w:tcPr>
            <w:tcW w:w="51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Less imputed interest</w:t>
            </w:r>
          </w:p>
        </w:tc>
        <w:tc>
          <w:tcPr>
            <w:tcW w:w="4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00" w:type="dxa"/>
            <w:vAlign w:val="bottom"/>
          </w:tcPr>
          <w:p>
            <w:pPr>
              <w:spacing w:after="0"/>
              <w:rPr>
                <w:sz w:val="20"/>
                <w:szCs w:val="20"/>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reported lease liability</w:t>
            </w: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0"/>
        </w:trPr>
        <w:tc>
          <w:tcPr>
            <w:tcW w:w="40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The amounts above do not include contractual sublease income totaling $1.1 million, $0.5 million, $0.4 million, and $0.2 million during fiscal 2024, 2025, 2026, and 2027,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115"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In the ordinary course of business, we enter into contractual purchase obligations and other agreements that are legally binding and specify certain minimum payment terms.</w:t>
      </w:r>
    </w:p>
    <w:p>
      <w:pPr>
        <w:spacing w:after="0" w:line="129" w:lineRule="exact"/>
        <w:rPr>
          <w:sz w:val="20"/>
          <w:szCs w:val="20"/>
          <w:color w:val="auto"/>
        </w:rPr>
      </w:pPr>
    </w:p>
    <w:p>
      <w:pPr>
        <w:jc w:val="both"/>
        <w:ind w:right="100" w:firstLine="395"/>
        <w:spacing w:after="0" w:line="261" w:lineRule="auto"/>
        <w:rPr>
          <w:sz w:val="20"/>
          <w:szCs w:val="20"/>
          <w:color w:val="auto"/>
        </w:rPr>
      </w:pPr>
      <w:r>
        <w:rPr>
          <w:rFonts w:ascii="Arial" w:cs="Arial" w:eastAsia="Arial" w:hAnsi="Arial"/>
          <w:sz w:val="18"/>
          <w:szCs w:val="18"/>
          <w:color w:val="auto"/>
        </w:rPr>
        <w:t>We are also a party to a management agreement with 19 of our executives providing for certain payments and other benefits in the event of a qualified change in control of FICO, coupled with a termination of the officer during the following year.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115" w:lineRule="exact"/>
        <w:rPr>
          <w:sz w:val="20"/>
          <w:szCs w:val="20"/>
          <w:color w:val="auto"/>
        </w:rPr>
      </w:pPr>
    </w:p>
    <w:p>
      <w:pPr>
        <w:jc w:val="both"/>
        <w:ind w:right="100" w:firstLine="395"/>
        <w:spacing w:after="0" w:line="287" w:lineRule="auto"/>
        <w:rPr>
          <w:sz w:val="20"/>
          <w:szCs w:val="20"/>
          <w:color w:val="auto"/>
        </w:rPr>
      </w:pPr>
      <w:r>
        <w:rPr>
          <w:rFonts w:ascii="Arial" w:cs="Arial" w:eastAsia="Arial" w:hAnsi="Arial"/>
          <w:sz w:val="16"/>
          <w:szCs w:val="16"/>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September 30, 2023, 2022 and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Guarantees</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In the ordinary course of business, we are not subject to potential obligations under guarantees</w:t>
      </w:r>
      <w:r>
        <w:rPr>
          <w:rFonts w:ascii="Arial" w:cs="Arial" w:eastAsia="Arial" w:hAnsi="Arial"/>
          <w:sz w:val="16"/>
          <w:szCs w:val="16"/>
          <w:i w:val="1"/>
          <w:iCs w:val="1"/>
          <w:color w:val="auto"/>
        </w:rPr>
        <w:t>,</w:t>
      </w:r>
      <w:r>
        <w:rPr>
          <w:rFonts w:ascii="Arial" w:cs="Arial" w:eastAsia="Arial" w:hAnsi="Arial"/>
          <w:sz w:val="16"/>
          <w:szCs w:val="16"/>
          <w:color w:val="auto"/>
        </w:rPr>
        <w:t xml:space="preserve"> except for standard indemnification and warranty provisions that are contained within many of our customer license and service agreements and certain supplier agreements, including underwriter agreements, as well as standard indemnification agreements that we have executed with certain of our officers and directors, and give rise only to the disclosure in the consolidated financial statements. In addition, we continue to monitor the conditions that are subject to the guarantees and indemnifications to identify whether it is probable that a loss has occurred, and would recognize any such losses under the guarantees and indemnifications when those losses are estimable.</w:t>
      </w:r>
    </w:p>
    <w:p>
      <w:pPr>
        <w:spacing w:after="0" w:line="111" w:lineRule="exact"/>
        <w:rPr>
          <w:sz w:val="20"/>
          <w:szCs w:val="20"/>
          <w:color w:val="auto"/>
        </w:rPr>
      </w:pPr>
    </w:p>
    <w:p>
      <w:pPr>
        <w:jc w:val="both"/>
        <w:ind w:firstLine="395"/>
        <w:spacing w:after="0" w:line="281" w:lineRule="auto"/>
        <w:rPr>
          <w:sz w:val="20"/>
          <w:szCs w:val="20"/>
          <w:color w:val="auto"/>
        </w:rPr>
      </w:pPr>
      <w:r>
        <w:rPr>
          <w:rFonts w:ascii="Arial" w:cs="Arial" w:eastAsia="Arial" w:hAnsi="Arial"/>
          <w:sz w:val="16"/>
          <w:szCs w:val="16"/>
          <w:color w:val="auto"/>
        </w:rPr>
        <w:t>Indemnification and warranty provisions contained within our customer license and service agreements and certain supplier agreements are generally consistent with those prevalent in our industry. The duration of our product warranties generally does not exceed 90 days following delivery of our products. We have not incurred significant obligations under customer indemnification or warranty provisions historically and do not expect to incur significant obligations in the future. Accordingly, we do not maintain accruals for potential customer indemnification or warranty-related obligations. The indemnification agreements that we have executed with certain of our officers and directors would require us to indemnify such officers and directors in certain instances. We have not incurred obligations under these indemnification agreements historically and do not expect to incur significant obligations in the future. Accordingly, we do not maintain accruals for potential officer or director indemnification obligations. The maximum potential amount of future payments that we could be required to make under the indemnification provisions in our customer license and service agreements, and officer and director agreements is unlimited.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5"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6"/>
          <w:szCs w:val="16"/>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annual report. Based on that evaluation, the CEO and CFO have concluded that FICO’s disclosure controls and procedures were effective as of September 30, 2023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 13a-15(d) of the Exchange Act that occurred during the quarter ended September 30, 2023, that has materially affected, or is reasonably likely to materially affect, FICO’s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Under the supervision and with the participation of management, including our CEO and CFO, we conducted an evaluation of the effectiveness of our internal control over financial reporting as of September 30, 2023 based on the guidelines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Based on this evaluation management has concluded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our internal control over financial reporting was effective as of September 30, 2023.</w:t>
      </w:r>
    </w:p>
    <w:p>
      <w:pPr>
        <w:spacing w:after="0" w:line="11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Deloitte &amp; Touche LLP, an independent registered public accounting firm that audited the consolidated financial statements included in this Annual Report on Form 10-K, has also audited the effectiveness of our internal control over financial reporting as of September 30, 2023, as stated in their attestation report included in Part II, Item 8 of this Annual Report on Form 10-K.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1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 xml:space="preserve">During the three months ended September </w:t>
      </w:r>
      <w:r>
        <w:rPr>
          <w:rFonts w:ascii="Arial" w:cs="Arial" w:eastAsia="Arial" w:hAnsi="Arial"/>
          <w:sz w:val="16"/>
          <w:szCs w:val="16"/>
          <w:color w:val="1F282C"/>
        </w:rPr>
        <w:t>30, 2023</w:t>
      </w:r>
      <w:r>
        <w:rPr>
          <w:rFonts w:ascii="Arial" w:cs="Arial" w:eastAsia="Arial" w:hAnsi="Arial"/>
          <w:sz w:val="16"/>
          <w:szCs w:val="16"/>
          <w:color w:val="auto"/>
        </w:rPr>
        <w:t>,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required information regarding our Directors is incorporated by reference from the information under the caption “Our Director Nominees” 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2024 Proxy Statement to be filed with the SEC within 120 days after September 30, 2023.</w:t>
      </w: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executive officers as of October 31, 2023 were as follows: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800" w:type="dxa"/>
            <w:vAlign w:val="bottom"/>
          </w:tcPr>
          <w:p>
            <w:pPr>
              <w:ind w:left="4080"/>
              <w:spacing w:after="0"/>
              <w:rPr>
                <w:sz w:val="20"/>
                <w:szCs w:val="20"/>
                <w:color w:val="auto"/>
              </w:rPr>
            </w:pPr>
            <w:r>
              <w:rPr>
                <w:rFonts w:ascii="Arial" w:cs="Arial" w:eastAsia="Arial" w:hAnsi="Arial"/>
                <w:sz w:val="14"/>
                <w:szCs w:val="14"/>
                <w:b w:val="1"/>
                <w:bCs w:val="1"/>
                <w:color w:val="auto"/>
              </w:rPr>
              <w:t>Positions Held</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r>
      <w:tr>
        <w:trPr>
          <w:trHeight w:val="24"/>
        </w:trPr>
        <w:tc>
          <w:tcPr>
            <w:tcW w:w="174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65"/>
        </w:trPr>
        <w:tc>
          <w:tcPr>
            <w:tcW w:w="1740" w:type="dxa"/>
            <w:vAlign w:val="bottom"/>
          </w:tcPr>
          <w:p>
            <w:pPr>
              <w:ind w:left="20"/>
              <w:spacing w:after="0" w:line="165" w:lineRule="exact"/>
              <w:rPr>
                <w:sz w:val="20"/>
                <w:szCs w:val="20"/>
                <w:color w:val="auto"/>
              </w:rPr>
            </w:pPr>
            <w:r>
              <w:rPr>
                <w:rFonts w:ascii="Arial" w:cs="Arial" w:eastAsia="Arial" w:hAnsi="Arial"/>
                <w:sz w:val="18"/>
                <w:szCs w:val="18"/>
                <w:color w:val="auto"/>
              </w:rPr>
              <w:t>William J. Lansing</w:t>
            </w:r>
          </w:p>
        </w:tc>
        <w:tc>
          <w:tcPr>
            <w:tcW w:w="8800" w:type="dxa"/>
            <w:vAlign w:val="bottom"/>
          </w:tcPr>
          <w:p>
            <w:pPr>
              <w:ind w:left="300"/>
              <w:spacing w:after="0" w:line="165" w:lineRule="exact"/>
              <w:rPr>
                <w:sz w:val="20"/>
                <w:szCs w:val="20"/>
                <w:color w:val="auto"/>
              </w:rPr>
            </w:pPr>
            <w:r>
              <w:rPr>
                <w:rFonts w:ascii="Arial" w:cs="Arial" w:eastAsia="Arial" w:hAnsi="Arial"/>
                <w:sz w:val="18"/>
                <w:szCs w:val="18"/>
                <w:color w:val="auto"/>
                <w:w w:val="89"/>
              </w:rPr>
              <w:t>January 2012 - present, Chief Executive Officer and member of the Board of Directors of the Company. February 2009-</w:t>
            </w:r>
          </w:p>
        </w:tc>
        <w:tc>
          <w:tcPr>
            <w:tcW w:w="400" w:type="dxa"/>
            <w:vAlign w:val="bottom"/>
          </w:tcPr>
          <w:p>
            <w:pPr>
              <w:jc w:val="center"/>
              <w:spacing w:after="0" w:line="165" w:lineRule="exact"/>
              <w:rPr>
                <w:sz w:val="20"/>
                <w:szCs w:val="20"/>
                <w:color w:val="auto"/>
              </w:rPr>
            </w:pPr>
            <w:r>
              <w:rPr>
                <w:rFonts w:ascii="Arial" w:cs="Arial" w:eastAsia="Arial" w:hAnsi="Arial"/>
                <w:sz w:val="18"/>
                <w:szCs w:val="18"/>
                <w:color w:val="auto"/>
                <w:w w:val="89"/>
              </w:rPr>
              <w:t>65</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5"/>
              </w:rPr>
              <w:t>November 2010, Chief Executive Officer and President, Infospace, Inc. 2004-2007, Chief Executive Officer and</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3"/>
              </w:rPr>
              <w:t>President, ValueVision Media, Inc. 2001-2003, General Partner, General Atlantic LLC. 2000-2001, Chief Executive</w:t>
            </w:r>
          </w:p>
        </w:tc>
        <w:tc>
          <w:tcPr>
            <w:tcW w:w="40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1"/>
              </w:rPr>
              <w:t>Officer, NBC Internet, Inc. 1998-2000, President/Chief Executive Officer, Fingerhut Companies, Inc. 1996-1998, Vice</w:t>
            </w:r>
          </w:p>
        </w:tc>
        <w:tc>
          <w:tcPr>
            <w:tcW w:w="400" w:type="dxa"/>
            <w:vAlign w:val="bottom"/>
          </w:tcPr>
          <w:p>
            <w:pPr>
              <w:spacing w:after="0"/>
              <w:rPr>
                <w:sz w:val="14"/>
                <w:szCs w:val="14"/>
                <w:color w:val="auto"/>
              </w:rPr>
            </w:pP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5"/>
              </w:rPr>
              <w:t>President, Corporate Business Development, General Electric Company. 1996, Executive Vice President, Chief</w:t>
            </w:r>
          </w:p>
        </w:tc>
        <w:tc>
          <w:tcPr>
            <w:tcW w:w="400" w:type="dxa"/>
            <w:vAlign w:val="bottom"/>
          </w:tcPr>
          <w:p>
            <w:pPr>
              <w:spacing w:after="0"/>
              <w:rPr>
                <w:sz w:val="16"/>
                <w:szCs w:val="16"/>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Operating Officer, Prodigy, Inc. 1986-1995, various positions, McKinsey &amp; Company, Inc.</w:t>
            </w:r>
          </w:p>
        </w:tc>
        <w:tc>
          <w:tcPr>
            <w:tcW w:w="400" w:type="dxa"/>
            <w:vAlign w:val="bottom"/>
          </w:tcPr>
          <w:p>
            <w:pPr>
              <w:spacing w:after="0"/>
              <w:rPr>
                <w:sz w:val="19"/>
                <w:szCs w:val="19"/>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color w:val="auto"/>
              </w:rPr>
              <w:t>Steven P. Weber</w:t>
            </w:r>
          </w:p>
        </w:tc>
        <w:tc>
          <w:tcPr>
            <w:tcW w:w="8800" w:type="dxa"/>
            <w:vAlign w:val="bottom"/>
          </w:tcPr>
          <w:p>
            <w:pPr>
              <w:ind w:left="300"/>
              <w:spacing w:after="0"/>
              <w:rPr>
                <w:sz w:val="20"/>
                <w:szCs w:val="20"/>
                <w:color w:val="auto"/>
              </w:rPr>
            </w:pPr>
            <w:r>
              <w:rPr>
                <w:rFonts w:ascii="Arial" w:cs="Arial" w:eastAsia="Arial" w:hAnsi="Arial"/>
                <w:sz w:val="18"/>
                <w:szCs w:val="18"/>
                <w:color w:val="auto"/>
                <w:w w:val="93"/>
              </w:rPr>
              <w:t>May 2023 – present, Executive Vice President, Chief Financial Officer of the Company. January 2023 – May 2023,</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89"/>
              </w:rPr>
              <w:t>Vice President, Interim Chief Financial Officer of the Company. March 2021 – January 2023, Vice President, Treasurer,</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1"/>
              </w:rPr>
              <w:t>Tax and Investor Relations of the Company. November 2010 – March 2021, Vice President of Investor Relations and</w:t>
            </w:r>
          </w:p>
        </w:tc>
        <w:tc>
          <w:tcPr>
            <w:tcW w:w="40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0"/>
              </w:rPr>
              <w:t>Treasurer of the Company. April 2003 – November 2010, various positions with the Company. September 2001 – April</w:t>
            </w:r>
          </w:p>
        </w:tc>
        <w:tc>
          <w:tcPr>
            <w:tcW w:w="400" w:type="dxa"/>
            <w:vAlign w:val="bottom"/>
          </w:tcPr>
          <w:p>
            <w:pPr>
              <w:spacing w:after="0"/>
              <w:rPr>
                <w:sz w:val="14"/>
                <w:szCs w:val="14"/>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2003, Senior Financial Analyst, Metris Companies. 1990 – 2001, various positions, Foodservice News.</w:t>
            </w:r>
          </w:p>
        </w:tc>
        <w:tc>
          <w:tcPr>
            <w:tcW w:w="400" w:type="dxa"/>
            <w:vAlign w:val="bottom"/>
          </w:tcPr>
          <w:p>
            <w:pPr>
              <w:spacing w:after="0"/>
              <w:rPr>
                <w:sz w:val="19"/>
                <w:szCs w:val="19"/>
                <w:color w:val="auto"/>
              </w:rPr>
            </w:pPr>
          </w:p>
        </w:tc>
      </w:tr>
      <w:tr>
        <w:trPr>
          <w:trHeight w:val="238"/>
        </w:trPr>
        <w:tc>
          <w:tcPr>
            <w:tcW w:w="1740" w:type="dxa"/>
            <w:vAlign w:val="bottom"/>
          </w:tcPr>
          <w:p>
            <w:pPr>
              <w:ind w:left="20"/>
              <w:spacing w:after="0"/>
              <w:rPr>
                <w:sz w:val="20"/>
                <w:szCs w:val="20"/>
                <w:color w:val="auto"/>
              </w:rPr>
            </w:pPr>
            <w:r>
              <w:rPr>
                <w:rFonts w:ascii="Arial" w:cs="Arial" w:eastAsia="Arial" w:hAnsi="Arial"/>
                <w:sz w:val="18"/>
                <w:szCs w:val="18"/>
                <w:color w:val="auto"/>
              </w:rPr>
              <w:t>Nikhil Behl</w:t>
            </w:r>
          </w:p>
        </w:tc>
        <w:tc>
          <w:tcPr>
            <w:tcW w:w="8800" w:type="dxa"/>
            <w:vAlign w:val="bottom"/>
          </w:tcPr>
          <w:p>
            <w:pPr>
              <w:ind w:left="300"/>
              <w:spacing w:after="0"/>
              <w:rPr>
                <w:sz w:val="20"/>
                <w:szCs w:val="20"/>
                <w:color w:val="auto"/>
              </w:rPr>
            </w:pPr>
            <w:r>
              <w:rPr>
                <w:rFonts w:ascii="Arial" w:cs="Arial" w:eastAsia="Arial" w:hAnsi="Arial"/>
                <w:sz w:val="18"/>
                <w:szCs w:val="18"/>
                <w:color w:val="auto"/>
                <w:w w:val="90"/>
              </w:rPr>
              <w:t>August 2023 – present, Executive Vice President, Chief Marketing Officer of the Company. April 2014 – August 2023,</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4"/>
              </w:rPr>
              <w:t>Vice President, Chief Marketing Officer of the Company. October 2013 – April 2014, Consultant to the Company.</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2"/>
              </w:rPr>
              <w:t>February 2012 – October 2013, Chief Executive Officer of Supplizer. August 2011 – January 2012, Chief Executive</w:t>
            </w:r>
          </w:p>
        </w:tc>
        <w:tc>
          <w:tcPr>
            <w:tcW w:w="40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1"/>
              </w:rPr>
              <w:t>Officer of Zoostores.com. July 2010 – August 2011, Chief Executive Officer – Mercantila Business Unit of Infospace.</w:t>
            </w:r>
          </w:p>
        </w:tc>
        <w:tc>
          <w:tcPr>
            <w:tcW w:w="400" w:type="dxa"/>
            <w:vAlign w:val="bottom"/>
          </w:tcPr>
          <w:p>
            <w:pPr>
              <w:spacing w:after="0"/>
              <w:rPr>
                <w:sz w:val="14"/>
                <w:szCs w:val="14"/>
                <w:color w:val="auto"/>
              </w:rPr>
            </w:pP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2"/>
              </w:rPr>
              <w:t>2007 – 2010, Chief Merchandising Officer of Mercantila. 1995 – June 2007, various positions, including VP Sales &amp;</w:t>
            </w:r>
          </w:p>
        </w:tc>
        <w:tc>
          <w:tcPr>
            <w:tcW w:w="400" w:type="dxa"/>
            <w:vAlign w:val="bottom"/>
          </w:tcPr>
          <w:p>
            <w:pPr>
              <w:spacing w:after="0"/>
              <w:rPr>
                <w:sz w:val="16"/>
                <w:szCs w:val="16"/>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Operations and VP Sales &amp; Customer Service, Home &amp; Home Office Store of Hewlett Packard.</w:t>
            </w:r>
          </w:p>
        </w:tc>
        <w:tc>
          <w:tcPr>
            <w:tcW w:w="400" w:type="dxa"/>
            <w:vAlign w:val="bottom"/>
          </w:tcPr>
          <w:p>
            <w:pPr>
              <w:spacing w:after="0"/>
              <w:rPr>
                <w:sz w:val="19"/>
                <w:szCs w:val="19"/>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color w:val="auto"/>
              </w:rPr>
              <w:t>Thomas A. Bowers</w:t>
            </w: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August 2020-present, Executive Vice President, Corporate Strategy of the Company. September 2019-August 2020,</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0"/>
              </w:rPr>
              <w:t>Vice President, Business Consulting of the Company. April 2018-September 2019, Founder and Managing Partner, M</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1"/>
              </w:rPr>
              <w:t>Cubed Development, LLC. August 2012-March 2018, Executive Vice President, American Savings Bank. 1987-2012,</w:t>
            </w:r>
          </w:p>
        </w:tc>
        <w:tc>
          <w:tcPr>
            <w:tcW w:w="400" w:type="dxa"/>
            <w:vAlign w:val="bottom"/>
          </w:tcPr>
          <w:p>
            <w:pPr>
              <w:spacing w:after="0"/>
              <w:rPr>
                <w:sz w:val="14"/>
                <w:szCs w:val="14"/>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Senior partner and various positions, McKinsey &amp; Company, Inc.</w:t>
            </w:r>
          </w:p>
        </w:tc>
        <w:tc>
          <w:tcPr>
            <w:tcW w:w="400" w:type="dxa"/>
            <w:vAlign w:val="bottom"/>
          </w:tcPr>
          <w:p>
            <w:pPr>
              <w:spacing w:after="0"/>
              <w:rPr>
                <w:sz w:val="19"/>
                <w:szCs w:val="19"/>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color w:val="auto"/>
              </w:rPr>
              <w:t>Stephanie Covert</w:t>
            </w: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January 2022 - present, Executive Vice President, Software of the Company. October 2020-January 2022, Executive</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89"/>
              </w:rPr>
              <w:t>Vice President, Sales &amp; Marketing of the Company. June 2016-October 2020, Vice President, Global Sales Operations</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0"/>
              </w:rPr>
              <w:t>of the Company. December 2015-May 2016, Vice President, Solution Success of the Company. June 2015-December</w:t>
            </w:r>
          </w:p>
        </w:tc>
        <w:tc>
          <w:tcPr>
            <w:tcW w:w="40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1"/>
              </w:rPr>
              <w:t>2015, Senior Director, Solution Success, Americas &amp; EMEA of the Company. May 2014-June 2015, Senior Director,</w:t>
            </w:r>
          </w:p>
        </w:tc>
        <w:tc>
          <w:tcPr>
            <w:tcW w:w="400" w:type="dxa"/>
            <w:vAlign w:val="bottom"/>
          </w:tcPr>
          <w:p>
            <w:pPr>
              <w:spacing w:after="0"/>
              <w:rPr>
                <w:sz w:val="14"/>
                <w:szCs w:val="14"/>
                <w:color w:val="auto"/>
              </w:rPr>
            </w:pP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89"/>
              </w:rPr>
              <w:t>Solution Success, Americas of the Company. March 2013-May 2014, Senior Director, Sales Operations, Apttus. March</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89"/>
              </w:rPr>
              <w:t>2012-March 2013, Sales Operations Director, Oracle Corporation. June 2007-March 2012, various positions, RightNow</w:t>
            </w:r>
          </w:p>
        </w:tc>
        <w:tc>
          <w:tcPr>
            <w:tcW w:w="400" w:type="dxa"/>
            <w:vAlign w:val="bottom"/>
          </w:tcPr>
          <w:p>
            <w:pPr>
              <w:spacing w:after="0"/>
              <w:rPr>
                <w:sz w:val="14"/>
                <w:szCs w:val="14"/>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Technologies, Inc.</w:t>
            </w:r>
          </w:p>
        </w:tc>
        <w:tc>
          <w:tcPr>
            <w:tcW w:w="400" w:type="dxa"/>
            <w:vAlign w:val="bottom"/>
          </w:tcPr>
          <w:p>
            <w:pPr>
              <w:spacing w:after="0"/>
              <w:rPr>
                <w:sz w:val="19"/>
                <w:szCs w:val="19"/>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color w:val="auto"/>
              </w:rPr>
              <w:t>Richard S. Deal</w:t>
            </w:r>
          </w:p>
        </w:tc>
        <w:tc>
          <w:tcPr>
            <w:tcW w:w="8800" w:type="dxa"/>
            <w:vAlign w:val="bottom"/>
          </w:tcPr>
          <w:p>
            <w:pPr>
              <w:ind w:left="300"/>
              <w:spacing w:after="0"/>
              <w:rPr>
                <w:sz w:val="20"/>
                <w:szCs w:val="20"/>
                <w:color w:val="auto"/>
              </w:rPr>
            </w:pPr>
            <w:r>
              <w:rPr>
                <w:rFonts w:ascii="Arial" w:cs="Arial" w:eastAsia="Arial" w:hAnsi="Arial"/>
                <w:sz w:val="18"/>
                <w:szCs w:val="18"/>
                <w:color w:val="auto"/>
                <w:w w:val="91"/>
              </w:rPr>
              <w:t>November 2015 - present, Executive Vice President, Chief Human Resources Officer of the Company. August 2007-</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0"/>
              </w:rPr>
              <w:t>November 2015, Senior Vice President, Chief Human Resources Officer of the Company. January 2001-August 2007,</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0"/>
              </w:rPr>
              <w:t>Vice President, Human Resources of the Company. 1998-2001, Vice President, Human Resources, Arcadia Financial,</w:t>
            </w:r>
          </w:p>
        </w:tc>
        <w:tc>
          <w:tcPr>
            <w:tcW w:w="400" w:type="dxa"/>
            <w:vAlign w:val="bottom"/>
          </w:tcPr>
          <w:p>
            <w:pPr>
              <w:spacing w:after="0"/>
              <w:rPr>
                <w:sz w:val="14"/>
                <w:szCs w:val="14"/>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w w:val="90"/>
              </w:rPr>
              <w:t>Ltd. 1993-1998, managed broad range of human resources corporate and line consulting functions with U.S. Bancorp.</w:t>
            </w:r>
          </w:p>
        </w:tc>
        <w:tc>
          <w:tcPr>
            <w:tcW w:w="400" w:type="dxa"/>
            <w:vAlign w:val="bottom"/>
          </w:tcPr>
          <w:p>
            <w:pPr>
              <w:spacing w:after="0"/>
              <w:rPr>
                <w:sz w:val="19"/>
                <w:szCs w:val="19"/>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color w:val="auto"/>
              </w:rPr>
              <w:t>Michael S. Leonard</w:t>
            </w:r>
          </w:p>
        </w:tc>
        <w:tc>
          <w:tcPr>
            <w:tcW w:w="8800" w:type="dxa"/>
            <w:vAlign w:val="bottom"/>
          </w:tcPr>
          <w:p>
            <w:pPr>
              <w:ind w:left="300"/>
              <w:spacing w:after="0"/>
              <w:rPr>
                <w:sz w:val="20"/>
                <w:szCs w:val="20"/>
                <w:color w:val="auto"/>
              </w:rPr>
            </w:pPr>
            <w:r>
              <w:rPr>
                <w:rFonts w:ascii="Arial" w:cs="Arial" w:eastAsia="Arial" w:hAnsi="Arial"/>
                <w:sz w:val="18"/>
                <w:szCs w:val="18"/>
                <w:color w:val="auto"/>
                <w:w w:val="89"/>
              </w:rPr>
              <w:t>November 2011 - present, Vice President, Chief Accounting Officer of the Company. November 2007-November 2011,</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91"/>
              </w:rPr>
              <w:t>Senior Director, Finance of the Company. July 2000-November 2007, Director, Finance of the Company. 1998-2000,</w:t>
            </w:r>
          </w:p>
        </w:tc>
        <w:tc>
          <w:tcPr>
            <w:tcW w:w="400" w:type="dxa"/>
            <w:vAlign w:val="bottom"/>
          </w:tcPr>
          <w:p>
            <w:pPr>
              <w:spacing w:after="0"/>
              <w:rPr>
                <w:sz w:val="16"/>
                <w:szCs w:val="16"/>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Controller of Natural Alternatives International, Inc. 1994-1998, various audit staff positions at KPMG LLP.</w:t>
            </w:r>
          </w:p>
        </w:tc>
        <w:tc>
          <w:tcPr>
            <w:tcW w:w="400" w:type="dxa"/>
            <w:vAlign w:val="bottom"/>
          </w:tcPr>
          <w:p>
            <w:pPr>
              <w:spacing w:after="0"/>
              <w:rPr>
                <w:sz w:val="19"/>
                <w:szCs w:val="19"/>
                <w:color w:val="auto"/>
              </w:rPr>
            </w:pPr>
          </w:p>
        </w:tc>
      </w:tr>
      <w:tr>
        <w:trPr>
          <w:trHeight w:val="225"/>
        </w:trPr>
        <w:tc>
          <w:tcPr>
            <w:tcW w:w="1740" w:type="dxa"/>
            <w:vAlign w:val="bottom"/>
          </w:tcPr>
          <w:p>
            <w:pPr>
              <w:ind w:left="20"/>
              <w:spacing w:after="0"/>
              <w:rPr>
                <w:sz w:val="20"/>
                <w:szCs w:val="20"/>
                <w:color w:val="auto"/>
              </w:rPr>
            </w:pPr>
            <w:r>
              <w:rPr>
                <w:rFonts w:ascii="Arial" w:cs="Arial" w:eastAsia="Arial" w:hAnsi="Arial"/>
                <w:sz w:val="18"/>
                <w:szCs w:val="18"/>
                <w:color w:val="auto"/>
              </w:rPr>
              <w:t>Mark R. Scadina</w:t>
            </w:r>
          </w:p>
        </w:tc>
        <w:tc>
          <w:tcPr>
            <w:tcW w:w="8800" w:type="dxa"/>
            <w:vAlign w:val="bottom"/>
          </w:tcPr>
          <w:p>
            <w:pPr>
              <w:ind w:left="300"/>
              <w:spacing w:after="0"/>
              <w:rPr>
                <w:sz w:val="20"/>
                <w:szCs w:val="20"/>
                <w:color w:val="auto"/>
              </w:rPr>
            </w:pPr>
            <w:r>
              <w:rPr>
                <w:rFonts w:ascii="Arial" w:cs="Arial" w:eastAsia="Arial" w:hAnsi="Arial"/>
                <w:sz w:val="18"/>
                <w:szCs w:val="18"/>
                <w:color w:val="auto"/>
                <w:w w:val="88"/>
              </w:rPr>
              <w:t>February 2009 - present, Executive Vice President and General Counsel and Corporate Secretary of the Company. June</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184"/>
        </w:trPr>
        <w:tc>
          <w:tcPr>
            <w:tcW w:w="1740" w:type="dxa"/>
            <w:vAlign w:val="bottom"/>
          </w:tcPr>
          <w:p>
            <w:pPr>
              <w:spacing w:after="0"/>
              <w:rPr>
                <w:sz w:val="16"/>
                <w:szCs w:val="16"/>
                <w:color w:val="auto"/>
              </w:rPr>
            </w:pPr>
          </w:p>
        </w:tc>
        <w:tc>
          <w:tcPr>
            <w:tcW w:w="8800" w:type="dxa"/>
            <w:vAlign w:val="bottom"/>
          </w:tcPr>
          <w:p>
            <w:pPr>
              <w:ind w:left="300"/>
              <w:spacing w:after="0" w:line="184" w:lineRule="exact"/>
              <w:rPr>
                <w:sz w:val="20"/>
                <w:szCs w:val="20"/>
                <w:color w:val="auto"/>
              </w:rPr>
            </w:pPr>
            <w:r>
              <w:rPr>
                <w:rFonts w:ascii="Arial" w:cs="Arial" w:eastAsia="Arial" w:hAnsi="Arial"/>
                <w:sz w:val="18"/>
                <w:szCs w:val="18"/>
                <w:color w:val="auto"/>
                <w:w w:val="88"/>
              </w:rPr>
              <w:t>2007-February 2009, Senior Vice President and General Counsel and Corporate Secretary of the Company. 2003-2007,</w:t>
            </w:r>
          </w:p>
        </w:tc>
        <w:tc>
          <w:tcPr>
            <w:tcW w:w="400" w:type="dxa"/>
            <w:vAlign w:val="bottom"/>
          </w:tcPr>
          <w:p>
            <w:pPr>
              <w:spacing w:after="0"/>
              <w:rPr>
                <w:sz w:val="16"/>
                <w:szCs w:val="16"/>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5"/>
              </w:rPr>
              <w:t>various senior positions including Executive Vice President, General Counsel and Corporate Secretary, Liberate</w:t>
            </w:r>
          </w:p>
        </w:tc>
        <w:tc>
          <w:tcPr>
            <w:tcW w:w="400" w:type="dxa"/>
            <w:vAlign w:val="bottom"/>
          </w:tcPr>
          <w:p>
            <w:pPr>
              <w:spacing w:after="0"/>
              <w:rPr>
                <w:sz w:val="14"/>
                <w:szCs w:val="14"/>
                <w:color w:val="auto"/>
              </w:rPr>
            </w:pPr>
          </w:p>
        </w:tc>
      </w:tr>
      <w:tr>
        <w:trPr>
          <w:trHeight w:val="171"/>
        </w:trPr>
        <w:tc>
          <w:tcPr>
            <w:tcW w:w="1740" w:type="dxa"/>
            <w:vAlign w:val="bottom"/>
          </w:tcPr>
          <w:p>
            <w:pPr>
              <w:spacing w:after="0"/>
              <w:rPr>
                <w:sz w:val="14"/>
                <w:szCs w:val="14"/>
                <w:color w:val="auto"/>
              </w:rPr>
            </w:pPr>
          </w:p>
        </w:tc>
        <w:tc>
          <w:tcPr>
            <w:tcW w:w="8800" w:type="dxa"/>
            <w:vAlign w:val="bottom"/>
          </w:tcPr>
          <w:p>
            <w:pPr>
              <w:ind w:left="300"/>
              <w:spacing w:after="0" w:line="171" w:lineRule="exact"/>
              <w:rPr>
                <w:sz w:val="20"/>
                <w:szCs w:val="20"/>
                <w:color w:val="auto"/>
              </w:rPr>
            </w:pPr>
            <w:r>
              <w:rPr>
                <w:rFonts w:ascii="Arial" w:cs="Arial" w:eastAsia="Arial" w:hAnsi="Arial"/>
                <w:sz w:val="18"/>
                <w:szCs w:val="18"/>
                <w:color w:val="auto"/>
                <w:w w:val="91"/>
              </w:rPr>
              <w:t>Technologies, Inc. 1999-2003, various leadership positions including Vice President and General Counsel, Intertrust</w:t>
            </w:r>
          </w:p>
        </w:tc>
        <w:tc>
          <w:tcPr>
            <w:tcW w:w="400" w:type="dxa"/>
            <w:vAlign w:val="bottom"/>
          </w:tcPr>
          <w:p>
            <w:pPr>
              <w:spacing w:after="0"/>
              <w:rPr>
                <w:sz w:val="14"/>
                <w:szCs w:val="14"/>
                <w:color w:val="auto"/>
              </w:rPr>
            </w:pPr>
          </w:p>
        </w:tc>
      </w:tr>
      <w:tr>
        <w:trPr>
          <w:trHeight w:val="222"/>
        </w:trPr>
        <w:tc>
          <w:tcPr>
            <w:tcW w:w="17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Technologies Corporation. 1994-1999, Associate, Pennie and Edmonds LLP.</w:t>
            </w:r>
          </w:p>
        </w:tc>
        <w:tc>
          <w:tcPr>
            <w:tcW w:w="400" w:type="dxa"/>
            <w:vAlign w:val="bottom"/>
          </w:tcPr>
          <w:p>
            <w:pPr>
              <w:spacing w:after="0"/>
              <w:rPr>
                <w:sz w:val="19"/>
                <w:szCs w:val="19"/>
                <w:color w:val="auto"/>
              </w:rPr>
            </w:pPr>
          </w:p>
        </w:tc>
      </w:tr>
      <w:tr>
        <w:trPr>
          <w:trHeight w:val="238"/>
        </w:trPr>
        <w:tc>
          <w:tcPr>
            <w:tcW w:w="1740" w:type="dxa"/>
            <w:vAlign w:val="bottom"/>
          </w:tcPr>
          <w:p>
            <w:pPr>
              <w:ind w:left="20"/>
              <w:spacing w:after="0"/>
              <w:rPr>
                <w:sz w:val="20"/>
                <w:szCs w:val="20"/>
                <w:color w:val="auto"/>
              </w:rPr>
            </w:pPr>
            <w:r>
              <w:rPr>
                <w:rFonts w:ascii="Arial" w:cs="Arial" w:eastAsia="Arial" w:hAnsi="Arial"/>
                <w:sz w:val="18"/>
                <w:szCs w:val="18"/>
                <w:color w:val="auto"/>
              </w:rPr>
              <w:t>James M. Wehmann</w:t>
            </w:r>
          </w:p>
        </w:tc>
        <w:tc>
          <w:tcPr>
            <w:tcW w:w="8800" w:type="dxa"/>
            <w:vAlign w:val="bottom"/>
          </w:tcPr>
          <w:p>
            <w:pPr>
              <w:ind w:left="300"/>
              <w:spacing w:after="0"/>
              <w:rPr>
                <w:sz w:val="20"/>
                <w:szCs w:val="20"/>
                <w:color w:val="auto"/>
              </w:rPr>
            </w:pPr>
            <w:r>
              <w:rPr>
                <w:rFonts w:ascii="Arial" w:cs="Arial" w:eastAsia="Arial" w:hAnsi="Arial"/>
                <w:sz w:val="18"/>
                <w:szCs w:val="18"/>
                <w:color w:val="auto"/>
                <w:w w:val="99"/>
              </w:rPr>
              <w:t>April 2012 - present, Executive Vice President, Scores of the Company. November 2003-March 2012, Vice</w:t>
            </w: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198"/>
        </w:trPr>
        <w:tc>
          <w:tcPr>
            <w:tcW w:w="1740" w:type="dxa"/>
            <w:vAlign w:val="bottom"/>
          </w:tcPr>
          <w:p>
            <w:pPr>
              <w:spacing w:after="0"/>
              <w:rPr>
                <w:sz w:val="17"/>
                <w:szCs w:val="17"/>
                <w:color w:val="auto"/>
              </w:rPr>
            </w:pPr>
          </w:p>
        </w:tc>
        <w:tc>
          <w:tcPr>
            <w:tcW w:w="8800" w:type="dxa"/>
            <w:vAlign w:val="bottom"/>
          </w:tcPr>
          <w:p>
            <w:pPr>
              <w:ind w:left="300"/>
              <w:spacing w:after="0" w:line="198" w:lineRule="exact"/>
              <w:rPr>
                <w:sz w:val="20"/>
                <w:szCs w:val="20"/>
                <w:color w:val="auto"/>
              </w:rPr>
            </w:pPr>
            <w:r>
              <w:rPr>
                <w:rFonts w:ascii="Arial" w:cs="Arial" w:eastAsia="Arial" w:hAnsi="Arial"/>
                <w:sz w:val="18"/>
                <w:szCs w:val="18"/>
                <w:color w:val="auto"/>
                <w:w w:val="97"/>
              </w:rPr>
              <w:t>President/Senior Vice President, Global Marketing, Digital River, Inc. March 2002-June 2003, Vice President,</w:t>
            </w:r>
          </w:p>
        </w:tc>
        <w:tc>
          <w:tcPr>
            <w:tcW w:w="400" w:type="dxa"/>
            <w:vAlign w:val="bottom"/>
          </w:tcPr>
          <w:p>
            <w:pPr>
              <w:spacing w:after="0"/>
              <w:rPr>
                <w:sz w:val="17"/>
                <w:szCs w:val="17"/>
                <w:color w:val="auto"/>
              </w:rPr>
            </w:pPr>
          </w:p>
        </w:tc>
      </w:tr>
    </w:tbl>
    <w:p>
      <w:pPr>
        <w:ind w:left="2440" w:right="480"/>
        <w:spacing w:after="0" w:line="254" w:lineRule="auto"/>
        <w:rPr>
          <w:sz w:val="20"/>
          <w:szCs w:val="20"/>
          <w:color w:val="auto"/>
        </w:rPr>
      </w:pPr>
      <w:r>
        <w:rPr>
          <w:rFonts w:ascii="Arial" w:cs="Arial" w:eastAsia="Arial" w:hAnsi="Arial"/>
          <w:sz w:val="16"/>
          <w:szCs w:val="16"/>
          <w:color w:val="auto"/>
        </w:rPr>
        <w:t>Marketing, Brylane, Inc. September 2000-March 2002, Senior Vice President, Marketing, New Customer Acquisition, Bank One. 1993-2000, various roles, including Senior Vice President, Marketing, Fingerhut Companies, Inc.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Information regarding compliance with Section 16(a) of the Securities Exchange Act, as applicable, and regarding material changes, if any, to the procedures by which shareholders may recommend nominees to the Company’s Board of Directors is incorporated by reference from the information in our 2024 Proxy Statement to be filed with the SEC within 120 days after September 30, 2023.</w:t>
      </w:r>
    </w:p>
    <w:p>
      <w:pPr>
        <w:spacing w:after="0" w:line="138" w:lineRule="exact"/>
        <w:rPr>
          <w:sz w:val="20"/>
          <w:szCs w:val="20"/>
          <w:color w:val="auto"/>
        </w:rPr>
      </w:pPr>
    </w:p>
    <w:p>
      <w:pPr>
        <w:jc w:val="both"/>
        <w:ind w:firstLine="395"/>
        <w:spacing w:after="0" w:line="248" w:lineRule="auto"/>
        <w:rPr>
          <w:sz w:val="20"/>
          <w:szCs w:val="20"/>
          <w:color w:val="auto"/>
        </w:rPr>
      </w:pPr>
      <w:r>
        <w:rPr>
          <w:rFonts w:ascii="Arial" w:cs="Arial" w:eastAsia="Arial" w:hAnsi="Arial"/>
          <w:sz w:val="18"/>
          <w:szCs w:val="18"/>
          <w:color w:val="auto"/>
        </w:rPr>
        <w:t>FICO has adopted a Code of Ethics for Senior Financial Management that applies to the Company’s Chief Executive Officer, Chief Financial Officer, Controller and other employees performing similar functions who have been identified by the Chief Executive Officer. We have posted the Code of Ethics on our website located at www.fico.com. FICO intends to satisfy the disclosure requirement under Item 5.05 of Form 8-K regarding an amendment to, or a waiver from, this Code of Ethics by posting such information on its website. FICO also has a Code of Conduct and Business Ethics applicable to all directors, officers and employees, which is also available at the website cited above.</w:t>
      </w:r>
    </w:p>
    <w:p>
      <w:pPr>
        <w:spacing w:after="0" w:line="14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required information regarding the Company’s audit committee is incorporated by reference from the information under the caption “Board Committees” in our 2024 Proxy Statement to be filed with the SEC within 120 days after September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“Director Compensation for Fiscal 2023” and “Executive Compensation” in our 2024 Proxy Statement to be filed with the SEC within 120 days after September 30,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15"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“Security Ownership of Certain Beneficial Owners and Management” and “Executive Compensation Plan Information” in our 2024 Proxy Statement to be filed with the SEC within 120 days after September 30,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“Certain Relationships and Related Persons Transactions” in our 2024 Proxy Statement to be filed with the SEC within 120 days after September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 in our 2024 Proxy Statement to be filed with the SEC within 120 days after September 30, 2023.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80" w:type="dxa"/>
            <w:vAlign w:val="bottom"/>
            <w:gridSpan w:val="4"/>
          </w:tcPr>
          <w:p>
            <w:pPr>
              <w:ind w:left="760"/>
              <w:spacing w:after="0"/>
              <w:rPr>
                <w:sz w:val="20"/>
                <w:szCs w:val="20"/>
                <w:color w:val="auto"/>
              </w:rPr>
            </w:pPr>
            <w:r>
              <w:rPr>
                <w:rFonts w:ascii="Arial" w:cs="Arial" w:eastAsia="Arial" w:hAnsi="Arial"/>
                <w:sz w:val="18"/>
                <w:szCs w:val="18"/>
                <w:b w:val="1"/>
                <w:bCs w:val="1"/>
                <w:color w:val="auto"/>
              </w:rPr>
              <w:t>PART IV</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1"/>
        </w:trPr>
        <w:tc>
          <w:tcPr>
            <w:tcW w:w="990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9900" w:type="dxa"/>
            <w:vAlign w:val="bottom"/>
            <w:gridSpan w:val="8"/>
          </w:tcPr>
          <w:p>
            <w:pPr>
              <w:spacing w:after="0"/>
              <w:rPr>
                <w:sz w:val="20"/>
                <w:szCs w:val="20"/>
                <w:color w:val="auto"/>
              </w:rPr>
            </w:pPr>
            <w:r>
              <w:rPr>
                <w:rFonts w:ascii="Arial" w:cs="Arial" w:eastAsia="Arial" w:hAnsi="Arial"/>
                <w:sz w:val="18"/>
                <w:szCs w:val="18"/>
                <w:b w:val="1"/>
                <w:bCs w:val="1"/>
                <w:color w:val="auto"/>
              </w:rPr>
              <w:t>1. Consolidated Financial Statements: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Reference Page</w:t>
            </w:r>
          </w:p>
        </w:tc>
      </w:tr>
      <w:tr>
        <w:trPr>
          <w:trHeight w:val="187"/>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Form 10-K</w:t>
            </w:r>
          </w:p>
        </w:tc>
      </w:tr>
      <w:tr>
        <w:trPr>
          <w:trHeight w:val="171"/>
        </w:trPr>
        <w:tc>
          <w:tcPr>
            <w:tcW w:w="20" w:type="dxa"/>
            <w:vAlign w:val="bottom"/>
          </w:tcPr>
          <w:p>
            <w:pPr>
              <w:spacing w:after="0"/>
              <w:rPr>
                <w:sz w:val="14"/>
                <w:szCs w:val="14"/>
                <w:color w:val="auto"/>
              </w:rPr>
            </w:pPr>
          </w:p>
        </w:tc>
        <w:tc>
          <w:tcPr>
            <w:tcW w:w="9880" w:type="dxa"/>
            <w:vAlign w:val="bottom"/>
            <w:gridSpan w:val="7"/>
          </w:tcPr>
          <w:p>
            <w:pPr>
              <w:spacing w:after="0" w:line="152" w:lineRule="exact"/>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3"/>
                <w:szCs w:val="13"/>
                <w:color w:val="000000"/>
              </w:rPr>
              <w:t>(PCAOB ID: 34)</w:t>
            </w:r>
          </w:p>
        </w:tc>
        <w:tc>
          <w:tcPr>
            <w:tcW w:w="1320" w:type="dxa"/>
            <w:vAlign w:val="bottom"/>
            <w:gridSpan w:val="3"/>
          </w:tcPr>
          <w:p>
            <w:pPr>
              <w:jc w:val="right"/>
              <w:ind w:right="20"/>
              <w:spacing w:after="0" w:line="152" w:lineRule="exact"/>
              <w:rPr>
                <w:sz w:val="20"/>
                <w:szCs w:val="20"/>
                <w:color w:val="auto"/>
              </w:rPr>
            </w:pPr>
            <w:r>
              <w:rPr>
                <w:rFonts w:ascii="Arial" w:cs="Arial" w:eastAsia="Arial" w:hAnsi="Arial"/>
                <w:sz w:val="16"/>
                <w:szCs w:val="16"/>
                <w:color w:val="0000FF"/>
              </w:rPr>
              <w:t>48</w:t>
            </w:r>
          </w:p>
        </w:tc>
      </w:tr>
      <w:tr>
        <w:trPr>
          <w:trHeight w:val="26"/>
        </w:trPr>
        <w:tc>
          <w:tcPr>
            <w:tcW w:w="20" w:type="dxa"/>
            <w:vAlign w:val="bottom"/>
          </w:tcPr>
          <w:p>
            <w:pPr>
              <w:spacing w:after="0"/>
              <w:rPr>
                <w:sz w:val="2"/>
                <w:szCs w:val="2"/>
                <w:color w:val="auto"/>
              </w:rPr>
            </w:pPr>
          </w:p>
        </w:tc>
        <w:tc>
          <w:tcPr>
            <w:tcW w:w="2960" w:type="dxa"/>
            <w:vAlign w:val="bottom"/>
            <w:shd w:val="clear" w:color="auto" w:fill="0000FF"/>
          </w:tcPr>
          <w:p>
            <w:pPr>
              <w:spacing w:after="0"/>
              <w:rPr>
                <w:sz w:val="2"/>
                <w:szCs w:val="2"/>
                <w:color w:val="auto"/>
              </w:rPr>
            </w:pPr>
          </w:p>
        </w:tc>
        <w:tc>
          <w:tcPr>
            <w:tcW w:w="1540" w:type="dxa"/>
            <w:vAlign w:val="bottom"/>
            <w:gridSpan w:val="2"/>
            <w:shd w:val="clear" w:color="auto" w:fill="0000FF"/>
          </w:tcPr>
          <w:p>
            <w:pPr>
              <w:spacing w:after="0"/>
              <w:rPr>
                <w:sz w:val="2"/>
                <w:szCs w:val="2"/>
                <w:color w:val="auto"/>
              </w:rPr>
            </w:pPr>
          </w:p>
        </w:tc>
        <w:tc>
          <w:tcPr>
            <w:tcW w:w="2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FF"/>
              </w:rPr>
              <w:t>Consolidated balance sheets as of September 30, 2023 and 2022</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880" w:type="dxa"/>
            <w:vAlign w:val="bottom"/>
            <w:gridSpan w:val="7"/>
          </w:tcPr>
          <w:p>
            <w:pPr>
              <w:spacing w:after="0" w:line="204" w:lineRule="exact"/>
              <w:rPr>
                <w:sz w:val="20"/>
                <w:szCs w:val="20"/>
                <w:color w:val="auto"/>
              </w:rPr>
            </w:pPr>
            <w:r>
              <w:rPr>
                <w:rFonts w:ascii="Arial" w:cs="Arial" w:eastAsia="Arial" w:hAnsi="Arial"/>
                <w:sz w:val="18"/>
                <w:szCs w:val="18"/>
                <w:color w:val="0000FF"/>
              </w:rPr>
              <w:t>Consolidated statements of income and comprehensive income for the years ended September 30, 2023, 2022 and 2021</w:t>
            </w:r>
          </w:p>
        </w:tc>
        <w:tc>
          <w:tcPr>
            <w:tcW w:w="132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52</w:t>
            </w:r>
          </w:p>
        </w:tc>
      </w:tr>
      <w:tr>
        <w:trPr>
          <w:trHeight w:val="204"/>
        </w:trPr>
        <w:tc>
          <w:tcPr>
            <w:tcW w:w="20" w:type="dxa"/>
            <w:vAlign w:val="bottom"/>
          </w:tcPr>
          <w:p>
            <w:pPr>
              <w:spacing w:after="0"/>
              <w:rPr>
                <w:sz w:val="17"/>
                <w:szCs w:val="17"/>
                <w:color w:val="auto"/>
              </w:rPr>
            </w:pPr>
          </w:p>
        </w:tc>
        <w:tc>
          <w:tcPr>
            <w:tcW w:w="8380" w:type="dxa"/>
            <w:vAlign w:val="bottom"/>
            <w:tcBorders>
              <w:top w:val="single" w:sz="8" w:color="0000FF"/>
            </w:tcBorders>
            <w:gridSpan w:val="6"/>
          </w:tcPr>
          <w:p>
            <w:pPr>
              <w:spacing w:after="0" w:line="204" w:lineRule="exact"/>
              <w:rPr>
                <w:sz w:val="20"/>
                <w:szCs w:val="20"/>
                <w:color w:val="auto"/>
              </w:rPr>
            </w:pPr>
            <w:r>
              <w:rPr>
                <w:rFonts w:ascii="Arial" w:cs="Arial" w:eastAsia="Arial" w:hAnsi="Arial"/>
                <w:sz w:val="18"/>
                <w:szCs w:val="18"/>
                <w:color w:val="0000FF"/>
                <w:w w:val="92"/>
              </w:rPr>
              <w:t>Consolidated statements of stockholders’ equity (deficit) for the years ended September 30, 2023, 2022 and 2021</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4" w:lineRule="exact"/>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4"/>
          </w:tcPr>
          <w:p>
            <w:pPr>
              <w:spacing w:after="0" w:line="204" w:lineRule="exact"/>
              <w:rPr>
                <w:sz w:val="20"/>
                <w:szCs w:val="20"/>
                <w:color w:val="auto"/>
              </w:rPr>
            </w:pPr>
            <w:r>
              <w:rPr>
                <w:rFonts w:ascii="Arial" w:cs="Arial" w:eastAsia="Arial" w:hAnsi="Arial"/>
                <w:sz w:val="18"/>
                <w:szCs w:val="18"/>
                <w:color w:val="0000FF"/>
                <w:w w:val="86"/>
              </w:rPr>
              <w:t>Consolidated statements of cash flows for the years ended September 30, 2023, 2022 and 2021</w:t>
            </w:r>
          </w:p>
        </w:tc>
        <w:tc>
          <w:tcPr>
            <w:tcW w:w="1280" w:type="dxa"/>
            <w:vAlign w:val="bottom"/>
            <w:tcBorders>
              <w:top w:val="single" w:sz="8" w:color="0000FF"/>
            </w:tcBorders>
          </w:tcPr>
          <w:p>
            <w:pPr>
              <w:spacing w:after="0"/>
              <w:rPr>
                <w:sz w:val="17"/>
                <w:szCs w:val="17"/>
                <w:color w:val="auto"/>
              </w:rPr>
            </w:pPr>
          </w:p>
        </w:tc>
        <w:tc>
          <w:tcPr>
            <w:tcW w:w="19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9880" w:type="dxa"/>
            <w:vAlign w:val="bottom"/>
            <w:gridSpan w:val="7"/>
          </w:tcPr>
          <w:p>
            <w:pPr>
              <w:spacing w:after="0" w:line="204" w:lineRule="exact"/>
              <w:rPr>
                <w:sz w:val="20"/>
                <w:szCs w:val="20"/>
                <w:color w:val="auto"/>
              </w:rPr>
            </w:pPr>
            <w:r>
              <w:rPr>
                <w:rFonts w:ascii="Arial" w:cs="Arial" w:eastAsia="Arial" w:hAnsi="Arial"/>
                <w:sz w:val="18"/>
                <w:szCs w:val="18"/>
                <w:color w:val="0000FF"/>
              </w:rPr>
              <w:t>Notes to consolidated financial statements</w:t>
            </w:r>
          </w:p>
        </w:tc>
        <w:tc>
          <w:tcPr>
            <w:tcW w:w="132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55</w:t>
            </w: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15"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All financial statement schedules are omitted as the required information is not applicable or as the information required is included in the consolidated financial statements and related notes.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40" w:type="dxa"/>
            <w:vAlign w:val="bottom"/>
            <w:gridSpan w:val="33"/>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40" w:type="dxa"/>
            <w:vAlign w:val="bottom"/>
            <w:gridSpan w:val="3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Bylaws of Fair Isaac Corporation. (Incorporated by reference to Exhibit 3.1 to the Company’s Form 10-Q for the quarter ended December</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97"/>
              </w:rPr>
            </w:pPr>
            <w:hyperlink r:id="rId123">
              <w:r>
                <w:rPr>
                  <w:rFonts w:ascii="Arial" w:cs="Arial" w:eastAsia="Arial" w:hAnsi="Arial"/>
                  <w:sz w:val="16"/>
                  <w:szCs w:val="16"/>
                  <w:color w:val="0000FF"/>
                  <w:w w:val="97"/>
                </w:rPr>
                <w:t>31, 2009.)</w:t>
              </w:r>
            </w:hyperlink>
          </w:p>
        </w:tc>
        <w:tc>
          <w:tcPr>
            <w:tcW w:w="7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Composite Restated Certificate of Incorporation of Fair Isaac Corporation. (Incorporated by reference to Exhibit 3.2 to the Company’s</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4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24">
              <w:r>
                <w:rPr>
                  <w:rFonts w:ascii="Arial" w:cs="Arial" w:eastAsia="Arial" w:hAnsi="Arial"/>
                  <w:sz w:val="16"/>
                  <w:szCs w:val="16"/>
                  <w:color w:val="0000FF"/>
                </w:rPr>
                <w:t>Form 10-Q for the quarter ended December 31, 2009.)</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Description of Securities of Registrant Registered Under Section 12 of the Securities Exchange Act of 1934. (Incorporated by reference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25">
              <w:r>
                <w:rPr>
                  <w:rFonts w:ascii="Arial" w:cs="Arial" w:eastAsia="Arial" w:hAnsi="Arial"/>
                  <w:sz w:val="16"/>
                  <w:szCs w:val="16"/>
                  <w:color w:val="0000FF"/>
                </w:rPr>
                <w:t>Exhibit 4.1 to the Company’s Form 10-K for the fiscal year ended September 30,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Indenture, dated as of May 8, 2018, by and between the Company and U.S. Bank National Association, as trustee, which includes the form</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6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r:id="rId126">
              <w:r>
                <w:rPr>
                  <w:rFonts w:ascii="Arial" w:cs="Arial" w:eastAsia="Arial" w:hAnsi="Arial"/>
                  <w:sz w:val="16"/>
                  <w:szCs w:val="16"/>
                  <w:color w:val="0000FF"/>
                </w:rPr>
                <w:t>of 5.25% Senior Notes due 2026. (Incorporated by reference to Exhibit 4.1 to the Company’s Form 8-K filed on May 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89"/>
              </w:rPr>
            </w:pPr>
            <w:hyperlink r:id="rId127">
              <w:r>
                <w:rPr>
                  <w:rFonts w:ascii="Arial" w:cs="Arial" w:eastAsia="Arial" w:hAnsi="Arial"/>
                  <w:sz w:val="18"/>
                  <w:szCs w:val="18"/>
                  <w:color w:val="0000FF"/>
                  <w:w w:val="89"/>
                </w:rPr>
                <w:t>Indenture, dated as of December 6, 2019, by and between the Company and U.S. Bank National Association, as trustee, which includes the</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9"/>
          </w:tcPr>
          <w:p>
            <w:pPr>
              <w:spacing w:after="0" w:line="152" w:lineRule="exact"/>
              <w:rPr>
                <w:rFonts w:ascii="Arial" w:cs="Arial" w:eastAsia="Arial" w:hAnsi="Arial"/>
                <w:sz w:val="16"/>
                <w:szCs w:val="16"/>
                <w:color w:val="0000FF"/>
              </w:rPr>
            </w:pPr>
            <w:hyperlink r:id="rId127">
              <w:r>
                <w:rPr>
                  <w:rFonts w:ascii="Arial" w:cs="Arial" w:eastAsia="Arial" w:hAnsi="Arial"/>
                  <w:sz w:val="16"/>
                  <w:szCs w:val="16"/>
                  <w:color w:val="0000FF"/>
                </w:rPr>
                <w:t>form of 4.00% Senior Notes due 2028. (Incorporated by reference to Exhibit 4.1 to the Company’s Form 8-K filed on December 6, 2019.)</w:t>
              </w:r>
            </w:hyperlink>
          </w:p>
        </w:tc>
        <w:tc>
          <w:tcPr>
            <w:tcW w:w="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Supplemental Indenture dated as of December 17, 2021 by and between the Company and U.S. Bank National Association, as trustee,</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2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28">
              <w:r>
                <w:rPr>
                  <w:rFonts w:ascii="Arial" w:cs="Arial" w:eastAsia="Arial" w:hAnsi="Arial"/>
                  <w:sz w:val="16"/>
                  <w:szCs w:val="16"/>
                  <w:color w:val="0000FF"/>
                </w:rPr>
                <w:t>which includes the form of 4.00% Senior Notes due 2028. (Incorporated by reference to Exhibit 4.2 to the Company’s Form 8-K filed</w:t>
              </w:r>
            </w:hyperlink>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28">
              <w:r>
                <w:rPr>
                  <w:rFonts w:ascii="Arial" w:cs="Arial" w:eastAsia="Arial" w:hAnsi="Arial"/>
                  <w:sz w:val="16"/>
                  <w:szCs w:val="16"/>
                  <w:color w:val="0000FF"/>
                </w:rPr>
                <w:t>December 17, 2021).</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Fair Isaac Supplemental Retirement and Savings Plan, as amended and restated effective January 1, 2009. (Incorporated by reference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29">
              <w:r>
                <w:rPr>
                  <w:rFonts w:ascii="Arial" w:cs="Arial" w:eastAsia="Arial" w:hAnsi="Arial"/>
                  <w:sz w:val="16"/>
                  <w:szCs w:val="16"/>
                  <w:color w:val="0000FF"/>
                </w:rPr>
                <w:t>Exhibit 10.10 of the Company’s Form 10-K for the fiscal year ended September 30, 2008.) (1)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Form of Indemnity Agreement entered into by the Company with the Company’s directors. (Incorporated by reference to Exhibit 10.49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10"/>
          </w:tcPr>
          <w:p>
            <w:pPr>
              <w:spacing w:after="0" w:line="152" w:lineRule="exact"/>
              <w:rPr>
                <w:rFonts w:ascii="Arial" w:cs="Arial" w:eastAsia="Arial" w:hAnsi="Arial"/>
                <w:sz w:val="16"/>
                <w:szCs w:val="16"/>
                <w:color w:val="0000FF"/>
                <w:w w:val="99"/>
              </w:rPr>
            </w:pPr>
            <w:hyperlink r:id="rId130">
              <w:r>
                <w:rPr>
                  <w:rFonts w:ascii="Arial" w:cs="Arial" w:eastAsia="Arial" w:hAnsi="Arial"/>
                  <w:sz w:val="16"/>
                  <w:szCs w:val="16"/>
                  <w:color w:val="0000FF"/>
                  <w:w w:val="99"/>
                </w:rPr>
                <w:t>the Company’s Form 10-K for the fiscal year ended September 30, 2002.) (1)</w:t>
              </w:r>
            </w:hyperlink>
          </w:p>
        </w:tc>
        <w:tc>
          <w:tcPr>
            <w:tcW w:w="42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Form of Management Agreement entered into with each of the Company’s executive officers. (Incorporated by reference to Exhibit 10.4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31">
              <w:r>
                <w:rPr>
                  <w:rFonts w:ascii="Arial" w:cs="Arial" w:eastAsia="Arial" w:hAnsi="Arial"/>
                  <w:sz w:val="16"/>
                  <w:szCs w:val="16"/>
                  <w:color w:val="0000FF"/>
                </w:rPr>
                <w:t>the Company’s Form 8-K filed on February 10, 2012.) (1)</w:t>
              </w:r>
            </w:hyperlink>
          </w:p>
        </w:tc>
        <w:tc>
          <w:tcPr>
            <w:tcW w:w="57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Form of Amendment to Management Agreement entered into with certain of the Company’s executive officers. (Incorporated by reference</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32">
              <w:r>
                <w:rPr>
                  <w:rFonts w:ascii="Arial" w:cs="Arial" w:eastAsia="Arial" w:hAnsi="Arial"/>
                  <w:sz w:val="16"/>
                  <w:szCs w:val="16"/>
                  <w:color w:val="0000FF"/>
                </w:rPr>
                <w:t>to Exhibit 10.2 to the Company’s Form 10-Q for the quarter ended December 31, 2014.) (1)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Form of Amendment to Management Agreement entered into with each of the Company’s executive officers. (Incorporated by reference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12"/>
          </w:tcPr>
          <w:p>
            <w:pPr>
              <w:spacing w:after="0" w:line="152" w:lineRule="exact"/>
              <w:rPr>
                <w:rFonts w:ascii="Arial" w:cs="Arial" w:eastAsia="Arial" w:hAnsi="Arial"/>
                <w:sz w:val="16"/>
                <w:szCs w:val="16"/>
                <w:color w:val="0000FF"/>
                <w:w w:val="99"/>
              </w:rPr>
            </w:pPr>
            <w:hyperlink r:id="rId133">
              <w:r>
                <w:rPr>
                  <w:rFonts w:ascii="Arial" w:cs="Arial" w:eastAsia="Arial" w:hAnsi="Arial"/>
                  <w:sz w:val="16"/>
                  <w:szCs w:val="16"/>
                  <w:color w:val="0000FF"/>
                  <w:w w:val="99"/>
                </w:rPr>
                <w:t>Exhibit 10.1 to the Company’s Form 10-Q for the quarter ended June 30, 2016.) (1)</w:t>
              </w:r>
            </w:hyperlink>
          </w:p>
        </w:tc>
        <w:tc>
          <w:tcPr>
            <w:tcW w:w="392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24"/>
                <w:szCs w:val="24"/>
                <w:color w:val="auto"/>
              </w:rPr>
            </w:pPr>
          </w:p>
        </w:tc>
        <w:tc>
          <w:tcPr>
            <w:tcW w:w="10000" w:type="dxa"/>
            <w:vAlign w:val="bottom"/>
            <w:gridSpan w:val="39"/>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Offer Letter entered into on May 29, 2007 with Mark R. Scadina. (Incorporated by reference to Exhibit 10.61 to the Company’s Form 10-K</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80" w:type="dxa"/>
            <w:vAlign w:val="bottom"/>
            <w:tcBorders>
              <w:top w:val="single" w:sz="8" w:color="0000FF"/>
            </w:tcBorders>
            <w:gridSpan w:val="37"/>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for the fiscal year ended September 30, 2008.) (1)</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Letter Agreement dated January 24, 2012 by and between the Company and William J. Lansing. (Incorporated by reference to Exhibit 10.2</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40" w:type="dxa"/>
            <w:vAlign w:val="bottom"/>
            <w:tcBorders>
              <w:top w:val="single" w:sz="8" w:color="0000FF"/>
            </w:tcBorders>
            <w:gridSpan w:val="35"/>
          </w:tcPr>
          <w:p>
            <w:pPr>
              <w:spacing w:after="0" w:line="152" w:lineRule="exact"/>
              <w:rPr>
                <w:rFonts w:ascii="Arial" w:cs="Arial" w:eastAsia="Arial" w:hAnsi="Arial"/>
                <w:sz w:val="16"/>
                <w:szCs w:val="16"/>
                <w:color w:val="0000FF"/>
              </w:rPr>
            </w:pPr>
            <w:hyperlink r:id="rId135">
              <w:r>
                <w:rPr>
                  <w:rFonts w:ascii="Arial" w:cs="Arial" w:eastAsia="Arial" w:hAnsi="Arial"/>
                  <w:sz w:val="16"/>
                  <w:szCs w:val="16"/>
                  <w:color w:val="0000FF"/>
                </w:rPr>
                <w:t>to the Company’s Form 8-K filed on January 26, 2012.) (1)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Letter Agreement dated February 6, 2012 by and between the Company and Mark Scadina. (Incorporated by reference to Exhibit 10.3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the Company’s Form 8-K filed on February 10, 2012.) (1)</w:t>
              </w:r>
            </w:hyperlink>
          </w:p>
        </w:tc>
        <w:tc>
          <w:tcPr>
            <w:tcW w:w="552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Letter Agreement dated March 7, 2012 by and between the Company and James M. Wehmann. (Incorporated by reference to Exhibit 10.1</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w w:val="99"/>
              </w:rPr>
            </w:pPr>
            <w:hyperlink r:id="rId137">
              <w:r>
                <w:rPr>
                  <w:rFonts w:ascii="Arial" w:cs="Arial" w:eastAsia="Arial" w:hAnsi="Arial"/>
                  <w:sz w:val="16"/>
                  <w:szCs w:val="16"/>
                  <w:color w:val="0000FF"/>
                  <w:w w:val="99"/>
                </w:rPr>
                <w:t>to the Company’s Form 10-Q for the quarter ended December 31, 2012.) (1)</w:t>
              </w:r>
            </w:hyperlink>
          </w:p>
        </w:tc>
        <w:tc>
          <w:tcPr>
            <w:tcW w:w="4340" w:type="dxa"/>
            <w:vAlign w:val="bottom"/>
            <w:tcBorders>
              <w:top w:val="single" w:sz="8" w:color="0000FF"/>
            </w:tcBorders>
            <w:gridSpan w:val="19"/>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5"/>
              </w:rPr>
            </w:pPr>
            <w:hyperlink r:id="rId138">
              <w:r>
                <w:rPr>
                  <w:rFonts w:ascii="Arial" w:cs="Arial" w:eastAsia="Arial" w:hAnsi="Arial"/>
                  <w:sz w:val="18"/>
                  <w:szCs w:val="18"/>
                  <w:color w:val="0000FF"/>
                  <w:w w:val="95"/>
                </w:rPr>
                <w:t>Form of Amendment to Letter Agreement entered into with each of the Company’s executive officers. (Incorporated by reference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Exhibit 10.2 to the Company’s Form 10-Q for the quarter ended June 30, 2016.) (1)</w:t>
              </w:r>
            </w:hyperlink>
          </w:p>
        </w:tc>
        <w:tc>
          <w:tcPr>
            <w:tcW w:w="20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22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60" w:type="dxa"/>
            <w:vAlign w:val="bottom"/>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Fair Isaac Corporation 2012 Long-Term Incentive Plan, as amended as of March 4, 2020. (Incorporated by reference to Exhibit 4.3 of the</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5"/>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Company's Registration Statement on Form S-8, filed with the SEC on March 6, 2020.) (1)</w:t>
              </w:r>
            </w:hyperlink>
          </w:p>
        </w:tc>
        <w:tc>
          <w:tcPr>
            <w:tcW w:w="3200" w:type="dxa"/>
            <w:vAlign w:val="bottom"/>
            <w:tcBorders>
              <w:top w:val="single" w:sz="8" w:color="0000FF"/>
            </w:tcBorders>
            <w:gridSpan w:val="11"/>
          </w:tcPr>
          <w:p>
            <w:pPr>
              <w:spacing w:after="0"/>
              <w:rPr>
                <w:sz w:val="13"/>
                <w:szCs w:val="13"/>
                <w:color w:val="auto"/>
              </w:rPr>
            </w:pPr>
          </w:p>
        </w:tc>
        <w:tc>
          <w:tcPr>
            <w:tcW w:w="22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Form of Employee Non-Statutory Stock Option Agreement (U.S.) under the 2012 Long-Term Incentive Plan. (Incorporated by reference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60" w:type="dxa"/>
            <w:vAlign w:val="bottom"/>
            <w:tcBorders>
              <w:top w:val="single" w:sz="8" w:color="0000FF"/>
            </w:tcBorders>
            <w:gridSpan w:val="36"/>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Exhibit 10.2 to the Company’s Form 10-Q for the quarter ended March 31, 2012.) (1)</w:t>
              </w:r>
            </w:hyperlink>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0" w:type="dxa"/>
            <w:vAlign w:val="bottom"/>
            <w:gridSpan w:val="13"/>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Form of Employee Restricted Stock Unit Award Agreement (U.S.) under the 2012 Long-Term Incentive Plan. (Incorporated by reference to</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900" w:type="dxa"/>
            <w:vAlign w:val="bottom"/>
            <w:tcBorders>
              <w:top w:val="single" w:sz="8" w:color="0000FF"/>
            </w:tcBorders>
            <w:gridSpan w:val="38"/>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Exhibit 10.3 to the Company’s Form 10-Q for the quarter ended March 31, 2012.) (1)</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0" w:type="dxa"/>
            <w:vAlign w:val="bottom"/>
            <w:gridSpan w:val="13"/>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5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720" w:type="dxa"/>
            <w:vAlign w:val="bottom"/>
          </w:tcPr>
          <w:p>
            <w:pPr>
              <w:spacing w:after="0"/>
              <w:rPr>
                <w:sz w:val="23"/>
                <w:szCs w:val="23"/>
                <w:color w:val="auto"/>
              </w:rPr>
            </w:pPr>
          </w:p>
        </w:tc>
        <w:tc>
          <w:tcPr>
            <w:tcW w:w="10000" w:type="dxa"/>
            <w:vAlign w:val="bottom"/>
            <w:gridSpan w:val="39"/>
          </w:tcPr>
          <w:p>
            <w:pPr>
              <w:spacing w:after="0"/>
              <w:rPr>
                <w:rFonts w:ascii="Arial" w:cs="Arial" w:eastAsia="Arial" w:hAnsi="Arial"/>
                <w:sz w:val="18"/>
                <w:szCs w:val="18"/>
                <w:color w:val="0000FF"/>
                <w:w w:val="94"/>
              </w:rPr>
            </w:pPr>
            <w:hyperlink r:id="rId142">
              <w:r>
                <w:rPr>
                  <w:rFonts w:ascii="Arial" w:cs="Arial" w:eastAsia="Arial" w:hAnsi="Arial"/>
                  <w:sz w:val="18"/>
                  <w:szCs w:val="18"/>
                  <w:color w:val="0000FF"/>
                  <w:w w:val="94"/>
                </w:rPr>
                <w:t>Form of Employee Non-Statutory Stock Option Agreement (International) under the 2012 Long-Term Incentive Plan. (Incorporated by</w:t>
              </w:r>
            </w:hyperlink>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8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reference to Exhibit 10.4 to the Company’s Form 10-Q for the quarter ended March 31, 2012.) (1)</w:t>
              </w:r>
            </w:hyperlink>
          </w:p>
        </w:tc>
        <w:tc>
          <w:tcPr>
            <w:tcW w:w="5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9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80" w:type="dxa"/>
            <w:vAlign w:val="bottom"/>
            <w:tcBorders>
              <w:top w:val="single" w:sz="8" w:color="0000FF"/>
            </w:tcBorders>
            <w:gridSpan w:val="7"/>
          </w:tcPr>
          <w:p>
            <w:pPr>
              <w:ind w:left="4300"/>
              <w:spacing w:after="0"/>
              <w:rPr>
                <w:sz w:val="20"/>
                <w:szCs w:val="20"/>
                <w:color w:val="auto"/>
              </w:rPr>
            </w:pPr>
            <w:r>
              <w:rPr>
                <w:rFonts w:ascii="Arial" w:cs="Arial" w:eastAsia="Arial" w:hAnsi="Arial"/>
                <w:sz w:val="18"/>
                <w:szCs w:val="18"/>
                <w:color w:val="auto"/>
              </w:rPr>
              <w:t>88</w:t>
            </w: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10.18</w:t>
            </w:r>
          </w:p>
        </w:tc>
        <w:tc>
          <w:tcPr>
            <w:tcW w:w="10000" w:type="dxa"/>
            <w:vAlign w:val="bottom"/>
            <w:gridSpan w:val="27"/>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Form of Employee Restricted Stock Unit Award Agreement (International) under the 2012 Long-Term Incentive Plan. (Incorporated by</w:t>
              </w:r>
            </w:hyperlink>
          </w:p>
        </w:tc>
      </w:tr>
      <w:tr>
        <w:trPr>
          <w:trHeight w:val="151"/>
        </w:trPr>
        <w:tc>
          <w:tcPr>
            <w:tcW w:w="124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reference to Exhibit 10.5 to the Company’s Form 10-Q for the quarter ended March 31, 2012.) (1)</w:t>
              </w:r>
            </w:hyperlink>
          </w:p>
        </w:tc>
        <w:tc>
          <w:tcPr>
            <w:tcW w:w="26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10.19</w:t>
            </w:r>
          </w:p>
        </w:tc>
        <w:tc>
          <w:tcPr>
            <w:tcW w:w="10000" w:type="dxa"/>
            <w:vAlign w:val="bottom"/>
            <w:gridSpan w:val="27"/>
          </w:tcPr>
          <w:p>
            <w:pPr>
              <w:spacing w:after="0"/>
              <w:rPr>
                <w:rFonts w:ascii="Arial" w:cs="Arial" w:eastAsia="Arial" w:hAnsi="Arial"/>
                <w:sz w:val="18"/>
                <w:szCs w:val="18"/>
                <w:color w:val="0000FF"/>
                <w:w w:val="95"/>
              </w:rPr>
            </w:pPr>
            <w:hyperlink r:id="rId146">
              <w:r>
                <w:rPr>
                  <w:rFonts w:ascii="Arial" w:cs="Arial" w:eastAsia="Arial" w:hAnsi="Arial"/>
                  <w:sz w:val="18"/>
                  <w:szCs w:val="18"/>
                  <w:color w:val="0000FF"/>
                  <w:w w:val="95"/>
                </w:rPr>
                <w:t>Form of Employee Non-Statutory Stock Option Agreement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34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Exhibit 10.2 to the Company’s Form 10-Q for the quarter ended December 31, 2016.)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10.20</w:t>
            </w:r>
          </w:p>
        </w:tc>
        <w:tc>
          <w:tcPr>
            <w:tcW w:w="10000" w:type="dxa"/>
            <w:vAlign w:val="bottom"/>
            <w:gridSpan w:val="27"/>
          </w:tcPr>
          <w:p>
            <w:pPr>
              <w:spacing w:after="0"/>
              <w:rPr>
                <w:rFonts w:ascii="Arial" w:cs="Arial" w:eastAsia="Arial" w:hAnsi="Arial"/>
                <w:sz w:val="18"/>
                <w:szCs w:val="18"/>
                <w:color w:val="0000FF"/>
                <w:w w:val="95"/>
              </w:rPr>
            </w:pPr>
            <w:hyperlink r:id="rId147">
              <w:r>
                <w:rPr>
                  <w:rFonts w:ascii="Arial" w:cs="Arial" w:eastAsia="Arial" w:hAnsi="Arial"/>
                  <w:sz w:val="18"/>
                  <w:szCs w:val="18"/>
                  <w:color w:val="0000FF"/>
                  <w:w w:val="95"/>
                </w:rPr>
                <w:t>Form of Employee Restricted Stock Unit Award Agreement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38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47">
              <w:r>
                <w:rPr>
                  <w:rFonts w:ascii="Arial" w:cs="Arial" w:eastAsia="Arial" w:hAnsi="Arial"/>
                  <w:sz w:val="16"/>
                  <w:szCs w:val="16"/>
                  <w:color w:val="0000FF"/>
                </w:rPr>
                <w:t>Exhibit 10.3 to the Company’s Form 10-Q for the quarter ended December 31, 2016.) (1)</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10.21</w:t>
            </w:r>
          </w:p>
        </w:tc>
        <w:tc>
          <w:tcPr>
            <w:tcW w:w="10000" w:type="dxa"/>
            <w:vAlign w:val="bottom"/>
            <w:gridSpan w:val="27"/>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Form of Executive Non-Statutory Stock Option Agreement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300" w:type="dxa"/>
            <w:vAlign w:val="bottom"/>
            <w:tcBorders>
              <w:top w:val="single" w:sz="8" w:color="0000FF"/>
            </w:tcBorders>
            <w:gridSpan w:val="10"/>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Exhibit 10.4 to the Company’s Form 10-Q for the quarter ended December 31, 2016.) (1)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10.22</w:t>
            </w:r>
          </w:p>
        </w:tc>
        <w:tc>
          <w:tcPr>
            <w:tcW w:w="10000" w:type="dxa"/>
            <w:vAlign w:val="bottom"/>
            <w:gridSpan w:val="27"/>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Form of Executive Non-Statutory Stock Option Agreement under the 2012 Long-Term Incentive Plan (U.S.), as amended November 6,</w:t>
              </w:r>
            </w:hyperlink>
          </w:p>
        </w:tc>
      </w:tr>
      <w:tr>
        <w:trPr>
          <w:trHeight w:val="151"/>
        </w:trPr>
        <w:tc>
          <w:tcPr>
            <w:tcW w:w="1240" w:type="dxa"/>
            <w:vAlign w:val="bottom"/>
          </w:tcPr>
          <w:p>
            <w:pPr>
              <w:spacing w:after="0"/>
              <w:rPr>
                <w:sz w:val="13"/>
                <w:szCs w:val="13"/>
                <w:color w:val="auto"/>
              </w:rPr>
            </w:pPr>
          </w:p>
        </w:tc>
        <w:tc>
          <w:tcPr>
            <w:tcW w:w="95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2018. (Incorporated by reference to Exhibit 10.30 to the Company’s Form 10-K for the fiscal year ended September 30, 2018.) (1)</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10.23</w:t>
            </w:r>
          </w:p>
        </w:tc>
        <w:tc>
          <w:tcPr>
            <w:tcW w:w="10000" w:type="dxa"/>
            <w:vAlign w:val="bottom"/>
            <w:gridSpan w:val="27"/>
          </w:tcPr>
          <w:p>
            <w:pPr>
              <w:spacing w:after="0"/>
              <w:rPr>
                <w:rFonts w:ascii="Arial" w:cs="Arial" w:eastAsia="Arial" w:hAnsi="Arial"/>
                <w:sz w:val="18"/>
                <w:szCs w:val="18"/>
                <w:color w:val="0000FF"/>
                <w:w w:val="95"/>
              </w:rPr>
            </w:pPr>
            <w:hyperlink r:id="rId150">
              <w:r>
                <w:rPr>
                  <w:rFonts w:ascii="Arial" w:cs="Arial" w:eastAsia="Arial" w:hAnsi="Arial"/>
                  <w:sz w:val="18"/>
                  <w:szCs w:val="18"/>
                  <w:color w:val="0000FF"/>
                  <w:w w:val="95"/>
                </w:rPr>
                <w:t>Form of Executive Restricted Stock Unit Award Agreement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36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Exhibit 10.5 to the Company’s Form 10-Q for the quarter ended December 31, 2016.) (1)</w:t>
              </w:r>
            </w:hyperlink>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10.24</w:t>
            </w:r>
          </w:p>
        </w:tc>
        <w:tc>
          <w:tcPr>
            <w:tcW w:w="10000" w:type="dxa"/>
            <w:vAlign w:val="bottom"/>
            <w:gridSpan w:val="27"/>
          </w:tcPr>
          <w:p>
            <w:pPr>
              <w:spacing w:after="0"/>
              <w:rPr>
                <w:rFonts w:ascii="Arial" w:cs="Arial" w:eastAsia="Arial" w:hAnsi="Arial"/>
                <w:sz w:val="18"/>
                <w:szCs w:val="18"/>
                <w:color w:val="0000FF"/>
                <w:w w:val="92"/>
              </w:rPr>
            </w:pPr>
            <w:hyperlink r:id="rId151">
              <w:r>
                <w:rPr>
                  <w:rFonts w:ascii="Arial" w:cs="Arial" w:eastAsia="Arial" w:hAnsi="Arial"/>
                  <w:sz w:val="18"/>
                  <w:szCs w:val="18"/>
                  <w:color w:val="0000FF"/>
                  <w:w w:val="92"/>
                </w:rPr>
                <w:t>Form of Executive Restricted Stock Unit Award Agreement under the 2012 Long-Term Incentive Plan (U.S.), as amended November 8,</w:t>
              </w:r>
            </w:hyperlink>
          </w:p>
        </w:tc>
      </w:tr>
      <w:tr>
        <w:trPr>
          <w:trHeight w:val="151"/>
        </w:trPr>
        <w:tc>
          <w:tcPr>
            <w:tcW w:w="1240" w:type="dxa"/>
            <w:vAlign w:val="bottom"/>
          </w:tcPr>
          <w:p>
            <w:pPr>
              <w:spacing w:after="0"/>
              <w:rPr>
                <w:sz w:val="13"/>
                <w:szCs w:val="13"/>
                <w:color w:val="auto"/>
              </w:rPr>
            </w:pPr>
          </w:p>
        </w:tc>
        <w:tc>
          <w:tcPr>
            <w:tcW w:w="954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2018. (Incorporated by reference to Exhibit 10.32 to the Company’s Form 10-K for the fiscal year ended September 30, 2018.) (1)</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10.25</w:t>
            </w:r>
          </w:p>
        </w:tc>
        <w:tc>
          <w:tcPr>
            <w:tcW w:w="10000" w:type="dxa"/>
            <w:vAlign w:val="bottom"/>
            <w:gridSpan w:val="27"/>
          </w:tcPr>
          <w:p>
            <w:pPr>
              <w:spacing w:after="0"/>
              <w:rPr>
                <w:rFonts w:ascii="Arial" w:cs="Arial" w:eastAsia="Arial" w:hAnsi="Arial"/>
                <w:sz w:val="18"/>
                <w:szCs w:val="18"/>
                <w:color w:val="0000FF"/>
                <w:w w:val="94"/>
              </w:rPr>
            </w:pPr>
            <w:hyperlink r:id="rId152">
              <w:r>
                <w:rPr>
                  <w:rFonts w:ascii="Arial" w:cs="Arial" w:eastAsia="Arial" w:hAnsi="Arial"/>
                  <w:sz w:val="18"/>
                  <w:szCs w:val="18"/>
                  <w:color w:val="0000FF"/>
                  <w:w w:val="94"/>
                </w:rPr>
                <w:t>Form of Employee Non Statutory Stock Option Agreement (International) under the 2012 Long-Term Incentive Plan. (Incorporated by</w:t>
              </w:r>
            </w:hyperlink>
          </w:p>
        </w:tc>
      </w:tr>
      <w:tr>
        <w:trPr>
          <w:trHeight w:val="151"/>
        </w:trPr>
        <w:tc>
          <w:tcPr>
            <w:tcW w:w="1240" w:type="dxa"/>
            <w:vAlign w:val="bottom"/>
          </w:tcPr>
          <w:p>
            <w:pPr>
              <w:spacing w:after="0"/>
              <w:rPr>
                <w:sz w:val="13"/>
                <w:szCs w:val="13"/>
                <w:color w:val="auto"/>
              </w:rPr>
            </w:pPr>
          </w:p>
        </w:tc>
        <w:tc>
          <w:tcPr>
            <w:tcW w:w="946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reference to Exhibit 10.6 to the Company’s Form 10-Q for the quarter ended December 31, 2016.) (1)</w:t>
              </w:r>
            </w:hyperlink>
          </w:p>
        </w:tc>
        <w:tc>
          <w:tcPr>
            <w:tcW w:w="1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10.26</w:t>
            </w:r>
          </w:p>
        </w:tc>
        <w:tc>
          <w:tcPr>
            <w:tcW w:w="10000" w:type="dxa"/>
            <w:vAlign w:val="bottom"/>
            <w:gridSpan w:val="27"/>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Form of Employee Non Statutory Stock Option Agreement (United Kingdom) under the 2012 Long-Term Incentive Plan. (Incorporated by</w:t>
              </w:r>
            </w:hyperlink>
          </w:p>
        </w:tc>
      </w:tr>
      <w:tr>
        <w:trPr>
          <w:trHeight w:val="151"/>
        </w:trPr>
        <w:tc>
          <w:tcPr>
            <w:tcW w:w="1240" w:type="dxa"/>
            <w:vAlign w:val="bottom"/>
          </w:tcPr>
          <w:p>
            <w:pPr>
              <w:spacing w:after="0"/>
              <w:rPr>
                <w:sz w:val="13"/>
                <w:szCs w:val="13"/>
                <w:color w:val="auto"/>
              </w:rPr>
            </w:pPr>
          </w:p>
        </w:tc>
        <w:tc>
          <w:tcPr>
            <w:tcW w:w="976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reference to Exhibit 10.7 to the Company’s Form 10-Q for the quarter ended December 31, 2016.)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10.27</w:t>
            </w:r>
          </w:p>
        </w:tc>
        <w:tc>
          <w:tcPr>
            <w:tcW w:w="10000" w:type="dxa"/>
            <w:vAlign w:val="bottom"/>
            <w:gridSpan w:val="27"/>
          </w:tcPr>
          <w:p>
            <w:pPr>
              <w:spacing w:after="0"/>
              <w:rPr>
                <w:rFonts w:ascii="Arial" w:cs="Arial" w:eastAsia="Arial" w:hAnsi="Arial"/>
                <w:sz w:val="18"/>
                <w:szCs w:val="18"/>
                <w:color w:val="0000FF"/>
                <w:w w:val="93"/>
              </w:rPr>
            </w:pPr>
            <w:hyperlink r:id="rId154">
              <w:r>
                <w:rPr>
                  <w:rFonts w:ascii="Arial" w:cs="Arial" w:eastAsia="Arial" w:hAnsi="Arial"/>
                  <w:sz w:val="18"/>
                  <w:szCs w:val="18"/>
                  <w:color w:val="0000FF"/>
                  <w:w w:val="93"/>
                </w:rPr>
                <w:t>Form of Employee Restricted Stock Unit Award Agreement (International) under the 2012 Long-Term Incentive Plan. (Incorporated by</w:t>
              </w:r>
            </w:hyperlink>
          </w:p>
        </w:tc>
      </w:tr>
      <w:tr>
        <w:trPr>
          <w:trHeight w:val="151"/>
        </w:trPr>
        <w:tc>
          <w:tcPr>
            <w:tcW w:w="1240" w:type="dxa"/>
            <w:vAlign w:val="bottom"/>
          </w:tcPr>
          <w:p>
            <w:pPr>
              <w:spacing w:after="0"/>
              <w:rPr>
                <w:sz w:val="13"/>
                <w:szCs w:val="13"/>
                <w:color w:val="auto"/>
              </w:rPr>
            </w:pPr>
          </w:p>
        </w:tc>
        <w:tc>
          <w:tcPr>
            <w:tcW w:w="952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reference to Exhibit 10.8 to the Company’s Form 10-Q for the quarter ended December 31, 2016.) (1)</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10.28</w:t>
            </w:r>
          </w:p>
        </w:tc>
        <w:tc>
          <w:tcPr>
            <w:tcW w:w="10000" w:type="dxa"/>
            <w:vAlign w:val="bottom"/>
            <w:gridSpan w:val="27"/>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Form of Employee Restricted Stock Unit Award Agreement (United Kingdom) under the 2012 Long-Term Incentive Plan. (Incorporated by</w:t>
              </w:r>
            </w:hyperlink>
          </w:p>
        </w:tc>
      </w:tr>
      <w:tr>
        <w:trPr>
          <w:trHeight w:val="151"/>
        </w:trPr>
        <w:tc>
          <w:tcPr>
            <w:tcW w:w="1240" w:type="dxa"/>
            <w:vAlign w:val="bottom"/>
          </w:tcPr>
          <w:p>
            <w:pPr>
              <w:spacing w:after="0"/>
              <w:rPr>
                <w:sz w:val="13"/>
                <w:szCs w:val="13"/>
                <w:color w:val="auto"/>
              </w:rPr>
            </w:pPr>
          </w:p>
        </w:tc>
        <w:tc>
          <w:tcPr>
            <w:tcW w:w="982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reference to Exhibit 10.9 to the Company’s Form 10-Q for the quarter ended December 31, 2016.) (1)</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10.29</w:t>
            </w:r>
          </w:p>
        </w:tc>
        <w:tc>
          <w:tcPr>
            <w:tcW w:w="10000" w:type="dxa"/>
            <w:vAlign w:val="bottom"/>
            <w:gridSpan w:val="27"/>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Form of Director Non-Statutory Stock Option Agreement under the 2012 Long-Term Incentive Plan. (Incorporated by reference to Exhibit</w:t>
              </w:r>
            </w:hyperlink>
          </w:p>
        </w:tc>
      </w:tr>
      <w:tr>
        <w:trPr>
          <w:trHeight w:val="151"/>
        </w:trPr>
        <w:tc>
          <w:tcPr>
            <w:tcW w:w="124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10.</w:t>
              </w:r>
              <w:r>
                <w:rPr>
                  <w:rFonts w:ascii="Arial" w:cs="Arial" w:eastAsia="Arial" w:hAnsi="Arial"/>
                  <w:sz w:val="16"/>
                  <w:szCs w:val="16"/>
                  <w:u w:val="single" w:color="auto"/>
                  <w:color w:val="0000FF"/>
                </w:rPr>
                <w:t>6</w:t>
              </w:r>
              <w:r>
                <w:rPr>
                  <w:rFonts w:ascii="Arial" w:cs="Arial" w:eastAsia="Arial" w:hAnsi="Arial"/>
                  <w:sz w:val="16"/>
                  <w:szCs w:val="16"/>
                  <w:color w:val="0000FF"/>
                </w:rPr>
                <w:t xml:space="preserve"> to the Company’s Form 10-Q for the quarter ended March 31, 2012.) (1)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10.30</w:t>
            </w:r>
          </w:p>
        </w:tc>
        <w:tc>
          <w:tcPr>
            <w:tcW w:w="10000" w:type="dxa"/>
            <w:vAlign w:val="bottom"/>
            <w:gridSpan w:val="27"/>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Form of Director Restricted Stock Unit Award Agreement under the 2012 Long-Term Incentive Plan. (Incorporated by reference by Exhibit</w:t>
              </w:r>
            </w:hyperlink>
          </w:p>
        </w:tc>
      </w:tr>
      <w:tr>
        <w:trPr>
          <w:trHeight w:val="151"/>
        </w:trPr>
        <w:tc>
          <w:tcPr>
            <w:tcW w:w="1240" w:type="dxa"/>
            <w:vAlign w:val="bottom"/>
          </w:tcPr>
          <w:p>
            <w:pPr>
              <w:spacing w:after="0"/>
              <w:rPr>
                <w:sz w:val="13"/>
                <w:szCs w:val="13"/>
                <w:color w:val="auto"/>
              </w:rPr>
            </w:pPr>
          </w:p>
        </w:tc>
        <w:tc>
          <w:tcPr>
            <w:tcW w:w="984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to the Company's Form 10-Q for the quarter ended March 31, 2012.) (1)</w:t>
              </w:r>
            </w:hyperlink>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22"/>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10.31</w:t>
            </w:r>
          </w:p>
        </w:tc>
        <w:tc>
          <w:tcPr>
            <w:tcW w:w="10000" w:type="dxa"/>
            <w:vAlign w:val="bottom"/>
            <w:gridSpan w:val="27"/>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Form of Director Non-Statutory Stock Option Agreement under the 2012 Long-Term Incentive Plan. (Incorporated by reference to Exhibit</w:t>
              </w:r>
            </w:hyperlink>
          </w:p>
        </w:tc>
      </w:tr>
      <w:tr>
        <w:trPr>
          <w:trHeight w:val="151"/>
        </w:trPr>
        <w:tc>
          <w:tcPr>
            <w:tcW w:w="1240" w:type="dxa"/>
            <w:vAlign w:val="bottom"/>
          </w:tcPr>
          <w:p>
            <w:pPr>
              <w:spacing w:after="0"/>
              <w:rPr>
                <w:sz w:val="13"/>
                <w:szCs w:val="13"/>
                <w:color w:val="auto"/>
              </w:rPr>
            </w:pPr>
          </w:p>
        </w:tc>
        <w:tc>
          <w:tcPr>
            <w:tcW w:w="974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Form 10-Q for the quarter ended March 31, 2017.) (1)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10.32</w:t>
            </w:r>
          </w:p>
        </w:tc>
        <w:tc>
          <w:tcPr>
            <w:tcW w:w="10000" w:type="dxa"/>
            <w:vAlign w:val="bottom"/>
            <w:gridSpan w:val="27"/>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Form of Director Restricted Stock Unit Award Agreement under the 2012 Long-Term Incentive Plan. (Incorporated by reference to Exhibit</w:t>
              </w:r>
            </w:hyperlink>
          </w:p>
        </w:tc>
      </w:tr>
      <w:tr>
        <w:trPr>
          <w:trHeight w:val="151"/>
        </w:trPr>
        <w:tc>
          <w:tcPr>
            <w:tcW w:w="1240" w:type="dxa"/>
            <w:vAlign w:val="bottom"/>
          </w:tcPr>
          <w:p>
            <w:pPr>
              <w:spacing w:after="0"/>
              <w:rPr>
                <w:sz w:val="13"/>
                <w:szCs w:val="13"/>
                <w:color w:val="auto"/>
              </w:rPr>
            </w:pPr>
          </w:p>
        </w:tc>
        <w:tc>
          <w:tcPr>
            <w:tcW w:w="980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Form 10-Q for the quarter ended March 31, 2017.) (1)</w:t>
              </w:r>
            </w:hyperlink>
          </w:p>
        </w:tc>
        <w:tc>
          <w:tcPr>
            <w:tcW w:w="20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10.33</w:t>
            </w:r>
          </w:p>
        </w:tc>
        <w:tc>
          <w:tcPr>
            <w:tcW w:w="10000" w:type="dxa"/>
            <w:vAlign w:val="bottom"/>
            <w:gridSpan w:val="27"/>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Form of Performance Share Unit Award Agreement (fiscal 2017 grants) under the 2012 Long-Term Incentive Plan. (Incorporated by</w:t>
              </w:r>
            </w:hyperlink>
          </w:p>
        </w:tc>
      </w:tr>
      <w:tr>
        <w:trPr>
          <w:trHeight w:val="151"/>
        </w:trPr>
        <w:tc>
          <w:tcPr>
            <w:tcW w:w="1240" w:type="dxa"/>
            <w:vAlign w:val="bottom"/>
          </w:tcPr>
          <w:p>
            <w:pPr>
              <w:spacing w:after="0"/>
              <w:rPr>
                <w:sz w:val="13"/>
                <w:szCs w:val="13"/>
                <w:color w:val="auto"/>
              </w:rPr>
            </w:pPr>
          </w:p>
        </w:tc>
        <w:tc>
          <w:tcPr>
            <w:tcW w:w="932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reference to Exhibit 10.10 to the Company’s Form 10-Q for the quarter ended December 31, 2016.) (1)</w:t>
              </w:r>
            </w:hyperlink>
          </w:p>
        </w:tc>
        <w:tc>
          <w:tcPr>
            <w:tcW w:w="300" w:type="dxa"/>
            <w:vAlign w:val="bottom"/>
            <w:gridSpan w:val="8"/>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4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10.34</w:t>
            </w:r>
          </w:p>
        </w:tc>
        <w:tc>
          <w:tcPr>
            <w:tcW w:w="10000" w:type="dxa"/>
            <w:vAlign w:val="bottom"/>
            <w:gridSpan w:val="27"/>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Form of Performance Share Unit Agreement (fiscal 2018) under the 2012 Long-Term Incentive Plan. (Incorporated by reference to Exhibit</w:t>
              </w:r>
            </w:hyperlink>
          </w:p>
        </w:tc>
      </w:tr>
      <w:tr>
        <w:trPr>
          <w:trHeight w:val="151"/>
        </w:trPr>
        <w:tc>
          <w:tcPr>
            <w:tcW w:w="124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Form 10-Q for the quarter ended December 31, 2017.) (1)</w:t>
              </w:r>
            </w:hyperlink>
          </w:p>
        </w:tc>
        <w:tc>
          <w:tcPr>
            <w:tcW w:w="22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92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10.35</w:t>
            </w:r>
          </w:p>
        </w:tc>
        <w:tc>
          <w:tcPr>
            <w:tcW w:w="10000" w:type="dxa"/>
            <w:vAlign w:val="bottom"/>
            <w:gridSpan w:val="27"/>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Form of Performance Share Unit Agreement under the 2012 Long-Term Incentive Plan. (Incorporated by reference to Exhibit 10.44 to the</w:t>
              </w:r>
            </w:hyperlink>
          </w:p>
        </w:tc>
      </w:tr>
      <w:tr>
        <w:trPr>
          <w:trHeight w:val="151"/>
        </w:trPr>
        <w:tc>
          <w:tcPr>
            <w:tcW w:w="124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9"/>
              </w:rPr>
            </w:pPr>
            <w:hyperlink r:id="rId162">
              <w:r>
                <w:rPr>
                  <w:rFonts w:ascii="Arial" w:cs="Arial" w:eastAsia="Arial" w:hAnsi="Arial"/>
                  <w:sz w:val="16"/>
                  <w:szCs w:val="16"/>
                  <w:color w:val="0000FF"/>
                  <w:w w:val="99"/>
                </w:rPr>
                <w:t>Company’s Form 10-K for the fiscal year ended September 30, 2018.) (1)</w:t>
              </w:r>
            </w:hyperlink>
          </w:p>
        </w:tc>
        <w:tc>
          <w:tcPr>
            <w:tcW w:w="4520" w:type="dxa"/>
            <w:vAlign w:val="bottom"/>
            <w:tcBorders>
              <w:top w:val="single" w:sz="8" w:color="0000FF"/>
            </w:tcBorders>
            <w:gridSpan w:val="18"/>
          </w:tcPr>
          <w:p>
            <w:pPr>
              <w:spacing w:after="0"/>
              <w:rPr>
                <w:sz w:val="13"/>
                <w:szCs w:val="13"/>
                <w:color w:val="auto"/>
              </w:rPr>
            </w:pPr>
          </w:p>
        </w:tc>
        <w:tc>
          <w:tcPr>
            <w:tcW w:w="300" w:type="dxa"/>
            <w:vAlign w:val="bottom"/>
            <w:gridSpan w:val="7"/>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10.36</w:t>
            </w:r>
          </w:p>
        </w:tc>
        <w:tc>
          <w:tcPr>
            <w:tcW w:w="10000" w:type="dxa"/>
            <w:vAlign w:val="bottom"/>
            <w:gridSpan w:val="27"/>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Form of Performance Share Unit Agreement under the 2012 Long-Term Incentive Plan. (Incorporated by reference to Exhibit 10.1 to the</w:t>
              </w:r>
            </w:hyperlink>
          </w:p>
        </w:tc>
      </w:tr>
      <w:tr>
        <w:trPr>
          <w:trHeight w:val="151"/>
        </w:trPr>
        <w:tc>
          <w:tcPr>
            <w:tcW w:w="124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Company’s Form 10-Q for the quarter ended December 31, 2019.) (1)</w:t>
              </w:r>
            </w:hyperlink>
          </w:p>
        </w:tc>
        <w:tc>
          <w:tcPr>
            <w:tcW w:w="380" w:type="dxa"/>
            <w:vAlign w:val="bottom"/>
            <w:gridSpan w:val="8"/>
          </w:tcPr>
          <w:p>
            <w:pPr>
              <w:spacing w:after="0"/>
              <w:rPr>
                <w:sz w:val="13"/>
                <w:szCs w:val="13"/>
                <w:color w:val="auto"/>
              </w:rPr>
            </w:pPr>
          </w:p>
        </w:tc>
      </w:tr>
      <w:tr>
        <w:trPr>
          <w:trHeight w:val="927"/>
        </w:trPr>
        <w:tc>
          <w:tcPr>
            <w:tcW w:w="1240" w:type="dxa"/>
            <w:vAlign w:val="bottom"/>
          </w:tcPr>
          <w:p>
            <w:pPr>
              <w:spacing w:after="0"/>
              <w:rPr>
                <w:sz w:val="24"/>
                <w:szCs w:val="24"/>
                <w:color w:val="auto"/>
              </w:rPr>
            </w:pPr>
          </w:p>
        </w:tc>
        <w:tc>
          <w:tcPr>
            <w:tcW w:w="4920" w:type="dxa"/>
            <w:vAlign w:val="bottom"/>
            <w:tcBorders>
              <w:top w:val="single" w:sz="8" w:color="0000FF"/>
            </w:tcBorders>
          </w:tcPr>
          <w:p>
            <w:pPr>
              <w:ind w:left="430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10.37</w:t>
            </w:r>
          </w:p>
        </w:tc>
        <w:tc>
          <w:tcPr>
            <w:tcW w:w="10000" w:type="dxa"/>
            <w:vAlign w:val="bottom"/>
            <w:gridSpan w:val="37"/>
          </w:tcPr>
          <w:p>
            <w:pPr>
              <w:spacing w:after="0"/>
              <w:rPr>
                <w:rFonts w:ascii="Arial" w:cs="Arial" w:eastAsia="Arial" w:hAnsi="Arial"/>
                <w:sz w:val="18"/>
                <w:szCs w:val="18"/>
                <w:color w:val="0000FF"/>
                <w:w w:val="90"/>
              </w:rPr>
            </w:pPr>
            <w:hyperlink r:id="rId166">
              <w:r>
                <w:rPr>
                  <w:rFonts w:ascii="Arial" w:cs="Arial" w:eastAsia="Arial" w:hAnsi="Arial"/>
                  <w:sz w:val="18"/>
                  <w:szCs w:val="18"/>
                  <w:color w:val="0000FF"/>
                  <w:w w:val="90"/>
                </w:rPr>
                <w:t>Form of Market Share Unit Award Agreement (fiscal 2016 grants)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2" w:lineRule="exact"/>
              <w:rPr>
                <w:rFonts w:ascii="Arial" w:cs="Arial" w:eastAsia="Arial" w:hAnsi="Arial"/>
                <w:sz w:val="16"/>
                <w:szCs w:val="16"/>
                <w:color w:val="0000FF"/>
              </w:rPr>
            </w:pPr>
            <w:hyperlink r:id="rId166">
              <w:r>
                <w:rPr>
                  <w:rFonts w:ascii="Arial" w:cs="Arial" w:eastAsia="Arial" w:hAnsi="Arial"/>
                  <w:sz w:val="16"/>
                  <w:szCs w:val="16"/>
                  <w:color w:val="0000FF"/>
                </w:rPr>
                <w:t>Exhibit 10.2 to the Company’s Form 10-Q for the quarter ended December 31, 2015.)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10.38</w:t>
            </w:r>
          </w:p>
        </w:tc>
        <w:tc>
          <w:tcPr>
            <w:tcW w:w="10000" w:type="dxa"/>
            <w:vAlign w:val="bottom"/>
            <w:gridSpan w:val="37"/>
          </w:tcPr>
          <w:p>
            <w:pPr>
              <w:spacing w:after="0"/>
              <w:rPr>
                <w:rFonts w:ascii="Arial" w:cs="Arial" w:eastAsia="Arial" w:hAnsi="Arial"/>
                <w:sz w:val="18"/>
                <w:szCs w:val="18"/>
                <w:color w:val="0000FF"/>
                <w:w w:val="95"/>
              </w:rPr>
            </w:pPr>
            <w:hyperlink r:id="rId167">
              <w:r>
                <w:rPr>
                  <w:rFonts w:ascii="Arial" w:cs="Arial" w:eastAsia="Arial" w:hAnsi="Arial"/>
                  <w:sz w:val="18"/>
                  <w:szCs w:val="18"/>
                  <w:color w:val="0000FF"/>
                  <w:w w:val="95"/>
                </w:rPr>
                <w:t>Form of Market Share Unit Agreement (fiscal 2017 grants)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67">
              <w:r>
                <w:rPr>
                  <w:rFonts w:ascii="Arial" w:cs="Arial" w:eastAsia="Arial" w:hAnsi="Arial"/>
                  <w:sz w:val="16"/>
                  <w:szCs w:val="16"/>
                  <w:color w:val="0000FF"/>
                </w:rPr>
                <w:t>Exhibit 10.11 to the Company’s Form 10-Q for the quarter ended December 31, 2016.)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10.39</w:t>
            </w:r>
          </w:p>
        </w:tc>
        <w:tc>
          <w:tcPr>
            <w:tcW w:w="10000" w:type="dxa"/>
            <w:vAlign w:val="bottom"/>
            <w:gridSpan w:val="37"/>
          </w:tcPr>
          <w:p>
            <w:pPr>
              <w:spacing w:after="0"/>
              <w:rPr>
                <w:rFonts w:ascii="Arial" w:cs="Arial" w:eastAsia="Arial" w:hAnsi="Arial"/>
                <w:sz w:val="18"/>
                <w:szCs w:val="18"/>
                <w:color w:val="0000FF"/>
                <w:w w:val="95"/>
              </w:rPr>
            </w:pPr>
            <w:hyperlink r:id="rId168">
              <w:r>
                <w:rPr>
                  <w:rFonts w:ascii="Arial" w:cs="Arial" w:eastAsia="Arial" w:hAnsi="Arial"/>
                  <w:sz w:val="18"/>
                  <w:szCs w:val="18"/>
                  <w:color w:val="0000FF"/>
                  <w:w w:val="95"/>
                </w:rPr>
                <w:t>Form of Market Share Unit Agreement (fiscal 2018 grants) under the 2012 Long-Term Incentive Plan. (Incorporated by reference to</w:t>
              </w:r>
            </w:hyperlink>
          </w:p>
        </w:tc>
      </w:tr>
      <w:tr>
        <w:trPr>
          <w:trHeight w:val="151"/>
        </w:trPr>
        <w:tc>
          <w:tcPr>
            <w:tcW w:w="124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Exhibit 10.3 to the Company’s Form 10-Q for the quarter ended December 31, 2017.)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10.40</w:t>
            </w:r>
          </w:p>
        </w:tc>
        <w:tc>
          <w:tcPr>
            <w:tcW w:w="10000" w:type="dxa"/>
            <w:vAlign w:val="bottom"/>
            <w:gridSpan w:val="37"/>
          </w:tcPr>
          <w:p>
            <w:pPr>
              <w:spacing w:after="0"/>
              <w:rPr>
                <w:rFonts w:ascii="Arial" w:cs="Arial" w:eastAsia="Arial" w:hAnsi="Arial"/>
                <w:sz w:val="18"/>
                <w:szCs w:val="18"/>
                <w:color w:val="0000FF"/>
                <w:w w:val="95"/>
              </w:rPr>
            </w:pPr>
            <w:hyperlink r:id="rId169">
              <w:r>
                <w:rPr>
                  <w:rFonts w:ascii="Arial" w:cs="Arial" w:eastAsia="Arial" w:hAnsi="Arial"/>
                  <w:sz w:val="18"/>
                  <w:szCs w:val="18"/>
                  <w:color w:val="0000FF"/>
                  <w:w w:val="95"/>
                </w:rPr>
                <w:t>Form of Market Share Unit Agreement under the 2012 Long-Term Incentive Plan. (Incorporated by reference to Exhibit 10.48 to the</w:t>
              </w:r>
            </w:hyperlink>
          </w:p>
        </w:tc>
      </w:tr>
      <w:tr>
        <w:trPr>
          <w:trHeight w:val="151"/>
        </w:trPr>
        <w:tc>
          <w:tcPr>
            <w:tcW w:w="124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w w:val="99"/>
              </w:rPr>
            </w:pPr>
            <w:hyperlink r:id="rId169">
              <w:r>
                <w:rPr>
                  <w:rFonts w:ascii="Arial" w:cs="Arial" w:eastAsia="Arial" w:hAnsi="Arial"/>
                  <w:sz w:val="16"/>
                  <w:szCs w:val="16"/>
                  <w:color w:val="0000FF"/>
                  <w:w w:val="99"/>
                </w:rPr>
                <w:t>Company’s Form 10-K for the fiscal year ended September 30, 2018.) (1)</w:t>
              </w:r>
            </w:hyperlink>
          </w:p>
        </w:tc>
        <w:tc>
          <w:tcPr>
            <w:tcW w:w="416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10.41</w:t>
            </w:r>
          </w:p>
        </w:tc>
        <w:tc>
          <w:tcPr>
            <w:tcW w:w="10000" w:type="dxa"/>
            <w:vAlign w:val="bottom"/>
            <w:gridSpan w:val="37"/>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Letter Agreement dated August 3, 2019 by and between the Company and Michael I. McLaughlin. (Incorporated by reference to Exhibit</w:t>
              </w:r>
            </w:hyperlink>
          </w:p>
        </w:tc>
      </w:tr>
      <w:tr>
        <w:trPr>
          <w:trHeight w:val="151"/>
        </w:trPr>
        <w:tc>
          <w:tcPr>
            <w:tcW w:w="124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Form 8-K filed on June 24, 2019.) (1)</w:t>
              </w:r>
            </w:hyperlink>
          </w:p>
        </w:tc>
        <w:tc>
          <w:tcPr>
            <w:tcW w:w="5300" w:type="dxa"/>
            <w:vAlign w:val="bottom"/>
            <w:tcBorders>
              <w:top w:val="single" w:sz="8" w:color="0000FF"/>
            </w:tcBorders>
            <w:gridSpan w:val="2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10.42</w:t>
            </w:r>
          </w:p>
        </w:tc>
        <w:tc>
          <w:tcPr>
            <w:tcW w:w="10000" w:type="dxa"/>
            <w:vAlign w:val="bottom"/>
            <w:gridSpan w:val="37"/>
          </w:tcPr>
          <w:p>
            <w:pPr>
              <w:spacing w:after="0"/>
              <w:rPr>
                <w:rFonts w:ascii="Arial" w:cs="Arial" w:eastAsia="Arial" w:hAnsi="Arial"/>
                <w:sz w:val="18"/>
                <w:szCs w:val="18"/>
                <w:color w:val="0000FF"/>
                <w:w w:val="94"/>
              </w:rPr>
            </w:pPr>
            <w:hyperlink r:id="rId171">
              <w:r>
                <w:rPr>
                  <w:rFonts w:ascii="Arial" w:cs="Arial" w:eastAsia="Arial" w:hAnsi="Arial"/>
                  <w:sz w:val="18"/>
                  <w:szCs w:val="18"/>
                  <w:color w:val="0000FF"/>
                  <w:w w:val="94"/>
                </w:rPr>
                <w:t>Fair Isaac Corporation 2019 Employee Stock Purchase Plan (Incorporated by reference to Exhibit 4.3 to the Company’s Registration</w:t>
              </w:r>
            </w:hyperlink>
          </w:p>
        </w:tc>
      </w:tr>
      <w:tr>
        <w:trPr>
          <w:trHeight w:val="151"/>
        </w:trPr>
        <w:tc>
          <w:tcPr>
            <w:tcW w:w="124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71">
              <w:r>
                <w:rPr>
                  <w:rFonts w:ascii="Arial" w:cs="Arial" w:eastAsia="Arial" w:hAnsi="Arial"/>
                  <w:sz w:val="16"/>
                  <w:szCs w:val="16"/>
                  <w:color w:val="0000FF"/>
                </w:rPr>
                <w:t>Statement on Form S-8 filed March 4, 2019.) (1)</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10.43</w:t>
            </w:r>
          </w:p>
        </w:tc>
        <w:tc>
          <w:tcPr>
            <w:tcW w:w="10000" w:type="dxa"/>
            <w:vAlign w:val="bottom"/>
            <w:gridSpan w:val="37"/>
          </w:tcPr>
          <w:p>
            <w:pPr>
              <w:spacing w:after="0"/>
              <w:rPr>
                <w:rFonts w:ascii="Arial" w:cs="Arial" w:eastAsia="Arial" w:hAnsi="Arial"/>
                <w:sz w:val="18"/>
                <w:szCs w:val="18"/>
                <w:color w:val="0000FF"/>
                <w:w w:val="90"/>
              </w:rPr>
            </w:pPr>
            <w:hyperlink r:id="rId172">
              <w:r>
                <w:rPr>
                  <w:rFonts w:ascii="Arial" w:cs="Arial" w:eastAsia="Arial" w:hAnsi="Arial"/>
                  <w:sz w:val="18"/>
                  <w:szCs w:val="18"/>
                  <w:color w:val="0000FF"/>
                  <w:w w:val="90"/>
                </w:rPr>
                <w:t>Transition Agreement dated August 26, 2020 by and between the Company and Wayne Huyard. (Incorporated by reference to Exhibit 10.1</w:t>
              </w:r>
            </w:hyperlink>
          </w:p>
        </w:tc>
      </w:tr>
      <w:tr>
        <w:trPr>
          <w:trHeight w:val="151"/>
        </w:trPr>
        <w:tc>
          <w:tcPr>
            <w:tcW w:w="1240" w:type="dxa"/>
            <w:vAlign w:val="bottom"/>
          </w:tcPr>
          <w:p>
            <w:pPr>
              <w:spacing w:after="0"/>
              <w:rPr>
                <w:sz w:val="13"/>
                <w:szCs w:val="13"/>
                <w:color w:val="auto"/>
              </w:rPr>
            </w:pPr>
          </w:p>
        </w:tc>
        <w:tc>
          <w:tcPr>
            <w:tcW w:w="9780" w:type="dxa"/>
            <w:vAlign w:val="bottom"/>
            <w:tcBorders>
              <w:top w:val="single" w:sz="8" w:color="0000FF"/>
            </w:tcBorders>
            <w:gridSpan w:val="31"/>
          </w:tcPr>
          <w:p>
            <w:pPr>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to the Company’s Form 8-K filed on August 27, 2020.)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10.44</w:t>
            </w:r>
          </w:p>
        </w:tc>
        <w:tc>
          <w:tcPr>
            <w:tcW w:w="9740" w:type="dxa"/>
            <w:vAlign w:val="bottom"/>
            <w:tcBorders>
              <w:bottom w:val="single" w:sz="8" w:color="0000FF"/>
            </w:tcBorders>
            <w:gridSpan w:val="29"/>
          </w:tcPr>
          <w:p>
            <w:pPr>
              <w:spacing w:after="0"/>
              <w:rPr>
                <w:rFonts w:ascii="Arial" w:cs="Arial" w:eastAsia="Arial" w:hAnsi="Arial"/>
                <w:sz w:val="18"/>
                <w:szCs w:val="18"/>
                <w:color w:val="0000FF"/>
                <w:w w:val="88"/>
              </w:rPr>
            </w:pPr>
            <w:hyperlink r:id="rId173">
              <w:r>
                <w:rPr>
                  <w:rFonts w:ascii="Arial" w:cs="Arial" w:eastAsia="Arial" w:hAnsi="Arial"/>
                  <w:sz w:val="18"/>
                  <w:szCs w:val="18"/>
                  <w:color w:val="0000FF"/>
                  <w:w w:val="88"/>
                </w:rPr>
                <w:t>Letter Agreement dated August 26, 2020 by and between the Company and Stephanie Covert</w:t>
              </w:r>
              <w:r>
                <w:rPr>
                  <w:rFonts w:ascii="Arial" w:cs="Arial" w:eastAsia="Arial" w:hAnsi="Arial"/>
                  <w:sz w:val="19"/>
                  <w:szCs w:val="19"/>
                  <w:color w:val="0000FF"/>
                  <w:w w:val="88"/>
                </w:rPr>
                <w:t>.</w:t>
              </w:r>
              <w:r>
                <w:rPr>
                  <w:rFonts w:ascii="Arial" w:cs="Arial" w:eastAsia="Arial" w:hAnsi="Arial"/>
                  <w:sz w:val="18"/>
                  <w:szCs w:val="18"/>
                  <w:color w:val="0000FF"/>
                  <w:w w:val="88"/>
                </w:rPr>
                <w:t xml:space="preserve"> (Incorporated by reference to Exhibit 10.58</w:t>
              </w:r>
            </w:hyperlink>
          </w:p>
        </w:tc>
        <w:tc>
          <w:tcPr>
            <w:tcW w:w="260" w:type="dxa"/>
            <w:vAlign w:val="bottom"/>
            <w:gridSpan w:val="8"/>
          </w:tcPr>
          <w:p>
            <w:pPr>
              <w:spacing w:after="0"/>
              <w:rPr>
                <w:sz w:val="23"/>
                <w:szCs w:val="23"/>
                <w:color w:val="auto"/>
              </w:rPr>
            </w:pPr>
          </w:p>
        </w:tc>
      </w:tr>
      <w:tr>
        <w:trPr>
          <w:trHeight w:val="191"/>
        </w:trPr>
        <w:tc>
          <w:tcPr>
            <w:tcW w:w="1240" w:type="dxa"/>
            <w:vAlign w:val="bottom"/>
          </w:tcPr>
          <w:p>
            <w:pPr>
              <w:spacing w:after="0"/>
              <w:rPr>
                <w:sz w:val="16"/>
                <w:szCs w:val="16"/>
                <w:color w:val="auto"/>
              </w:rPr>
            </w:pPr>
          </w:p>
        </w:tc>
        <w:tc>
          <w:tcPr>
            <w:tcW w:w="5620" w:type="dxa"/>
            <w:vAlign w:val="bottom"/>
            <w:tcBorders>
              <w:bottom w:val="single" w:sz="8" w:color="0000FF"/>
            </w:tcBorders>
            <w:gridSpan w:val="11"/>
          </w:tcPr>
          <w:p>
            <w:pPr>
              <w:spacing w:after="0" w:line="190"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to the Company’s Form 10-K for the fiscal year ended September 30, 2020.) (1)</w:t>
              </w:r>
            </w:hyperlink>
          </w:p>
        </w:tc>
        <w:tc>
          <w:tcPr>
            <w:tcW w:w="4380" w:type="dxa"/>
            <w:vAlign w:val="bottom"/>
            <w:gridSpan w:val="26"/>
          </w:tcPr>
          <w:p>
            <w:pPr>
              <w:spacing w:after="0"/>
              <w:rPr>
                <w:sz w:val="16"/>
                <w:szCs w:val="16"/>
                <w:color w:val="auto"/>
              </w:rPr>
            </w:pPr>
          </w:p>
        </w:tc>
      </w:tr>
      <w:tr>
        <w:trPr>
          <w:trHeight w:val="283"/>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10.45</w:t>
            </w:r>
          </w:p>
        </w:tc>
        <w:tc>
          <w:tcPr>
            <w:tcW w:w="10000" w:type="dxa"/>
            <w:vAlign w:val="bottom"/>
            <w:gridSpan w:val="37"/>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Letter Agreement dated August 26, 2020 by and between the Company and Thomas A. Bowers. (Incorporated by reference to Exhibit</w:t>
              </w:r>
            </w:hyperlink>
          </w:p>
        </w:tc>
      </w:tr>
      <w:tr>
        <w:trPr>
          <w:trHeight w:val="177"/>
        </w:trPr>
        <w:tc>
          <w:tcPr>
            <w:tcW w:w="1240" w:type="dxa"/>
            <w:vAlign w:val="bottom"/>
          </w:tcPr>
          <w:p>
            <w:pPr>
              <w:spacing w:after="0"/>
              <w:rPr>
                <w:sz w:val="15"/>
                <w:szCs w:val="15"/>
                <w:color w:val="auto"/>
              </w:rPr>
            </w:pPr>
          </w:p>
        </w:tc>
        <w:tc>
          <w:tcPr>
            <w:tcW w:w="6060" w:type="dxa"/>
            <w:vAlign w:val="bottom"/>
            <w:tcBorders>
              <w:top w:val="single" w:sz="8" w:color="0000FF"/>
              <w:bottom w:val="single" w:sz="8" w:color="0000FF"/>
            </w:tcBorders>
            <w:gridSpan w:val="13"/>
          </w:tcPr>
          <w:p>
            <w:pPr>
              <w:spacing w:after="0" w:line="177"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59</w:t>
              </w:r>
              <w:r>
                <w:rPr>
                  <w:rFonts w:ascii="Arial" w:cs="Arial" w:eastAsia="Arial" w:hAnsi="Arial"/>
                  <w:sz w:val="18"/>
                  <w:szCs w:val="18"/>
                  <w:color w:val="0000FF"/>
                  <w:w w:val="88"/>
                </w:rPr>
                <w:t xml:space="preserve"> to the Company’s Form 10-K for the fiscal year ended September 30, 2020.) (1)</w:t>
              </w:r>
            </w:hyperlink>
          </w:p>
        </w:tc>
        <w:tc>
          <w:tcPr>
            <w:tcW w:w="3340" w:type="dxa"/>
            <w:vAlign w:val="bottom"/>
            <w:tcBorders>
              <w:top w:val="single" w:sz="8" w:color="0000FF"/>
            </w:tcBorders>
            <w:gridSpan w:val="10"/>
          </w:tcPr>
          <w:p>
            <w:pPr>
              <w:spacing w:after="0"/>
              <w:rPr>
                <w:sz w:val="15"/>
                <w:szCs w:val="15"/>
                <w:color w:val="auto"/>
              </w:rPr>
            </w:pPr>
          </w:p>
        </w:tc>
        <w:tc>
          <w:tcPr>
            <w:tcW w:w="600" w:type="dxa"/>
            <w:vAlign w:val="bottom"/>
            <w:gridSpan w:val="14"/>
          </w:tcPr>
          <w:p>
            <w:pPr>
              <w:spacing w:after="0"/>
              <w:rPr>
                <w:sz w:val="15"/>
                <w:szCs w:val="15"/>
                <w:color w:val="auto"/>
              </w:rPr>
            </w:pPr>
          </w:p>
        </w:tc>
      </w:tr>
      <w:tr>
        <w:trPr>
          <w:trHeight w:val="283"/>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10.46</w:t>
            </w:r>
          </w:p>
        </w:tc>
        <w:tc>
          <w:tcPr>
            <w:tcW w:w="9840" w:type="dxa"/>
            <w:vAlign w:val="bottom"/>
            <w:tcBorders>
              <w:bottom w:val="single" w:sz="8" w:color="0000FF"/>
            </w:tcBorders>
            <w:gridSpan w:val="34"/>
          </w:tcPr>
          <w:p>
            <w:pPr>
              <w:spacing w:after="0"/>
              <w:rPr>
                <w:rFonts w:ascii="Arial" w:cs="Arial" w:eastAsia="Arial" w:hAnsi="Arial"/>
                <w:sz w:val="18"/>
                <w:szCs w:val="18"/>
                <w:color w:val="0000FF"/>
                <w:w w:val="87"/>
              </w:rPr>
            </w:pPr>
            <w:hyperlink r:id="rId175">
              <w:r>
                <w:rPr>
                  <w:rFonts w:ascii="Arial" w:cs="Arial" w:eastAsia="Arial" w:hAnsi="Arial"/>
                  <w:sz w:val="18"/>
                  <w:szCs w:val="18"/>
                  <w:color w:val="0000FF"/>
                  <w:w w:val="87"/>
                </w:rPr>
                <w:t>Second Amended and Restated Credit Agreement among the Company, Wells Fargo Securities, LLC, as sole lead arranger and bookrunner,</w:t>
              </w:r>
            </w:hyperlink>
          </w:p>
        </w:tc>
        <w:tc>
          <w:tcPr>
            <w:tcW w:w="160" w:type="dxa"/>
            <w:vAlign w:val="bottom"/>
            <w:gridSpan w:val="3"/>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9500" w:type="dxa"/>
            <w:vAlign w:val="bottom"/>
            <w:tcBorders>
              <w:bottom w:val="single" w:sz="8" w:color="0000FF"/>
            </w:tcBorders>
            <w:gridSpan w:val="25"/>
          </w:tcPr>
          <w:p>
            <w:pPr>
              <w:spacing w:after="0" w:line="177" w:lineRule="exact"/>
              <w:rPr>
                <w:rFonts w:ascii="Arial" w:cs="Arial" w:eastAsia="Arial" w:hAnsi="Arial"/>
                <w:sz w:val="18"/>
                <w:szCs w:val="18"/>
                <w:color w:val="0000FF"/>
                <w:w w:val="88"/>
              </w:rPr>
            </w:pPr>
            <w:hyperlink r:id="rId175">
              <w:r>
                <w:rPr>
                  <w:rFonts w:ascii="Arial" w:cs="Arial" w:eastAsia="Arial" w:hAnsi="Arial"/>
                  <w:sz w:val="18"/>
                  <w:szCs w:val="18"/>
                  <w:color w:val="0000FF"/>
                  <w:w w:val="88"/>
                </w:rPr>
                <w:t>and Wells Fargo Bank, National Association, as administrative agent dated as of August 19, 2021 (Incorporated by reference to Exhibit</w:t>
              </w:r>
            </w:hyperlink>
          </w:p>
        </w:tc>
        <w:tc>
          <w:tcPr>
            <w:tcW w:w="500" w:type="dxa"/>
            <w:vAlign w:val="bottom"/>
            <w:gridSpan w:val="12"/>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4240" w:type="dxa"/>
            <w:vAlign w:val="bottom"/>
            <w:tcBorders>
              <w:bottom w:val="single" w:sz="8" w:color="0000FF"/>
            </w:tcBorders>
            <w:gridSpan w:val="5"/>
          </w:tcPr>
          <w:p>
            <w:pPr>
              <w:spacing w:after="0" w:line="177"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to the Company’s Form 8-K filed on August 19, 2021).</w:t>
              </w:r>
            </w:hyperlink>
          </w:p>
        </w:tc>
        <w:tc>
          <w:tcPr>
            <w:tcW w:w="5760" w:type="dxa"/>
            <w:vAlign w:val="bottom"/>
            <w:gridSpan w:val="32"/>
          </w:tcPr>
          <w:p>
            <w:pPr>
              <w:spacing w:after="0"/>
              <w:rPr>
                <w:sz w:val="15"/>
                <w:szCs w:val="15"/>
                <w:color w:val="auto"/>
              </w:rPr>
            </w:pPr>
          </w:p>
        </w:tc>
      </w:tr>
      <w:tr>
        <w:trPr>
          <w:trHeight w:val="283"/>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10.47</w:t>
            </w:r>
          </w:p>
        </w:tc>
        <w:tc>
          <w:tcPr>
            <w:tcW w:w="10000" w:type="dxa"/>
            <w:vAlign w:val="bottom"/>
            <w:gridSpan w:val="37"/>
          </w:tcPr>
          <w:p>
            <w:pPr>
              <w:spacing w:after="0"/>
              <w:rPr>
                <w:rFonts w:ascii="Arial" w:cs="Arial" w:eastAsia="Arial" w:hAnsi="Arial"/>
                <w:sz w:val="18"/>
                <w:szCs w:val="18"/>
                <w:color w:val="0000FF"/>
                <w:w w:val="96"/>
              </w:rPr>
            </w:pPr>
            <w:hyperlink r:id="rId176">
              <w:r>
                <w:rPr>
                  <w:rFonts w:ascii="Arial" w:cs="Arial" w:eastAsia="Arial" w:hAnsi="Arial"/>
                  <w:sz w:val="18"/>
                  <w:szCs w:val="18"/>
                  <w:color w:val="0000FF"/>
                  <w:w w:val="96"/>
                </w:rPr>
                <w:t>First Amendment to Second Amended and Restated Credit Agreement among the Company, the several banks and other financial</w:t>
              </w:r>
            </w:hyperlink>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1240" w:type="dxa"/>
            <w:vAlign w:val="bottom"/>
          </w:tcPr>
          <w:p>
            <w:pPr>
              <w:spacing w:after="0"/>
              <w:rPr>
                <w:sz w:val="15"/>
                <w:szCs w:val="15"/>
                <w:color w:val="auto"/>
              </w:rPr>
            </w:pPr>
          </w:p>
        </w:tc>
        <w:tc>
          <w:tcPr>
            <w:tcW w:w="9800" w:type="dxa"/>
            <w:vAlign w:val="bottom"/>
            <w:tcBorders>
              <w:bottom w:val="single" w:sz="8" w:color="0000FF"/>
            </w:tcBorders>
            <w:gridSpan w:val="32"/>
          </w:tcPr>
          <w:p>
            <w:pPr>
              <w:spacing w:after="0" w:line="177"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institutions from time to time parties thereto, and Wells Fargo Bank, National Association, as administrative agent, dated as of October 20,</w:t>
              </w:r>
            </w:hyperlink>
          </w:p>
        </w:tc>
        <w:tc>
          <w:tcPr>
            <w:tcW w:w="200" w:type="dxa"/>
            <w:vAlign w:val="bottom"/>
            <w:gridSpan w:val="5"/>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7340" w:type="dxa"/>
            <w:vAlign w:val="bottom"/>
            <w:tcBorders>
              <w:bottom w:val="single" w:sz="8" w:color="0000FF"/>
            </w:tcBorders>
            <w:gridSpan w:val="16"/>
          </w:tcPr>
          <w:p>
            <w:pPr>
              <w:spacing w:after="0" w:line="177"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2021 (Incorporated by reference to Exhibit 10.1 to the Company’s Form 8-K filed on October 21, 2021).</w:t>
              </w:r>
            </w:hyperlink>
          </w:p>
        </w:tc>
        <w:tc>
          <w:tcPr>
            <w:tcW w:w="2660" w:type="dxa"/>
            <w:vAlign w:val="bottom"/>
            <w:gridSpan w:val="21"/>
          </w:tcPr>
          <w:p>
            <w:pPr>
              <w:spacing w:after="0"/>
              <w:rPr>
                <w:sz w:val="15"/>
                <w:szCs w:val="15"/>
                <w:color w:val="auto"/>
              </w:rPr>
            </w:pPr>
          </w:p>
        </w:tc>
      </w:tr>
      <w:tr>
        <w:trPr>
          <w:trHeight w:val="283"/>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10.48</w:t>
            </w:r>
          </w:p>
        </w:tc>
        <w:tc>
          <w:tcPr>
            <w:tcW w:w="9300" w:type="dxa"/>
            <w:vAlign w:val="bottom"/>
            <w:tcBorders>
              <w:bottom w:val="single" w:sz="8" w:color="0000FF"/>
            </w:tcBorders>
            <w:gridSpan w:val="20"/>
          </w:tcPr>
          <w:p>
            <w:pPr>
              <w:spacing w:after="0"/>
              <w:rPr>
                <w:rFonts w:ascii="Arial" w:cs="Arial" w:eastAsia="Arial" w:hAnsi="Arial"/>
                <w:sz w:val="18"/>
                <w:szCs w:val="18"/>
                <w:color w:val="0000FF"/>
                <w:w w:val="87"/>
              </w:rPr>
            </w:pPr>
            <w:hyperlink r:id="rId177">
              <w:r>
                <w:rPr>
                  <w:rFonts w:ascii="Arial" w:cs="Arial" w:eastAsia="Arial" w:hAnsi="Arial"/>
                  <w:sz w:val="18"/>
                  <w:szCs w:val="18"/>
                  <w:color w:val="0000FF"/>
                  <w:w w:val="87"/>
                </w:rPr>
                <w:t>Second Amendment to Second Amended and Restated Credit Agreement among the Company, the several banks and other financial</w:t>
              </w:r>
            </w:hyperlink>
          </w:p>
        </w:tc>
        <w:tc>
          <w:tcPr>
            <w:tcW w:w="700" w:type="dxa"/>
            <w:vAlign w:val="bottom"/>
            <w:gridSpan w:val="17"/>
          </w:tcPr>
          <w:p>
            <w:pPr>
              <w:spacing w:after="0"/>
              <w:rPr>
                <w:sz w:val="24"/>
                <w:szCs w:val="24"/>
                <w:color w:val="auto"/>
              </w:rPr>
            </w:pPr>
          </w:p>
        </w:tc>
      </w:tr>
      <w:tr>
        <w:trPr>
          <w:trHeight w:val="151"/>
        </w:trPr>
        <w:tc>
          <w:tcPr>
            <w:tcW w:w="1240" w:type="dxa"/>
            <w:vAlign w:val="bottom"/>
          </w:tcPr>
          <w:p>
            <w:pPr>
              <w:spacing w:after="0"/>
              <w:rPr>
                <w:sz w:val="13"/>
                <w:szCs w:val="13"/>
                <w:color w:val="auto"/>
              </w:rPr>
            </w:pPr>
          </w:p>
        </w:tc>
        <w:tc>
          <w:tcPr>
            <w:tcW w:w="10000" w:type="dxa"/>
            <w:vAlign w:val="bottom"/>
            <w:gridSpan w:val="37"/>
          </w:tcPr>
          <w:p>
            <w:pPr>
              <w:spacing w:after="0" w:line="152" w:lineRule="exact"/>
              <w:rPr>
                <w:rFonts w:ascii="Arial" w:cs="Arial" w:eastAsia="Arial" w:hAnsi="Arial"/>
                <w:sz w:val="16"/>
                <w:szCs w:val="16"/>
                <w:color w:val="0000FF"/>
              </w:rPr>
            </w:pPr>
            <w:hyperlink r:id="rId177">
              <w:r>
                <w:rPr>
                  <w:rFonts w:ascii="Arial" w:cs="Arial" w:eastAsia="Arial" w:hAnsi="Arial"/>
                  <w:sz w:val="16"/>
                  <w:szCs w:val="16"/>
                  <w:color w:val="0000FF"/>
                </w:rPr>
                <w:t>institutions from time to time parties thereto, and Wells Fargo Bank, National Association, as administrative agent, dated as of November 3,</w:t>
              </w:r>
            </w:hyperlink>
          </w:p>
        </w:tc>
      </w:tr>
      <w:tr>
        <w:trPr>
          <w:trHeight w:val="164"/>
        </w:trPr>
        <w:tc>
          <w:tcPr>
            <w:tcW w:w="1240" w:type="dxa"/>
            <w:vAlign w:val="bottom"/>
          </w:tcPr>
          <w:p>
            <w:pPr>
              <w:spacing w:after="0"/>
              <w:rPr>
                <w:sz w:val="14"/>
                <w:szCs w:val="14"/>
                <w:color w:val="auto"/>
              </w:rPr>
            </w:pPr>
          </w:p>
        </w:tc>
        <w:tc>
          <w:tcPr>
            <w:tcW w:w="9880" w:type="dxa"/>
            <w:vAlign w:val="bottom"/>
            <w:tcBorders>
              <w:top w:val="single" w:sz="8" w:color="0000FF"/>
            </w:tcBorders>
            <w:gridSpan w:val="36"/>
          </w:tcPr>
          <w:p>
            <w:pPr>
              <w:spacing w:after="0" w:line="164" w:lineRule="exact"/>
              <w:rPr>
                <w:rFonts w:ascii="Arial" w:cs="Arial" w:eastAsia="Arial" w:hAnsi="Arial"/>
                <w:sz w:val="18"/>
                <w:szCs w:val="18"/>
                <w:color w:val="0000FF"/>
              </w:rPr>
            </w:pPr>
            <w:hyperlink r:id="rId177">
              <w:r>
                <w:rPr>
                  <w:rFonts w:ascii="Arial" w:cs="Arial" w:eastAsia="Arial" w:hAnsi="Arial"/>
                  <w:sz w:val="18"/>
                  <w:szCs w:val="18"/>
                  <w:color w:val="0000FF"/>
                </w:rPr>
                <w:t>2022 (Incorporated by reference to Exhibit 10.1 to the Company’s Form 10-Q for the quarter ended December 31, 2022).</w:t>
              </w:r>
            </w:hyperlink>
          </w:p>
        </w:tc>
        <w:tc>
          <w:tcPr>
            <w:tcW w:w="1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6"/>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10.49</w:t>
            </w:r>
          </w:p>
        </w:tc>
        <w:tc>
          <w:tcPr>
            <w:tcW w:w="10000" w:type="dxa"/>
            <w:vAlign w:val="bottom"/>
            <w:gridSpan w:val="37"/>
          </w:tcPr>
          <w:p>
            <w:pPr>
              <w:spacing w:after="0"/>
              <w:rPr>
                <w:rFonts w:ascii="Arial" w:cs="Arial" w:eastAsia="Arial" w:hAnsi="Arial"/>
                <w:sz w:val="18"/>
                <w:szCs w:val="18"/>
                <w:color w:val="0000FF"/>
                <w:w w:val="90"/>
              </w:rPr>
            </w:pPr>
            <w:hyperlink r:id="rId178">
              <w:r>
                <w:rPr>
                  <w:rFonts w:ascii="Arial" w:cs="Arial" w:eastAsia="Arial" w:hAnsi="Arial"/>
                  <w:sz w:val="18"/>
                  <w:szCs w:val="18"/>
                  <w:color w:val="0000FF"/>
                  <w:w w:val="90"/>
                </w:rPr>
                <w:t>Fair Isaac Corporation 2021 Long-Term Incentive Plan (Incorporated by reference to Exhibit 10.1 to the Company’s Registration Statement</w:t>
              </w:r>
            </w:hyperlink>
          </w:p>
        </w:tc>
      </w:tr>
      <w:tr>
        <w:trPr>
          <w:trHeight w:val="151"/>
        </w:trPr>
        <w:tc>
          <w:tcPr>
            <w:tcW w:w="1240" w:type="dxa"/>
            <w:vAlign w:val="bottom"/>
          </w:tcPr>
          <w:p>
            <w:pPr>
              <w:spacing w:after="0"/>
              <w:rPr>
                <w:sz w:val="13"/>
                <w:szCs w:val="13"/>
                <w:color w:val="auto"/>
              </w:rPr>
            </w:pPr>
          </w:p>
        </w:tc>
        <w:tc>
          <w:tcPr>
            <w:tcW w:w="290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rPr>
            </w:pPr>
            <w:hyperlink r:id="rId178">
              <w:r>
                <w:rPr>
                  <w:rFonts w:ascii="Arial" w:cs="Arial" w:eastAsia="Arial" w:hAnsi="Arial"/>
                  <w:sz w:val="16"/>
                  <w:szCs w:val="16"/>
                  <w:color w:val="0000FF"/>
                </w:rPr>
                <w:t>on Form S-8 filed on March 3, 2021) (1).</w:t>
              </w:r>
            </w:hyperlink>
          </w:p>
        </w:tc>
        <w:tc>
          <w:tcPr>
            <w:tcW w:w="694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10.50</w:t>
            </w:r>
          </w:p>
        </w:tc>
        <w:tc>
          <w:tcPr>
            <w:tcW w:w="10000" w:type="dxa"/>
            <w:vAlign w:val="bottom"/>
            <w:gridSpan w:val="37"/>
          </w:tcPr>
          <w:p>
            <w:pPr>
              <w:spacing w:after="0"/>
              <w:rPr>
                <w:rFonts w:ascii="Arial" w:cs="Arial" w:eastAsia="Arial" w:hAnsi="Arial"/>
                <w:sz w:val="18"/>
                <w:szCs w:val="18"/>
                <w:color w:val="0000FF"/>
                <w:w w:val="91"/>
              </w:rPr>
            </w:pPr>
            <w:hyperlink r:id="rId179">
              <w:r>
                <w:rPr>
                  <w:rFonts w:ascii="Arial" w:cs="Arial" w:eastAsia="Arial" w:hAnsi="Arial"/>
                  <w:sz w:val="18"/>
                  <w:szCs w:val="18"/>
                  <w:color w:val="0000FF"/>
                  <w:w w:val="91"/>
                </w:rPr>
                <w:t>Form of Director Restricted Stock Unit Award Agreement under the 2021 Long-Term Incentive Plan (Incorporated by reference to Exhibit</w:t>
              </w:r>
            </w:hyperlink>
          </w:p>
        </w:tc>
      </w:tr>
      <w:tr>
        <w:trPr>
          <w:trHeight w:val="151"/>
        </w:trPr>
        <w:tc>
          <w:tcPr>
            <w:tcW w:w="1240" w:type="dxa"/>
            <w:vAlign w:val="bottom"/>
          </w:tcPr>
          <w:p>
            <w:pPr>
              <w:spacing w:after="0"/>
              <w:rPr>
                <w:sz w:val="13"/>
                <w:szCs w:val="13"/>
                <w:color w:val="auto"/>
              </w:rPr>
            </w:pPr>
          </w:p>
        </w:tc>
        <w:tc>
          <w:tcPr>
            <w:tcW w:w="976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79">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Form 10-Q for the quarter ended March 31, 2021) (1).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10.51</w:t>
            </w:r>
          </w:p>
        </w:tc>
        <w:tc>
          <w:tcPr>
            <w:tcW w:w="10000" w:type="dxa"/>
            <w:vAlign w:val="bottom"/>
            <w:gridSpan w:val="37"/>
          </w:tcPr>
          <w:p>
            <w:pPr>
              <w:spacing w:after="0"/>
              <w:rPr>
                <w:rFonts w:ascii="Arial" w:cs="Arial" w:eastAsia="Arial" w:hAnsi="Arial"/>
                <w:sz w:val="18"/>
                <w:szCs w:val="18"/>
                <w:color w:val="0000FF"/>
                <w:w w:val="92"/>
              </w:rPr>
            </w:pPr>
            <w:hyperlink r:id="rId180">
              <w:r>
                <w:rPr>
                  <w:rFonts w:ascii="Arial" w:cs="Arial" w:eastAsia="Arial" w:hAnsi="Arial"/>
                  <w:sz w:val="18"/>
                  <w:szCs w:val="18"/>
                  <w:color w:val="0000FF"/>
                  <w:w w:val="92"/>
                </w:rPr>
                <w:t>Form of Director Non-Statutory Stock Option Agreement under the 2021 Long-Term Incentive Plan (Incorporated by reference to Exhibit</w:t>
              </w:r>
            </w:hyperlink>
          </w:p>
        </w:tc>
      </w:tr>
      <w:tr>
        <w:trPr>
          <w:trHeight w:val="151"/>
        </w:trPr>
        <w:tc>
          <w:tcPr>
            <w:tcW w:w="124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2" w:lineRule="exact"/>
              <w:rPr>
                <w:rFonts w:ascii="Arial" w:cs="Arial" w:eastAsia="Arial" w:hAnsi="Arial"/>
                <w:sz w:val="16"/>
                <w:szCs w:val="16"/>
                <w:color w:val="0000FF"/>
              </w:rPr>
            </w:pPr>
            <w:hyperlink r:id="rId180">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the Company’s Form 10-Q for the quarter ended March 31, 2021) (1).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10.52</w:t>
            </w:r>
          </w:p>
        </w:tc>
        <w:tc>
          <w:tcPr>
            <w:tcW w:w="10000" w:type="dxa"/>
            <w:vAlign w:val="bottom"/>
            <w:gridSpan w:val="37"/>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Form of Executive Restricted Stock Unit Award Agreement (U.S.) under the 2021 Long-Term Incentive Plan (Incorporated by reference to</w:t>
              </w:r>
            </w:hyperlink>
          </w:p>
        </w:tc>
      </w:tr>
      <w:tr>
        <w:trPr>
          <w:trHeight w:val="151"/>
        </w:trPr>
        <w:tc>
          <w:tcPr>
            <w:tcW w:w="124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2" w:lineRule="exact"/>
              <w:rPr>
                <w:rFonts w:ascii="Arial" w:cs="Arial" w:eastAsia="Arial" w:hAnsi="Arial"/>
                <w:sz w:val="16"/>
                <w:szCs w:val="16"/>
                <w:color w:val="0000FF"/>
              </w:rPr>
            </w:pPr>
            <w:hyperlink r:id="rId181">
              <w:r>
                <w:rPr>
                  <w:rFonts w:ascii="Arial" w:cs="Arial" w:eastAsia="Arial" w:hAnsi="Arial"/>
                  <w:sz w:val="16"/>
                  <w:szCs w:val="16"/>
                  <w:color w:val="0000FF"/>
                </w:rPr>
                <w:t>Exhibit 10.4 to the Company’s Form 10-Q for the quarter ended March 31, 2021) (1).</w:t>
              </w:r>
            </w:hyperlink>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10.53</w:t>
            </w:r>
          </w:p>
        </w:tc>
        <w:tc>
          <w:tcPr>
            <w:tcW w:w="10000" w:type="dxa"/>
            <w:vAlign w:val="bottom"/>
            <w:gridSpan w:val="37"/>
          </w:tcPr>
          <w:p>
            <w:pPr>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Form of Executive Non-Statutory Stock Option Agreement (U.S.) under the 2021 Long-Term Incentive Plan (Incorporated by reference to</w:t>
              </w:r>
            </w:hyperlink>
          </w:p>
        </w:tc>
      </w:tr>
      <w:tr>
        <w:trPr>
          <w:trHeight w:val="151"/>
        </w:trPr>
        <w:tc>
          <w:tcPr>
            <w:tcW w:w="124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82">
              <w:r>
                <w:rPr>
                  <w:rFonts w:ascii="Arial" w:cs="Arial" w:eastAsia="Arial" w:hAnsi="Arial"/>
                  <w:sz w:val="16"/>
                  <w:szCs w:val="16"/>
                  <w:color w:val="0000FF"/>
                </w:rPr>
                <w:t>Exhibit 10.5 to the Company’s Form 10-Q for the quarter ended March 31, 2021) (1).</w:t>
              </w:r>
            </w:hyperlink>
          </w:p>
        </w:tc>
        <w:tc>
          <w:tcPr>
            <w:tcW w:w="120" w:type="dxa"/>
            <w:vAlign w:val="bottom"/>
            <w:gridSpan w:val="6"/>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10.54</w:t>
            </w:r>
          </w:p>
        </w:tc>
        <w:tc>
          <w:tcPr>
            <w:tcW w:w="10000" w:type="dxa"/>
            <w:vAlign w:val="bottom"/>
            <w:gridSpan w:val="37"/>
          </w:tcPr>
          <w:p>
            <w:pPr>
              <w:spacing w:after="0"/>
              <w:rPr>
                <w:rFonts w:ascii="Arial" w:cs="Arial" w:eastAsia="Arial" w:hAnsi="Arial"/>
                <w:sz w:val="18"/>
                <w:szCs w:val="18"/>
                <w:color w:val="0000FF"/>
                <w:w w:val="91"/>
              </w:rPr>
            </w:pPr>
            <w:hyperlink r:id="rId183">
              <w:r>
                <w:rPr>
                  <w:rFonts w:ascii="Arial" w:cs="Arial" w:eastAsia="Arial" w:hAnsi="Arial"/>
                  <w:sz w:val="18"/>
                  <w:szCs w:val="18"/>
                  <w:color w:val="0000FF"/>
                  <w:w w:val="91"/>
                </w:rPr>
                <w:t>Form of Performance Share Unit Agreement under the 2021 Long-Term Incentive Plan. (Incorporated by reference to Exhibit 10.55 to the</w:t>
              </w:r>
            </w:hyperlink>
          </w:p>
        </w:tc>
      </w:tr>
      <w:tr>
        <w:trPr>
          <w:trHeight w:val="151"/>
        </w:trPr>
        <w:tc>
          <w:tcPr>
            <w:tcW w:w="124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83">
              <w:r>
                <w:rPr>
                  <w:rFonts w:ascii="Arial" w:cs="Arial" w:eastAsia="Arial" w:hAnsi="Arial"/>
                  <w:sz w:val="16"/>
                  <w:szCs w:val="16"/>
                  <w:color w:val="0000FF"/>
                  <w:w w:val="99"/>
                </w:rPr>
                <w:t>Company’s Form 10-K for the fiscal year ended September 30, 2021) (1)</w:t>
              </w:r>
            </w:hyperlink>
          </w:p>
        </w:tc>
        <w:tc>
          <w:tcPr>
            <w:tcW w:w="4580" w:type="dxa"/>
            <w:vAlign w:val="bottom"/>
            <w:tcBorders>
              <w:top w:val="single" w:sz="8" w:color="0000FF"/>
            </w:tcBorders>
            <w:gridSpan w:val="20"/>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10.55</w:t>
            </w:r>
          </w:p>
        </w:tc>
        <w:tc>
          <w:tcPr>
            <w:tcW w:w="10000" w:type="dxa"/>
            <w:vAlign w:val="bottom"/>
            <w:gridSpan w:val="37"/>
          </w:tcPr>
          <w:p>
            <w:pPr>
              <w:spacing w:after="0"/>
              <w:rPr>
                <w:rFonts w:ascii="Arial" w:cs="Arial" w:eastAsia="Arial" w:hAnsi="Arial"/>
                <w:sz w:val="18"/>
                <w:szCs w:val="18"/>
                <w:color w:val="0000FF"/>
                <w:w w:val="95"/>
              </w:rPr>
            </w:pPr>
            <w:hyperlink r:id="rId184">
              <w:r>
                <w:rPr>
                  <w:rFonts w:ascii="Arial" w:cs="Arial" w:eastAsia="Arial" w:hAnsi="Arial"/>
                  <w:sz w:val="18"/>
                  <w:szCs w:val="18"/>
                  <w:color w:val="0000FF"/>
                  <w:w w:val="95"/>
                </w:rPr>
                <w:t>Form of Market Share Unit Agreement under the 2021 Long-Term Incentive Plan. (Incorporated by reference to Exhibit 10.56 to the</w:t>
              </w:r>
            </w:hyperlink>
          </w:p>
        </w:tc>
      </w:tr>
      <w:tr>
        <w:trPr>
          <w:trHeight w:val="151"/>
        </w:trPr>
        <w:tc>
          <w:tcPr>
            <w:tcW w:w="124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w w:val="99"/>
              </w:rPr>
            </w:pPr>
            <w:hyperlink r:id="rId184">
              <w:r>
                <w:rPr>
                  <w:rFonts w:ascii="Arial" w:cs="Arial" w:eastAsia="Arial" w:hAnsi="Arial"/>
                  <w:sz w:val="16"/>
                  <w:szCs w:val="16"/>
                  <w:color w:val="0000FF"/>
                  <w:w w:val="99"/>
                </w:rPr>
                <w:t>Company’s Form 10-K for the fiscal year ended September 30, 2021) (1).</w:t>
              </w:r>
            </w:hyperlink>
          </w:p>
        </w:tc>
        <w:tc>
          <w:tcPr>
            <w:tcW w:w="416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gridSpan w:val="11"/>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10.56</w:t>
            </w:r>
          </w:p>
        </w:tc>
        <w:tc>
          <w:tcPr>
            <w:tcW w:w="10000" w:type="dxa"/>
            <w:vAlign w:val="bottom"/>
            <w:gridSpan w:val="37"/>
          </w:tcPr>
          <w:p>
            <w:pPr>
              <w:spacing w:after="0"/>
              <w:rPr>
                <w:rFonts w:ascii="Arial" w:cs="Arial" w:eastAsia="Arial" w:hAnsi="Arial"/>
                <w:sz w:val="18"/>
                <w:szCs w:val="18"/>
                <w:color w:val="0000FF"/>
                <w:w w:val="94"/>
              </w:rPr>
            </w:pPr>
            <w:hyperlink r:id="rId185">
              <w:r>
                <w:rPr>
                  <w:rFonts w:ascii="Arial" w:cs="Arial" w:eastAsia="Arial" w:hAnsi="Arial"/>
                  <w:sz w:val="18"/>
                  <w:szCs w:val="18"/>
                  <w:color w:val="0000FF"/>
                  <w:w w:val="94"/>
                </w:rPr>
                <w:t>Form of Indemnification Agreement between the Company and its executive officers (Incorporated by reference to Exhibit 10.1 to the</w:t>
              </w:r>
            </w:hyperlink>
          </w:p>
        </w:tc>
      </w:tr>
      <w:tr>
        <w:trPr>
          <w:trHeight w:val="151"/>
        </w:trPr>
        <w:tc>
          <w:tcPr>
            <w:tcW w:w="12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w w:val="99"/>
              </w:rPr>
            </w:pPr>
            <w:hyperlink r:id="rId185">
              <w:r>
                <w:rPr>
                  <w:rFonts w:ascii="Arial" w:cs="Arial" w:eastAsia="Arial" w:hAnsi="Arial"/>
                  <w:sz w:val="16"/>
                  <w:szCs w:val="16"/>
                  <w:color w:val="0000FF"/>
                  <w:w w:val="99"/>
                </w:rPr>
                <w:t>Company’s Form 10-Q for the quarter ended March 31, 2023) (1).</w:t>
              </w:r>
            </w:hyperlink>
          </w:p>
        </w:tc>
        <w:tc>
          <w:tcPr>
            <w:tcW w:w="4760" w:type="dxa"/>
            <w:vAlign w:val="bottom"/>
            <w:tcBorders>
              <w:top w:val="single" w:sz="8" w:color="0000FF"/>
            </w:tcBorders>
            <w:gridSpan w:val="17"/>
          </w:tcPr>
          <w:p>
            <w:pPr>
              <w:spacing w:after="0"/>
              <w:rPr>
                <w:sz w:val="13"/>
                <w:szCs w:val="13"/>
                <w:color w:val="auto"/>
              </w:rPr>
            </w:pPr>
          </w:p>
        </w:tc>
        <w:tc>
          <w:tcPr>
            <w:tcW w:w="440" w:type="dxa"/>
            <w:vAlign w:val="bottom"/>
            <w:gridSpan w:val="11"/>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269"/>
        </w:trPr>
        <w:tc>
          <w:tcPr>
            <w:tcW w:w="1240" w:type="dxa"/>
            <w:vAlign w:val="bottom"/>
          </w:tcPr>
          <w:p>
            <w:pPr>
              <w:jc w:val="right"/>
              <w:ind w:right="732"/>
              <w:spacing w:after="0"/>
              <w:rPr>
                <w:sz w:val="20"/>
                <w:szCs w:val="20"/>
                <w:color w:val="auto"/>
              </w:rPr>
            </w:pPr>
            <w:r>
              <w:rPr>
                <w:rFonts w:ascii="Arial" w:cs="Arial" w:eastAsia="Arial" w:hAnsi="Arial"/>
                <w:sz w:val="18"/>
                <w:szCs w:val="18"/>
                <w:color w:val="auto"/>
                <w:w w:val="88"/>
              </w:rPr>
              <w:t>10.57</w:t>
            </w:r>
          </w:p>
        </w:tc>
        <w:tc>
          <w:tcPr>
            <w:tcW w:w="10000" w:type="dxa"/>
            <w:vAlign w:val="bottom"/>
            <w:gridSpan w:val="37"/>
          </w:tcPr>
          <w:p>
            <w:pPr>
              <w:spacing w:after="0"/>
              <w:rPr>
                <w:rFonts w:ascii="Arial" w:cs="Arial" w:eastAsia="Arial" w:hAnsi="Arial"/>
                <w:sz w:val="18"/>
                <w:szCs w:val="18"/>
                <w:color w:val="0000FF"/>
                <w:w w:val="89"/>
              </w:rPr>
            </w:pPr>
            <w:hyperlink r:id="rId186">
              <w:r>
                <w:rPr>
                  <w:rFonts w:ascii="Arial" w:cs="Arial" w:eastAsia="Arial" w:hAnsi="Arial"/>
                  <w:sz w:val="18"/>
                  <w:szCs w:val="18"/>
                  <w:color w:val="0000FF"/>
                  <w:w w:val="89"/>
                </w:rPr>
                <w:t>Letter Agreement, effective May 15, 2023, by and between the Company and Steven P. Weber (Incorporated by reference to Exhibit 10.1 to</w:t>
              </w:r>
            </w:hyperlink>
          </w:p>
        </w:tc>
      </w:tr>
      <w:tr>
        <w:trPr>
          <w:trHeight w:val="151"/>
        </w:trPr>
        <w:tc>
          <w:tcPr>
            <w:tcW w:w="124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2" w:lineRule="exact"/>
              <w:rPr>
                <w:rFonts w:ascii="Arial" w:cs="Arial" w:eastAsia="Arial" w:hAnsi="Arial"/>
                <w:sz w:val="16"/>
                <w:szCs w:val="16"/>
                <w:color w:val="0000FF"/>
              </w:rPr>
            </w:pPr>
            <w:hyperlink r:id="rId186">
              <w:r>
                <w:rPr>
                  <w:rFonts w:ascii="Arial" w:cs="Arial" w:eastAsia="Arial" w:hAnsi="Arial"/>
                  <w:sz w:val="16"/>
                  <w:szCs w:val="16"/>
                  <w:color w:val="0000FF"/>
                </w:rPr>
                <w:t>the Company’s Form 8-K filed on May 15, 2023) (1).</w:t>
              </w:r>
            </w:hyperlink>
          </w:p>
        </w:tc>
        <w:tc>
          <w:tcPr>
            <w:tcW w:w="140" w:type="dxa"/>
            <w:vAlign w:val="bottom"/>
            <w:gridSpan w:val="2"/>
          </w:tcPr>
          <w:p>
            <w:pPr>
              <w:spacing w:after="0"/>
              <w:rPr>
                <w:sz w:val="13"/>
                <w:szCs w:val="13"/>
                <w:color w:val="auto"/>
              </w:rPr>
            </w:pPr>
          </w:p>
        </w:tc>
      </w:tr>
      <w:tr>
        <w:trPr>
          <w:trHeight w:val="874"/>
        </w:trPr>
        <w:tc>
          <w:tcPr>
            <w:tcW w:w="1240" w:type="dxa"/>
            <w:vAlign w:val="bottom"/>
          </w:tcPr>
          <w:p>
            <w:pPr>
              <w:spacing w:after="0"/>
              <w:rPr>
                <w:sz w:val="24"/>
                <w:szCs w:val="24"/>
                <w:color w:val="auto"/>
              </w:rPr>
            </w:pPr>
          </w:p>
        </w:tc>
        <w:tc>
          <w:tcPr>
            <w:tcW w:w="3760" w:type="dxa"/>
            <w:vAlign w:val="bottom"/>
            <w:tcBorders>
              <w:top w:val="single" w:sz="8" w:color="0000FF"/>
            </w:tcBorders>
            <w:gridSpan w:val="3"/>
          </w:tcPr>
          <w:p>
            <w:pPr>
              <w:spacing w:after="0"/>
              <w:rPr>
                <w:sz w:val="24"/>
                <w:szCs w:val="2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2"/>
        </w:trPr>
        <w:tc>
          <w:tcPr>
            <w:tcW w:w="12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10.58</w:t>
            </w:r>
          </w:p>
        </w:tc>
        <w:tc>
          <w:tcPr>
            <w:tcW w:w="9820" w:type="dxa"/>
            <w:vAlign w:val="bottom"/>
            <w:gridSpan w:val="20"/>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Market Share Unit Agreement, dated June 5, 2023, by and between the Company and William J. Lansing (Incorporated by reference to</w:t>
              </w:r>
            </w:hyperlink>
          </w:p>
        </w:tc>
      </w:tr>
      <w:tr>
        <w:trPr>
          <w:trHeight w:val="151"/>
        </w:trPr>
        <w:tc>
          <w:tcPr>
            <w:tcW w:w="1220" w:type="dxa"/>
            <w:vAlign w:val="bottom"/>
          </w:tcPr>
          <w:p>
            <w:pPr>
              <w:spacing w:after="0"/>
              <w:rPr>
                <w:sz w:val="13"/>
                <w:szCs w:val="13"/>
                <w:color w:val="auto"/>
              </w:rPr>
            </w:pPr>
          </w:p>
        </w:tc>
        <w:tc>
          <w:tcPr>
            <w:tcW w:w="948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89">
              <w:r>
                <w:rPr>
                  <w:rFonts w:ascii="Arial" w:cs="Arial" w:eastAsia="Arial" w:hAnsi="Arial"/>
                  <w:sz w:val="16"/>
                  <w:szCs w:val="16"/>
                  <w:color w:val="0000FF"/>
                </w:rPr>
                <w:t>Exhibit 10.1 to the Company’s Form 8-K filed on June 7, 2023) (1).</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10.59</w:t>
            </w:r>
          </w:p>
        </w:tc>
        <w:tc>
          <w:tcPr>
            <w:tcW w:w="9820" w:type="dxa"/>
            <w:vAlign w:val="bottom"/>
            <w:gridSpan w:val="20"/>
          </w:tcPr>
          <w:p>
            <w:pPr>
              <w:spacing w:after="0"/>
              <w:rPr>
                <w:rFonts w:ascii="Arial" w:cs="Arial" w:eastAsia="Arial" w:hAnsi="Arial"/>
                <w:sz w:val="18"/>
                <w:szCs w:val="18"/>
                <w:color w:val="0000FF"/>
                <w:w w:val="93"/>
              </w:rPr>
            </w:pPr>
            <w:hyperlink r:id="rId190">
              <w:r>
                <w:rPr>
                  <w:rFonts w:ascii="Arial" w:cs="Arial" w:eastAsia="Arial" w:hAnsi="Arial"/>
                  <w:sz w:val="18"/>
                  <w:szCs w:val="18"/>
                  <w:color w:val="0000FF"/>
                  <w:w w:val="93"/>
                </w:rPr>
                <w:t>Non-Statutory Stock Option Agreement, dated June 5, 2023, by and between the Company and William J. Lansing (Incorporated by</w:t>
              </w:r>
            </w:hyperlink>
          </w:p>
        </w:tc>
      </w:tr>
      <w:tr>
        <w:trPr>
          <w:trHeight w:val="151"/>
        </w:trPr>
        <w:tc>
          <w:tcPr>
            <w:tcW w:w="1220" w:type="dxa"/>
            <w:vAlign w:val="bottom"/>
          </w:tcPr>
          <w:p>
            <w:pPr>
              <w:spacing w:after="0"/>
              <w:rPr>
                <w:sz w:val="13"/>
                <w:szCs w:val="13"/>
                <w:color w:val="auto"/>
              </w:rPr>
            </w:pPr>
          </w:p>
        </w:tc>
        <w:tc>
          <w:tcPr>
            <w:tcW w:w="928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90">
              <w:r>
                <w:rPr>
                  <w:rFonts w:ascii="Arial" w:cs="Arial" w:eastAsia="Arial" w:hAnsi="Arial"/>
                  <w:sz w:val="16"/>
                  <w:szCs w:val="16"/>
                  <w:color w:val="0000FF"/>
                </w:rPr>
                <w:t>reference to Exhibit 10.2 to the Company’s Form 8-K filed on June 7, 2023) (1).</w:t>
              </w:r>
            </w:hyperlink>
          </w:p>
        </w:tc>
        <w:tc>
          <w:tcPr>
            <w:tcW w:w="6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10.60*</w:t>
            </w:r>
          </w:p>
        </w:tc>
        <w:tc>
          <w:tcPr>
            <w:tcW w:w="9820" w:type="dxa"/>
            <w:vAlign w:val="bottom"/>
            <w:gridSpan w:val="20"/>
          </w:tcPr>
          <w:p>
            <w:pPr>
              <w:spacing w:after="0"/>
              <w:rPr>
                <w:sz w:val="20"/>
                <w:szCs w:val="20"/>
                <w:color w:val="auto"/>
              </w:rPr>
            </w:pPr>
            <w:r>
              <w:rPr>
                <w:rFonts w:ascii="Arial" w:cs="Arial" w:eastAsia="Arial" w:hAnsi="Arial"/>
                <w:sz w:val="18"/>
                <w:szCs w:val="18"/>
                <w:color w:val="0000FF"/>
                <w:w w:val="96"/>
              </w:rPr>
              <w:t>Form of Executive Restricted Stock Unit Award Agreement (U.S.) under the 2021 Long-Term Incentive Plan (for Executive Vice</w:t>
            </w:r>
          </w:p>
        </w:tc>
      </w:tr>
      <w:tr>
        <w:trPr>
          <w:trHeight w:val="151"/>
        </w:trPr>
        <w:tc>
          <w:tcPr>
            <w:tcW w:w="12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3"/>
          </w:tcPr>
          <w:p>
            <w:pPr>
              <w:spacing w:after="0" w:line="152" w:lineRule="exact"/>
              <w:rPr>
                <w:sz w:val="20"/>
                <w:szCs w:val="20"/>
                <w:color w:val="auto"/>
              </w:rPr>
            </w:pPr>
            <w:r>
              <w:rPr>
                <w:rFonts w:ascii="Arial" w:cs="Arial" w:eastAsia="Arial" w:hAnsi="Arial"/>
                <w:sz w:val="16"/>
                <w:szCs w:val="16"/>
                <w:color w:val="0000FF"/>
                <w:w w:val="96"/>
              </w:rPr>
              <w:t>Presidents and above) (1).</w:t>
            </w:r>
          </w:p>
        </w:tc>
        <w:tc>
          <w:tcPr>
            <w:tcW w:w="7240" w:type="dxa"/>
            <w:vAlign w:val="bottom"/>
            <w:tcBorders>
              <w:top w:val="single" w:sz="8" w:color="0000FF"/>
            </w:tcBorders>
            <w:gridSpan w:val="11"/>
          </w:tcPr>
          <w:p>
            <w:pPr>
              <w:spacing w:after="0"/>
              <w:rPr>
                <w:sz w:val="13"/>
                <w:szCs w:val="13"/>
                <w:color w:val="auto"/>
              </w:rPr>
            </w:pPr>
          </w:p>
        </w:tc>
        <w:tc>
          <w:tcPr>
            <w:tcW w:w="260" w:type="dxa"/>
            <w:vAlign w:val="bottom"/>
            <w:gridSpan w:val="2"/>
          </w:tcPr>
          <w:p>
            <w:pPr>
              <w:spacing w:after="0"/>
              <w:rPr>
                <w:sz w:val="13"/>
                <w:szCs w:val="13"/>
                <w:color w:val="auto"/>
              </w:rPr>
            </w:pPr>
          </w:p>
        </w:tc>
        <w:tc>
          <w:tcPr>
            <w:tcW w:w="4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10.61*</w:t>
            </w:r>
          </w:p>
        </w:tc>
        <w:tc>
          <w:tcPr>
            <w:tcW w:w="9820" w:type="dxa"/>
            <w:vAlign w:val="bottom"/>
            <w:gridSpan w:val="20"/>
          </w:tcPr>
          <w:p>
            <w:pPr>
              <w:spacing w:after="0"/>
              <w:rPr>
                <w:sz w:val="20"/>
                <w:szCs w:val="20"/>
                <w:color w:val="auto"/>
              </w:rPr>
            </w:pPr>
            <w:r>
              <w:rPr>
                <w:rFonts w:ascii="Arial" w:cs="Arial" w:eastAsia="Arial" w:hAnsi="Arial"/>
                <w:sz w:val="18"/>
                <w:szCs w:val="18"/>
                <w:color w:val="0000FF"/>
                <w:w w:val="89"/>
              </w:rPr>
              <w:t>Form of Executive Non-Statutory Stock Option Agreement (U.S.) under the 2021 Long-Term Incentive Plan (for Executive Vice Presidents</w:t>
            </w:r>
          </w:p>
        </w:tc>
      </w:tr>
      <w:tr>
        <w:trPr>
          <w:trHeight w:val="151"/>
        </w:trPr>
        <w:tc>
          <w:tcPr>
            <w:tcW w:w="12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sz w:val="20"/>
                <w:szCs w:val="20"/>
                <w:color w:val="auto"/>
              </w:rPr>
            </w:pPr>
            <w:r>
              <w:rPr>
                <w:rFonts w:ascii="Arial" w:cs="Arial" w:eastAsia="Arial" w:hAnsi="Arial"/>
                <w:sz w:val="16"/>
                <w:szCs w:val="16"/>
                <w:color w:val="0000FF"/>
                <w:w w:val="97"/>
              </w:rPr>
              <w:t>and above) (1).</w:t>
            </w:r>
          </w:p>
        </w:tc>
        <w:tc>
          <w:tcPr>
            <w:tcW w:w="87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10.62*</w:t>
            </w:r>
          </w:p>
        </w:tc>
        <w:tc>
          <w:tcPr>
            <w:tcW w:w="9820" w:type="dxa"/>
            <w:vAlign w:val="bottom"/>
            <w:gridSpan w:val="20"/>
          </w:tcPr>
          <w:p>
            <w:pPr>
              <w:spacing w:after="0"/>
              <w:rPr>
                <w:sz w:val="20"/>
                <w:szCs w:val="20"/>
                <w:color w:val="auto"/>
              </w:rPr>
            </w:pPr>
            <w:r>
              <w:rPr>
                <w:rFonts w:ascii="Arial" w:cs="Arial" w:eastAsia="Arial" w:hAnsi="Arial"/>
                <w:sz w:val="18"/>
                <w:szCs w:val="18"/>
                <w:color w:val="0000FF"/>
                <w:w w:val="93"/>
              </w:rPr>
              <w:t>Form of Executive Performance Share Unit Agreement under the 2021 Long-Term Incentive Plan (for Executive Vice Presidents and</w:t>
            </w:r>
          </w:p>
        </w:tc>
      </w:tr>
      <w:tr>
        <w:trPr>
          <w:trHeight w:val="151"/>
        </w:trPr>
        <w:tc>
          <w:tcPr>
            <w:tcW w:w="12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6"/>
                <w:szCs w:val="16"/>
                <w:color w:val="0000FF"/>
                <w:w w:val="98"/>
              </w:rPr>
              <w:t>above) (1).</w:t>
            </w:r>
          </w:p>
        </w:tc>
        <w:tc>
          <w:tcPr>
            <w:tcW w:w="8560" w:type="dxa"/>
            <w:vAlign w:val="bottom"/>
            <w:tcBorders>
              <w:top w:val="single" w:sz="8" w:color="0000FF"/>
            </w:tcBorders>
            <w:gridSpan w:val="15"/>
          </w:tcPr>
          <w:p>
            <w:pPr>
              <w:spacing w:after="0"/>
              <w:rPr>
                <w:sz w:val="13"/>
                <w:szCs w:val="13"/>
                <w:color w:val="auto"/>
              </w:rPr>
            </w:pPr>
          </w:p>
        </w:tc>
        <w:tc>
          <w:tcPr>
            <w:tcW w:w="4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10.63*</w:t>
            </w:r>
          </w:p>
        </w:tc>
        <w:tc>
          <w:tcPr>
            <w:tcW w:w="97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8"/>
              </w:rPr>
              <w:t>Form of Executive Market Share Unit Agreement under the 2021 Long-Term Incentive Plan (for Executive Vice Presidents and above) (1).</w:t>
            </w:r>
          </w:p>
        </w:tc>
        <w:tc>
          <w:tcPr>
            <w:tcW w:w="40" w:type="dxa"/>
            <w:vAlign w:val="bottom"/>
            <w:gridSpan w:val="2"/>
          </w:tcPr>
          <w:p>
            <w:pPr>
              <w:spacing w:after="0"/>
              <w:rPr>
                <w:sz w:val="23"/>
                <w:szCs w:val="23"/>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10.64*</w:t>
            </w:r>
          </w:p>
        </w:tc>
        <w:tc>
          <w:tcPr>
            <w:tcW w:w="69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Letter Agreement, dated as of August 22, 2023, by and between the Company and Nikhil Behl (1).</w:t>
            </w:r>
          </w:p>
        </w:tc>
        <w:tc>
          <w:tcPr>
            <w:tcW w:w="2880" w:type="dxa"/>
            <w:vAlign w:val="bottom"/>
            <w:gridSpan w:val="7"/>
          </w:tcPr>
          <w:p>
            <w:pPr>
              <w:spacing w:after="0"/>
              <w:rPr>
                <w:sz w:val="22"/>
                <w:szCs w:val="22"/>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21.1*</w:t>
            </w:r>
          </w:p>
        </w:tc>
        <w:tc>
          <w:tcPr>
            <w:tcW w:w="9820" w:type="dxa"/>
            <w:vAlign w:val="bottom"/>
            <w:gridSpan w:val="20"/>
          </w:tcPr>
          <w:p>
            <w:pPr>
              <w:spacing w:after="0"/>
              <w:rPr>
                <w:sz w:val="20"/>
                <w:szCs w:val="20"/>
                <w:color w:val="auto"/>
              </w:rPr>
            </w:pPr>
            <w:r>
              <w:rPr>
                <w:rFonts w:ascii="Arial" w:cs="Arial" w:eastAsia="Arial" w:hAnsi="Arial"/>
                <w:sz w:val="18"/>
                <w:szCs w:val="18"/>
                <w:color w:val="0000FF"/>
              </w:rPr>
              <w:t>List of Company’s subsidiaries.</w:t>
            </w:r>
          </w:p>
        </w:tc>
      </w:tr>
      <w:tr>
        <w:trPr>
          <w:trHeight w:val="20"/>
        </w:trPr>
        <w:tc>
          <w:tcPr>
            <w:tcW w:w="12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58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Consent of Deloitte &amp; Touche LLP, independent registered public accounting firm.</w:t>
            </w:r>
          </w:p>
        </w:tc>
        <w:tc>
          <w:tcPr>
            <w:tcW w:w="4000" w:type="dxa"/>
            <w:vAlign w:val="bottom"/>
            <w:gridSpan w:val="8"/>
          </w:tcPr>
          <w:p>
            <w:pPr>
              <w:spacing w:after="0"/>
              <w:rPr>
                <w:sz w:val="22"/>
                <w:szCs w:val="22"/>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3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Rule 13a-14(a)/15d-14(a) Certifications of CEO.</w:t>
            </w:r>
          </w:p>
        </w:tc>
        <w:tc>
          <w:tcPr>
            <w:tcW w:w="6380" w:type="dxa"/>
            <w:vAlign w:val="bottom"/>
            <w:gridSpan w:val="11"/>
          </w:tcPr>
          <w:p>
            <w:pPr>
              <w:spacing w:after="0"/>
              <w:rPr>
                <w:sz w:val="22"/>
                <w:szCs w:val="22"/>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gridSpan w:val="20"/>
          </w:tcPr>
          <w:p>
            <w:pPr>
              <w:spacing w:after="0"/>
              <w:rPr>
                <w:sz w:val="20"/>
                <w:szCs w:val="20"/>
                <w:color w:val="auto"/>
              </w:rPr>
            </w:pPr>
            <w:r>
              <w:rPr>
                <w:rFonts w:ascii="Arial" w:cs="Arial" w:eastAsia="Arial" w:hAnsi="Arial"/>
                <w:sz w:val="18"/>
                <w:szCs w:val="18"/>
                <w:color w:val="0000FF"/>
              </w:rPr>
              <w:t>Rule 13a-14(a)/15d-14(a) Certifications of CFO.</w:t>
            </w: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25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0"/>
              </w:rPr>
              <w:t>Section 1350 Certification of CEO.</w:t>
            </w:r>
          </w:p>
        </w:tc>
        <w:tc>
          <w:tcPr>
            <w:tcW w:w="920" w:type="dxa"/>
            <w:vAlign w:val="bottom"/>
            <w:tcBorders>
              <w:top w:val="single" w:sz="8" w:color="0000FF"/>
            </w:tcBorders>
            <w:gridSpan w:val="2"/>
          </w:tcPr>
          <w:p>
            <w:pPr>
              <w:spacing w:after="0"/>
              <w:rPr>
                <w:sz w:val="22"/>
                <w:szCs w:val="22"/>
                <w:color w:val="auto"/>
              </w:rPr>
            </w:pPr>
          </w:p>
        </w:tc>
        <w:tc>
          <w:tcPr>
            <w:tcW w:w="6400" w:type="dxa"/>
            <w:vAlign w:val="bottom"/>
            <w:gridSpan w:val="12"/>
          </w:tcPr>
          <w:p>
            <w:pPr>
              <w:spacing w:after="0"/>
              <w:rPr>
                <w:sz w:val="22"/>
                <w:szCs w:val="22"/>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24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Section 1350 Certification of CFO.</w:t>
            </w:r>
          </w:p>
        </w:tc>
        <w:tc>
          <w:tcPr>
            <w:tcW w:w="7340" w:type="dxa"/>
            <w:vAlign w:val="bottom"/>
            <w:gridSpan w:val="15"/>
          </w:tcPr>
          <w:p>
            <w:pPr>
              <w:spacing w:after="0"/>
              <w:rPr>
                <w:sz w:val="22"/>
                <w:szCs w:val="22"/>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97.1*</w:t>
            </w:r>
          </w:p>
        </w:tc>
        <w:tc>
          <w:tcPr>
            <w:tcW w:w="25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Compensation Recovery Policy (1).</w:t>
            </w:r>
          </w:p>
        </w:tc>
        <w:tc>
          <w:tcPr>
            <w:tcW w:w="7300" w:type="dxa"/>
            <w:vAlign w:val="bottom"/>
            <w:gridSpan w:val="13"/>
          </w:tcPr>
          <w:p>
            <w:pPr>
              <w:spacing w:after="0"/>
              <w:rPr>
                <w:sz w:val="22"/>
                <w:szCs w:val="22"/>
                <w:color w:val="auto"/>
              </w:rPr>
            </w:pPr>
          </w:p>
        </w:tc>
      </w:tr>
      <w:tr>
        <w:trPr>
          <w:trHeight w:val="244"/>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20"/>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22"/>
        </w:trPr>
        <w:tc>
          <w:tcPr>
            <w:tcW w:w="1220" w:type="dxa"/>
            <w:vAlign w:val="bottom"/>
          </w:tcPr>
          <w:p>
            <w:pPr>
              <w:spacing w:after="0"/>
              <w:rPr>
                <w:sz w:val="19"/>
                <w:szCs w:val="19"/>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289"/>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6"/>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6"/>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6"/>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6"/>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6"/>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820" w:type="dxa"/>
            <w:vAlign w:val="bottom"/>
            <w:gridSpan w:val="2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77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84" w:lineRule="exact"/>
        <w:rPr>
          <w:sz w:val="20"/>
          <w:szCs w:val="20"/>
          <w:color w:val="auto"/>
        </w:rPr>
      </w:pPr>
    </w:p>
    <w:p>
      <w:pPr>
        <w:ind w:left="20" w:right="6480" w:hanging="15"/>
        <w:spacing w:after="0" w:line="414" w:lineRule="auto"/>
        <w:tabs>
          <w:tab w:leader="none" w:pos="3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27" w:right="5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9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FAIR ISAAC CORPORATION</w:t>
      </w:r>
    </w:p>
    <w:p>
      <w:pPr>
        <w:spacing w:after="0" w:line="280" w:lineRule="exact"/>
        <w:rPr>
          <w:sz w:val="20"/>
          <w:szCs w:val="20"/>
          <w:color w:val="auto"/>
        </w:rPr>
      </w:pPr>
    </w:p>
    <w:tbl>
      <w:tblPr>
        <w:tblLayout w:type="fixed"/>
        <w:tblInd w:w="708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P. WEBER</w:t>
            </w:r>
          </w:p>
        </w:tc>
      </w:tr>
      <w:tr>
        <w:trPr>
          <w:trHeight w:val="217"/>
        </w:trPr>
        <w:tc>
          <w:tcPr>
            <w:tcW w:w="3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3"/>
              </w:rPr>
              <w:t>Steven P. Weber</w:t>
            </w:r>
          </w:p>
        </w:tc>
      </w:tr>
      <w:tr>
        <w:trPr>
          <w:trHeight w:val="172"/>
        </w:trPr>
        <w:tc>
          <w:tcPr>
            <w:tcW w:w="380" w:type="dxa"/>
            <w:vAlign w:val="bottom"/>
          </w:tcPr>
          <w:p>
            <w:pPr>
              <w:spacing w:after="0"/>
              <w:rPr>
                <w:sz w:val="14"/>
                <w:szCs w:val="14"/>
                <w:color w:val="auto"/>
              </w:rPr>
            </w:pPr>
          </w:p>
        </w:tc>
        <w:tc>
          <w:tcPr>
            <w:tcW w:w="3760" w:type="dxa"/>
            <w:vAlign w:val="bottom"/>
          </w:tcPr>
          <w:p>
            <w:pPr>
              <w:jc w:val="center"/>
              <w:spacing w:after="0" w:line="172" w:lineRule="exact"/>
              <w:rPr>
                <w:sz w:val="20"/>
                <w:szCs w:val="20"/>
                <w:color w:val="auto"/>
              </w:rPr>
            </w:pPr>
            <w:r>
              <w:rPr>
                <w:rFonts w:ascii="Arial" w:cs="Arial" w:eastAsia="Arial" w:hAnsi="Arial"/>
                <w:sz w:val="18"/>
                <w:szCs w:val="18"/>
                <w:i w:val="1"/>
                <w:iCs w:val="1"/>
                <w:color w:val="auto"/>
                <w:w w:val="86"/>
              </w:rPr>
              <w:t>Executive Vice President</w:t>
            </w:r>
          </w:p>
        </w:tc>
      </w:tr>
      <w:tr>
        <w:trPr>
          <w:trHeight w:val="222"/>
        </w:trPr>
        <w:tc>
          <w:tcPr>
            <w:tcW w:w="3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2"/>
              </w:rPr>
              <w:t>and Chief Financial Officer</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47" w:lineRule="exact"/>
        <w:rPr>
          <w:sz w:val="20"/>
          <w:szCs w:val="20"/>
          <w:color w:val="auto"/>
        </w:rPr>
      </w:pPr>
    </w:p>
    <w:p>
      <w:pPr>
        <w:jc w:val="both"/>
        <w:ind w:firstLine="395"/>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P. Weber his or her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08"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William J. Lansing</w:t>
      </w:r>
    </w:p>
    <w:p>
      <w:pPr>
        <w:spacing w:after="0" w:line="30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10160</wp:posOffset>
            </wp:positionV>
            <wp:extent cx="26657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Steven P. Weber</w:t>
      </w:r>
    </w:p>
    <w:p>
      <w:pPr>
        <w:spacing w:after="0" w:line="2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MICHAEL S.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Michael S. Leonard</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/s/ FABIOLA R. ARREDONDO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41275</wp:posOffset>
            </wp:positionV>
            <wp:extent cx="2665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Fabiola R. Arredondo</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BRADEN 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Braden R. Kelly</w:t>
      </w:r>
    </w:p>
    <w:p>
      <w:pPr>
        <w:spacing w:after="0" w:line="18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JAMES D. KIRSNER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James D. Kirsner</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EVA MANOLIS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Eva Manolis</w:t>
      </w:r>
    </w:p>
    <w:p>
      <w:pPr>
        <w:spacing w:after="0" w:line="18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MARC F. MCMORRIS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Marc F. McMorris</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JOANNA 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Joanna Rees</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 DAVID A. 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26670</wp:posOffset>
            </wp:positionV>
            <wp:extent cx="26657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David A. Rey</w:t>
      </w: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/s/ H. TAYLOE STANSBURY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41275</wp:posOffset>
            </wp:positionV>
            <wp:extent cx="2665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H. Tayloe Stansbury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jc w:val="center"/>
              <w:ind w:right="672"/>
              <w:spacing w:after="0"/>
              <w:rPr>
                <w:sz w:val="20"/>
                <w:szCs w:val="20"/>
                <w:color w:val="auto"/>
              </w:rPr>
            </w:pPr>
            <w:r>
              <w:rPr>
                <w:rFonts w:ascii="Arial" w:cs="Arial" w:eastAsia="Arial" w:hAnsi="Arial"/>
                <w:sz w:val="18"/>
                <w:szCs w:val="18"/>
                <w:color w:val="auto"/>
                <w:w w:val="91"/>
              </w:rPr>
              <w:t>Chief Executive Officer</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20" w:type="dxa"/>
            <w:vAlign w:val="bottom"/>
          </w:tcPr>
          <w:p>
            <w:pPr>
              <w:jc w:val="center"/>
              <w:ind w:right="672"/>
              <w:spacing w:after="0" w:line="183" w:lineRule="exact"/>
              <w:rPr>
                <w:sz w:val="20"/>
                <w:szCs w:val="20"/>
                <w:color w:val="auto"/>
              </w:rPr>
            </w:pPr>
            <w:r>
              <w:rPr>
                <w:rFonts w:ascii="Arial" w:cs="Arial" w:eastAsia="Arial" w:hAnsi="Arial"/>
                <w:sz w:val="18"/>
                <w:szCs w:val="18"/>
                <w:color w:val="auto"/>
                <w:w w:val="91"/>
              </w:rPr>
              <w:t>(Principal Executive Officer)</w:t>
            </w:r>
          </w:p>
        </w:tc>
        <w:tc>
          <w:tcPr>
            <w:tcW w:w="2060" w:type="dxa"/>
            <w:vAlign w:val="bottom"/>
          </w:tcPr>
          <w:p>
            <w:pPr>
              <w:ind w:left="740"/>
              <w:spacing w:after="0" w:line="183" w:lineRule="exact"/>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222"/>
        </w:trPr>
        <w:tc>
          <w:tcPr>
            <w:tcW w:w="2920" w:type="dxa"/>
            <w:vAlign w:val="bottom"/>
          </w:tcPr>
          <w:p>
            <w:pPr>
              <w:jc w:val="center"/>
              <w:ind w:right="672"/>
              <w:spacing w:after="0"/>
              <w:rPr>
                <w:sz w:val="20"/>
                <w:szCs w:val="20"/>
                <w:color w:val="auto"/>
              </w:rPr>
            </w:pPr>
            <w:r>
              <w:rPr>
                <w:rFonts w:ascii="Arial" w:cs="Arial" w:eastAsia="Arial" w:hAnsi="Arial"/>
                <w:sz w:val="18"/>
                <w:szCs w:val="18"/>
                <w:color w:val="auto"/>
                <w:w w:val="89"/>
              </w:rPr>
              <w:t>and Director</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87"/>
              </w:rPr>
              <w:t>Executive Vice President and</w:t>
            </w:r>
          </w:p>
        </w:tc>
        <w:tc>
          <w:tcPr>
            <w:tcW w:w="2060" w:type="dxa"/>
            <w:vAlign w:val="bottom"/>
            <w:vMerge w:val="restart"/>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171"/>
        </w:trPr>
        <w:tc>
          <w:tcPr>
            <w:tcW w:w="2920" w:type="dxa"/>
            <w:vAlign w:val="bottom"/>
          </w:tcPr>
          <w:p>
            <w:pPr>
              <w:jc w:val="center"/>
              <w:ind w:right="672"/>
              <w:spacing w:after="0" w:line="171" w:lineRule="exact"/>
              <w:rPr>
                <w:sz w:val="20"/>
                <w:szCs w:val="20"/>
                <w:color w:val="auto"/>
              </w:rPr>
            </w:pPr>
            <w:r>
              <w:rPr>
                <w:rFonts w:ascii="Arial" w:cs="Arial" w:eastAsia="Arial" w:hAnsi="Arial"/>
                <w:sz w:val="18"/>
                <w:szCs w:val="18"/>
                <w:color w:val="auto"/>
                <w:w w:val="92"/>
              </w:rPr>
              <w:t>Chief Financial Officer</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920" w:type="dxa"/>
            <w:vAlign w:val="bottom"/>
          </w:tcPr>
          <w:p>
            <w:pPr>
              <w:jc w:val="center"/>
              <w:ind w:right="672"/>
              <w:spacing w:after="0"/>
              <w:rPr>
                <w:sz w:val="20"/>
                <w:szCs w:val="20"/>
                <w:color w:val="auto"/>
              </w:rPr>
            </w:pPr>
            <w:r>
              <w:rPr>
                <w:rFonts w:ascii="Arial" w:cs="Arial" w:eastAsia="Arial" w:hAnsi="Arial"/>
                <w:sz w:val="18"/>
                <w:szCs w:val="18"/>
                <w:color w:val="auto"/>
                <w:w w:val="92"/>
              </w:rPr>
              <w:t>(Principal Financial Officer)</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920" w:type="dxa"/>
            <w:vAlign w:val="bottom"/>
          </w:tcPr>
          <w:p>
            <w:pPr>
              <w:jc w:val="center"/>
              <w:ind w:right="672"/>
              <w:spacing w:after="0"/>
              <w:rPr>
                <w:sz w:val="20"/>
                <w:szCs w:val="20"/>
                <w:color w:val="auto"/>
              </w:rPr>
            </w:pPr>
            <w:r>
              <w:rPr>
                <w:rFonts w:ascii="Arial" w:cs="Arial" w:eastAsia="Arial" w:hAnsi="Arial"/>
                <w:sz w:val="18"/>
                <w:szCs w:val="18"/>
                <w:color w:val="auto"/>
                <w:w w:val="87"/>
              </w:rPr>
              <w:t>Vice President and</w:t>
            </w:r>
          </w:p>
        </w:tc>
        <w:tc>
          <w:tcPr>
            <w:tcW w:w="2060" w:type="dxa"/>
            <w:vAlign w:val="bottom"/>
            <w:vMerge w:val="restart"/>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171"/>
        </w:trPr>
        <w:tc>
          <w:tcPr>
            <w:tcW w:w="2920" w:type="dxa"/>
            <w:vAlign w:val="bottom"/>
          </w:tcPr>
          <w:p>
            <w:pPr>
              <w:jc w:val="center"/>
              <w:ind w:right="672"/>
              <w:spacing w:after="0" w:line="171" w:lineRule="exact"/>
              <w:rPr>
                <w:sz w:val="20"/>
                <w:szCs w:val="20"/>
                <w:color w:val="auto"/>
              </w:rPr>
            </w:pPr>
            <w:r>
              <w:rPr>
                <w:rFonts w:ascii="Arial" w:cs="Arial" w:eastAsia="Arial" w:hAnsi="Arial"/>
                <w:sz w:val="18"/>
                <w:szCs w:val="18"/>
                <w:color w:val="auto"/>
                <w:w w:val="92"/>
              </w:rPr>
              <w:t>Chief Accounting Officer</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920" w:type="dxa"/>
            <w:vAlign w:val="bottom"/>
          </w:tcPr>
          <w:p>
            <w:pPr>
              <w:jc w:val="center"/>
              <w:ind w:right="672"/>
              <w:spacing w:after="0"/>
              <w:rPr>
                <w:sz w:val="20"/>
                <w:szCs w:val="20"/>
                <w:color w:val="auto"/>
              </w:rPr>
            </w:pPr>
            <w:r>
              <w:rPr>
                <w:rFonts w:ascii="Arial" w:cs="Arial" w:eastAsia="Arial" w:hAnsi="Arial"/>
                <w:sz w:val="18"/>
                <w:szCs w:val="18"/>
                <w:color w:val="auto"/>
                <w:w w:val="92"/>
              </w:rPr>
              <w:t>(Principal Accounting Officer)</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84"/>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97"/>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84"/>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84"/>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97"/>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97"/>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r>
        <w:trPr>
          <w:trHeight w:val="697"/>
        </w:trPr>
        <w:tc>
          <w:tcPr>
            <w:tcW w:w="2920" w:type="dxa"/>
            <w:vAlign w:val="bottom"/>
          </w:tcPr>
          <w:p>
            <w:pPr>
              <w:jc w:val="center"/>
              <w:ind w:right="652"/>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ind w:left="740"/>
              <w:spacing w:after="0"/>
              <w:rPr>
                <w:sz w:val="20"/>
                <w:szCs w:val="20"/>
                <w:color w:val="auto"/>
              </w:rPr>
            </w:pPr>
            <w:r>
              <w:rPr>
                <w:rFonts w:ascii="Arial" w:cs="Arial" w:eastAsia="Arial" w:hAnsi="Arial"/>
                <w:sz w:val="18"/>
                <w:szCs w:val="18"/>
                <w:color w:val="auto"/>
                <w:w w:val="87"/>
              </w:rPr>
              <w:t>November 8,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93</w:t>
      </w:r>
    </w:p>
    <w:p>
      <w:pPr>
        <w:sectPr>
          <w:pgSz w:w="11900" w:h="16838" w:orient="portrait"/>
          <w:cols w:equalWidth="0" w:num="2">
            <w:col w:w="4680" w:space="720"/>
            <w:col w:w="4980"/>
          </w:cols>
          <w:pgMar w:left="320" w:top="127" w:right="119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10.60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Fair Isaac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2021 Long-Term Incentive Plan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Restricted Stock Unit Award Agreement (U.S.)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Terms and Conditions</w:t>
      </w:r>
      <w:r>
        <w:rPr>
          <w:rFonts w:ascii="Arial" w:cs="Arial" w:eastAsia="Arial" w:hAnsi="Arial"/>
          <w:sz w:val="27"/>
          <w:szCs w:val="27"/>
          <w:color w:val="auto"/>
          <w:vertAlign w:val="superscript"/>
        </w:rPr>
        <w:t>1</w:t>
      </w:r>
    </w:p>
    <w:p>
      <w:pPr>
        <w:spacing w:after="0" w:line="176" w:lineRule="exact"/>
        <w:rPr>
          <w:sz w:val="20"/>
          <w:szCs w:val="20"/>
          <w:color w:val="auto"/>
        </w:rPr>
      </w:pPr>
    </w:p>
    <w:p>
      <w:pPr>
        <w:ind w:left="640" w:hanging="635"/>
        <w:spacing w:after="0" w:line="219" w:lineRule="auto"/>
        <w:tabs>
          <w:tab w:leader="none" w:pos="44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color w:val="auto"/>
        </w:rPr>
        <w:t>. The Company hereby grants to you, subject to the terms and conditions in this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 Award Agreement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w:t>
      </w:r>
    </w:p>
    <w:p>
      <w:pPr>
        <w:spacing w:after="0" w:line="177" w:lineRule="exact"/>
        <w:rPr>
          <w:rFonts w:ascii="Arial" w:cs="Arial" w:eastAsia="Arial" w:hAnsi="Arial"/>
          <w:sz w:val="21"/>
          <w:szCs w:val="21"/>
          <w:color w:val="auto"/>
        </w:rPr>
      </w:pPr>
    </w:p>
    <w:p>
      <w:pPr>
        <w:ind w:left="640" w:hanging="635"/>
        <w:spacing w:after="0" w:line="218" w:lineRule="auto"/>
        <w:tabs>
          <w:tab w:leader="none" w:pos="40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Units</w:t>
      </w:r>
      <w:r>
        <w:rPr>
          <w:rFonts w:ascii="Arial" w:cs="Arial" w:eastAsia="Arial" w:hAnsi="Arial"/>
          <w:sz w:val="21"/>
          <w:szCs w:val="21"/>
          <w:color w:val="auto"/>
        </w:rPr>
        <w:t>. Neither this Award nor the Units subject to this Award may be sold, assigned, transferred, exchanged or</w:t>
      </w:r>
      <w:r>
        <w:rPr>
          <w:rFonts w:ascii="Arial" w:cs="Arial" w:eastAsia="Arial" w:hAnsi="Arial"/>
          <w:sz w:val="21"/>
          <w:szCs w:val="21"/>
          <w:b w:val="1"/>
          <w:bCs w:val="1"/>
          <w:color w:val="auto"/>
        </w:rPr>
        <w:t xml:space="preserve"> </w:t>
      </w:r>
      <w:r>
        <w:rPr>
          <w:rFonts w:ascii="Arial" w:cs="Arial" w:eastAsia="Arial" w:hAnsi="Arial"/>
          <w:sz w:val="21"/>
          <w:szCs w:val="21"/>
          <w:color w:val="auto"/>
        </w:rPr>
        <w:t>encumbered other than by a transfer upon your death in accordance with your will, by the applicable laws of descent and distribution or pursuant to a beneficiary designation submitted in accordance with Section 6(d) of the Plan (to the extent such designation is valid under applicable law). Any attempted transfer in violation of this Section 2 shall be of no effect and may result in the forfeiture of all Units. The Units and your right to receive Shares in settlement of the Units under this Agreement shall be subject to forfeiture as provided in Section 4 of this Agreement until satisfaction of the vesting conditions set forth in Section 3 of this Agreement.</w:t>
      </w:r>
    </w:p>
    <w:p>
      <w:pPr>
        <w:spacing w:after="0" w:line="175" w:lineRule="exact"/>
        <w:rPr>
          <w:rFonts w:ascii="Arial" w:cs="Arial" w:eastAsia="Arial" w:hAnsi="Arial"/>
          <w:sz w:val="21"/>
          <w:szCs w:val="21"/>
          <w:color w:val="auto"/>
        </w:rPr>
      </w:pPr>
    </w:p>
    <w:p>
      <w:pPr>
        <w:ind w:left="380" w:hanging="375"/>
        <w:spacing w:after="0"/>
        <w:tabs>
          <w:tab w:leader="none" w:pos="380"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of Units</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jc w:val="both"/>
        <w:ind w:left="640" w:hanging="3"/>
        <w:spacing w:after="0" w:line="228" w:lineRule="auto"/>
        <w:tabs>
          <w:tab w:leader="none" w:pos="1176"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Scheduled Vesting</w:t>
      </w:r>
      <w:r>
        <w:rPr>
          <w:rFonts w:ascii="Arial" w:cs="Arial" w:eastAsia="Arial" w:hAnsi="Arial"/>
          <w:sz w:val="21"/>
          <w:szCs w:val="21"/>
          <w:color w:val="auto"/>
        </w:rPr>
        <w:t>. If you remain a Service Provider to the Company or any of its Affiliates continuously from the Grant Date specified on the cover page of this Agreement, then the Units will vest in the numbers and on the dates specified in the vesting schedule on the cover page of this Agreement.</w:t>
      </w:r>
    </w:p>
    <w:p>
      <w:pPr>
        <w:spacing w:after="0" w:line="180" w:lineRule="exact"/>
        <w:rPr>
          <w:rFonts w:ascii="Arial" w:cs="Arial" w:eastAsia="Arial" w:hAnsi="Arial"/>
          <w:sz w:val="21"/>
          <w:szCs w:val="21"/>
          <w:color w:val="auto"/>
        </w:rPr>
      </w:pPr>
    </w:p>
    <w:p>
      <w:pPr>
        <w:jc w:val="both"/>
        <w:ind w:left="640" w:hanging="3"/>
        <w:spacing w:after="0" w:line="236" w:lineRule="auto"/>
        <w:tabs>
          <w:tab w:leader="none" w:pos="1188"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Continued Vesting</w:t>
      </w:r>
      <w:r>
        <w:rPr>
          <w:rFonts w:ascii="Arial" w:cs="Arial" w:eastAsia="Arial" w:hAnsi="Arial"/>
          <w:sz w:val="19"/>
          <w:szCs w:val="19"/>
          <w:color w:val="auto"/>
        </w:rPr>
        <w:t>. Notwithstanding Section 3(a), vesting of the Units will continue in accordance with the vesting schedule specified on the cover page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schedule specified on the cover page,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3(b), you will forfeit all unvested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671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47" w:lineRule="exact"/>
        <w:rPr>
          <w:sz w:val="20"/>
          <w:szCs w:val="20"/>
          <w:color w:val="auto"/>
        </w:rPr>
      </w:pPr>
    </w:p>
    <w:p>
      <w:pPr>
        <w:ind w:left="640" w:right="300" w:hanging="635"/>
        <w:spacing w:after="0" w:line="191" w:lineRule="auto"/>
        <w:tabs>
          <w:tab w:leader="none" w:pos="241"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To the extent any capitalized term used in this Agreement is not defined, it has the meaning assigned to it in the Plan as the Plan currently exists or as it is amended in the future.</w:t>
      </w:r>
    </w:p>
    <w:p>
      <w:pPr>
        <w:sectPr>
          <w:pgSz w:w="11900" w:h="16838" w:orient="portrait"/>
          <w:cols w:equalWidth="0" w:num="1">
            <w:col w:w="11240"/>
          </w:cols>
          <w:pgMar w:left="320" w:top="135" w:right="339" w:bottom="1440" w:gutter="0" w:footer="0" w:header="0"/>
        </w:sectPr>
      </w:pPr>
    </w:p>
    <w:bookmarkStart w:id="96" w:name="page97"/>
    <w:bookmarkEnd w:id="96"/>
    <w:p>
      <w:pPr>
        <w:spacing w:after="0" w:line="139" w:lineRule="exact"/>
        <w:rPr>
          <w:sz w:val="20"/>
          <w:szCs w:val="20"/>
          <w:color w:val="auto"/>
        </w:rPr>
      </w:pPr>
    </w:p>
    <w:p>
      <w:pPr>
        <w:ind w:left="635"/>
        <w:spacing w:after="0"/>
        <w:rPr>
          <w:sz w:val="20"/>
          <w:szCs w:val="20"/>
          <w:color w:val="auto"/>
        </w:rPr>
      </w:pPr>
      <w:r>
        <w:rPr>
          <w:rFonts w:ascii="Arial" w:cs="Arial" w:eastAsia="Arial" w:hAnsi="Arial"/>
          <w:sz w:val="19"/>
          <w:szCs w:val="19"/>
          <w:color w:val="auto"/>
        </w:rPr>
        <w:t>For purposes of this Award, “Retirement” means the termination of your employment when (i) you (A) are age 55 or older,</w:t>
      </w:r>
    </w:p>
    <w:p>
      <w:pPr>
        <w:spacing w:after="0" w:line="10" w:lineRule="exact"/>
        <w:rPr>
          <w:sz w:val="20"/>
          <w:szCs w:val="20"/>
          <w:color w:val="auto"/>
        </w:rPr>
      </w:pPr>
    </w:p>
    <w:p>
      <w:pPr>
        <w:jc w:val="both"/>
        <w:ind w:left="635" w:hanging="3"/>
        <w:spacing w:after="0" w:line="214" w:lineRule="auto"/>
        <w:tabs>
          <w:tab w:leader="none" w:pos="1012" w:val="left"/>
        </w:tabs>
        <w:numPr>
          <w:ilvl w:val="0"/>
          <w:numId w:val="51"/>
        </w:numPr>
        <w:rPr>
          <w:rFonts w:ascii="Arial" w:cs="Arial" w:eastAsia="Arial" w:hAnsi="Arial"/>
          <w:sz w:val="21"/>
          <w:szCs w:val="21"/>
          <w:color w:val="auto"/>
        </w:rPr>
      </w:pPr>
      <w:r>
        <w:rPr>
          <w:rFonts w:ascii="Arial" w:cs="Arial" w:eastAsia="Arial" w:hAnsi="Arial"/>
          <w:sz w:val="21"/>
          <w:szCs w:val="21"/>
          <w:color w:val="auto"/>
        </w:rPr>
        <w:t>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3(b) shall be paid to you not later than 74 days after the applicable vesting date of the Units as specified on the cover page of this Agreement.</w:t>
      </w:r>
    </w:p>
    <w:p>
      <w:pPr>
        <w:spacing w:after="0" w:line="185" w:lineRule="exact"/>
        <w:rPr>
          <w:sz w:val="20"/>
          <w:szCs w:val="20"/>
          <w:color w:val="auto"/>
        </w:rPr>
      </w:pPr>
    </w:p>
    <w:p>
      <w:pPr>
        <w:jc w:val="both"/>
        <w:ind w:left="635" w:hanging="3"/>
        <w:spacing w:after="0" w:line="244" w:lineRule="auto"/>
        <w:tabs>
          <w:tab w:leader="none" w:pos="1092"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Accelerated Vesting</w:t>
      </w:r>
      <w:r>
        <w:rPr>
          <w:rFonts w:ascii="Arial" w:cs="Arial" w:eastAsia="Arial" w:hAnsi="Arial"/>
          <w:sz w:val="19"/>
          <w:szCs w:val="19"/>
          <w:color w:val="auto"/>
        </w:rPr>
        <w:t>. Vesting of the Units will be accelerated if your Service to the Company or any Affiliate terminates because of your death or Disability, as provided in Section 6(e)(2) of the Plan. Vesting will also be accelerated under the circumstances described in Section 12(d) of the Plan and may be accelerated by action of the Committee in accordance with Sections 3(b)(2), 12(b)(3) and 12(c) of the Plan. Vesting may also be accelerated upon the occurrence of events and in accordance with the terms and conditions specified in any other written agreement you have with the Company.</w:t>
      </w:r>
    </w:p>
    <w:p>
      <w:pPr>
        <w:spacing w:after="0" w:line="172" w:lineRule="exact"/>
        <w:rPr>
          <w:rFonts w:ascii="Arial" w:cs="Arial" w:eastAsia="Arial" w:hAnsi="Arial"/>
          <w:sz w:val="19"/>
          <w:szCs w:val="19"/>
          <w:color w:val="auto"/>
        </w:rPr>
      </w:pPr>
    </w:p>
    <w:p>
      <w:pPr>
        <w:ind w:left="635" w:hanging="635"/>
        <w:spacing w:after="0" w:line="230" w:lineRule="auto"/>
        <w:tabs>
          <w:tab w:leader="none" w:pos="372" w:val="left"/>
        </w:tabs>
        <w:numPr>
          <w:ilvl w:val="0"/>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 Requirement</w:t>
      </w:r>
      <w:r>
        <w:rPr>
          <w:rFonts w:ascii="Arial" w:cs="Arial" w:eastAsia="Arial" w:hAnsi="Arial"/>
          <w:sz w:val="21"/>
          <w:szCs w:val="21"/>
          <w:color w:val="auto"/>
        </w:rPr>
        <w:t>. Except as otherwise provided in accordance with Sections 3(b) or 3(c) of this Agreement, if you cease to</w:t>
      </w:r>
      <w:r>
        <w:rPr>
          <w:rFonts w:ascii="Arial" w:cs="Arial" w:eastAsia="Arial" w:hAnsi="Arial"/>
          <w:sz w:val="21"/>
          <w:szCs w:val="21"/>
          <w:b w:val="1"/>
          <w:bCs w:val="1"/>
          <w:color w:val="auto"/>
        </w:rPr>
        <w:t xml:space="preserve"> </w:t>
      </w:r>
      <w:r>
        <w:rPr>
          <w:rFonts w:ascii="Arial" w:cs="Arial" w:eastAsia="Arial" w:hAnsi="Arial"/>
          <w:sz w:val="21"/>
          <w:szCs w:val="21"/>
          <w:color w:val="auto"/>
        </w:rPr>
        <w:t>be a Service Provider to the Company or any of its Affiliates prior to the vesting date(s) specified on the cover page of this Agreement, you will forfeit all unvested Units.</w:t>
      </w:r>
    </w:p>
    <w:p>
      <w:pPr>
        <w:spacing w:after="0" w:line="174" w:lineRule="exact"/>
        <w:rPr>
          <w:rFonts w:ascii="Arial" w:cs="Arial" w:eastAsia="Arial" w:hAnsi="Arial"/>
          <w:sz w:val="21"/>
          <w:szCs w:val="21"/>
          <w:color w:val="auto"/>
        </w:rPr>
      </w:pPr>
    </w:p>
    <w:p>
      <w:pPr>
        <w:ind w:left="635" w:hanging="635"/>
        <w:spacing w:after="0" w:line="236" w:lineRule="auto"/>
        <w:tabs>
          <w:tab w:leader="none" w:pos="411"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Leave of Absence</w:t>
      </w:r>
      <w:r>
        <w:rPr>
          <w:rFonts w:ascii="Arial" w:cs="Arial" w:eastAsia="Arial" w:hAnsi="Arial"/>
          <w:sz w:val="20"/>
          <w:szCs w:val="20"/>
          <w:color w:val="auto"/>
        </w:rPr>
        <w:t>. Your Service will be deemed continuing while you are on a leave of absence approved by the Company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spacing w:after="0" w:line="174" w:lineRule="exact"/>
        <w:rPr>
          <w:rFonts w:ascii="Arial" w:cs="Arial" w:eastAsia="Arial" w:hAnsi="Arial"/>
          <w:sz w:val="20"/>
          <w:szCs w:val="20"/>
          <w:color w:val="auto"/>
        </w:rPr>
      </w:pPr>
    </w:p>
    <w:p>
      <w:pPr>
        <w:ind w:left="635" w:hanging="635"/>
        <w:spacing w:after="0" w:line="238" w:lineRule="auto"/>
        <w:tabs>
          <w:tab w:leader="none" w:pos="424"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Units</w:t>
      </w:r>
      <w:r>
        <w:rPr>
          <w:rFonts w:ascii="Arial" w:cs="Arial" w:eastAsia="Arial" w:hAnsi="Arial"/>
          <w:sz w:val="19"/>
          <w:szCs w:val="19"/>
          <w:color w:val="auto"/>
        </w:rPr>
        <w:t>. After any Units vest pursuant to Sections 3(a) or 3(c) of this Agreement, the Company shall,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practicable (but in any event within the period specified in Treas. Reg. § 1.409A-1(b)(4) to qualify for a short-term deferral exception to Section 409A of the Code), cause to be issued and delivered to you, or to your validly designated beneficiary or estate in the event of your death, one Share in payment and settlement of each vested Unit (the date of such issuance being the “Settlement Date”). After any Units vest pursuant to Section 3(b)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you at E*TRADE or another broker designated by the Company, or by another method provided by the Company, and shall be subject to the tax withholding provisions of Section 7 of this Agreement and the compliance provisions of Section 15 of this Agreement.</w:t>
      </w:r>
    </w:p>
    <w:p>
      <w:pPr>
        <w:spacing w:after="0" w:line="175" w:lineRule="exact"/>
        <w:rPr>
          <w:rFonts w:ascii="Arial" w:cs="Arial" w:eastAsia="Arial" w:hAnsi="Arial"/>
          <w:sz w:val="19"/>
          <w:szCs w:val="19"/>
          <w:color w:val="auto"/>
        </w:rPr>
      </w:pPr>
    </w:p>
    <w:p>
      <w:pPr>
        <w:ind w:left="635" w:hanging="635"/>
        <w:spacing w:after="0" w:line="246" w:lineRule="auto"/>
        <w:tabs>
          <w:tab w:leader="none" w:pos="464"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You acknowledge that, regardless of any action taken by the Company, the ultimate</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for all income tax, social insurance or other tax-related items related to your participation in the Plan and legally applicable to you (the “Tax-Related Items”) is and remains your responsibility and may exceed the amount actually withheld by the Company. You further acknowledge that the Company (a) makes no representations or undertakings regarding the treatment of any Tax-Related Items in connection with any aspect of the Award or the Shares acquired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-3291840</wp:posOffset>
            </wp:positionV>
            <wp:extent cx="33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15"/>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35"/>
          </w:cols>
          <w:pgMar w:left="325" w:top="1440" w:right="339" w:bottom="1440" w:gutter="0" w:footer="0" w:header="0"/>
        </w:sectPr>
      </w:pPr>
    </w:p>
    <w:bookmarkStart w:id="97" w:name="page98"/>
    <w:bookmarkEnd w:id="97"/>
    <w:p>
      <w:pPr>
        <w:jc w:val="both"/>
        <w:ind w:left="635"/>
        <w:spacing w:after="0" w:line="223" w:lineRule="auto"/>
        <w:rPr>
          <w:sz w:val="20"/>
          <w:szCs w:val="20"/>
          <w:color w:val="auto"/>
        </w:rPr>
      </w:pPr>
      <w:r>
        <w:rPr>
          <w:rFonts w:ascii="Arial" w:cs="Arial" w:eastAsia="Arial" w:hAnsi="Arial"/>
          <w:sz w:val="21"/>
          <w:szCs w:val="21"/>
          <w:color w:val="auto"/>
        </w:rPr>
        <w:t>Award, and (b) does not commit to and is under no obligation to structure the terms of the grant or any aspect of the Award to reduce or eliminate your liability for Tax-Related Items or achieve any particular tax result. Further, if you are subject to Tax-Related Items in more than one jurisdiction, you acknowledge that the Company (or your employer, if different) may be required to withhold or account for Tax-Related Items in more than one jurisdiction.</w:t>
      </w:r>
    </w:p>
    <w:p>
      <w:pPr>
        <w:spacing w:after="0" w:line="155" w:lineRule="exact"/>
        <w:rPr>
          <w:sz w:val="20"/>
          <w:szCs w:val="20"/>
          <w:color w:val="auto"/>
        </w:rPr>
      </w:pPr>
    </w:p>
    <w:p>
      <w:pPr>
        <w:jc w:val="both"/>
        <w:ind w:left="635"/>
        <w:spacing w:after="0" w:line="226" w:lineRule="auto"/>
        <w:rPr>
          <w:sz w:val="20"/>
          <w:szCs w:val="20"/>
          <w:color w:val="auto"/>
        </w:rPr>
      </w:pPr>
      <w:r>
        <w:rPr>
          <w:rFonts w:ascii="Arial" w:cs="Arial" w:eastAsia="Arial" w:hAnsi="Arial"/>
          <w:sz w:val="20"/>
          <w:szCs w:val="20"/>
          <w:color w:val="auto"/>
        </w:rPr>
        <w:t>Prior to the tax withholding event, you agree to make arrangements to satisfy all Tax-Related Items. In this regard, you authorize the Company to satisfy any applicable withholding obligation for the Tax-Related Items through an automatic Share withholding procedure (the “Share Withholding Method”). Under the Share Withholding Method, the Company or its agent will withhold, upon the tax withholding event, a portion of the Shares with a Fair Market Value (measured as of such date) sufficient to cover the Tax-Related Items; provided, however, that the number of any Shares so withheld shall not exceed the number necessary to satisfy the Company’s withholding obligation using the applicable minimum statutory withholding rate or such other rate as may be permitted under the Plan up to the maximum rate applicable in your jurisdiction. You will be deemed to have been issued the full number of Shares subject to the vested Units, notwithstanding that a number of the Shares are held back solely for the purpose of paying the Tax-Related Items.</w:t>
      </w:r>
    </w:p>
    <w:p>
      <w:pPr>
        <w:spacing w:after="0" w:line="156" w:lineRule="exact"/>
        <w:rPr>
          <w:sz w:val="20"/>
          <w:szCs w:val="20"/>
          <w:color w:val="auto"/>
        </w:rPr>
      </w:pPr>
    </w:p>
    <w:p>
      <w:pPr>
        <w:jc w:val="both"/>
        <w:ind w:left="635" w:hanging="420"/>
        <w:spacing w:after="0" w:line="228" w:lineRule="auto"/>
        <w:rPr>
          <w:sz w:val="20"/>
          <w:szCs w:val="20"/>
          <w:color w:val="auto"/>
        </w:rPr>
      </w:pPr>
      <w:r>
        <w:rPr>
          <w:rFonts w:ascii="Arial" w:cs="Arial" w:eastAsia="Arial" w:hAnsi="Arial"/>
          <w:sz w:val="21"/>
          <w:szCs w:val="21"/>
          <w:color w:val="auto"/>
        </w:rPr>
        <w:t>In the event the Committee determines that the Share Withholding Method would be problematic under applicable tax or securities laws or would result in materially adverse accounting consequences, you authorize the Company to collect the Tax-Related Items through, one of the following alternative methods:</w:t>
      </w:r>
    </w:p>
    <w:p>
      <w:pPr>
        <w:spacing w:after="0" w:line="180" w:lineRule="exact"/>
        <w:rPr>
          <w:sz w:val="20"/>
          <w:szCs w:val="20"/>
          <w:color w:val="auto"/>
        </w:rPr>
      </w:pPr>
    </w:p>
    <w:p>
      <w:pPr>
        <w:ind w:left="1115" w:hanging="877"/>
        <w:spacing w:after="0" w:line="223" w:lineRule="auto"/>
        <w:tabs>
          <w:tab w:leader="none" w:pos="719"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use of the proceeds from a next-day sale of the Shares issued to you, provided that (i) such sale is permissible under the Company’s trading policies governing its securities, (ii) you make an irrevocable commitment, on or before a Settlement Date, to effect such sale of the Shares, and (iii) the transaction is not otherwise deemed to constitute a prohibited loan under Section 402 of the Sarbanes-Oxley Act of 2002</w:t>
      </w:r>
    </w:p>
    <w:p>
      <w:pPr>
        <w:spacing w:after="0" w:line="181" w:lineRule="exact"/>
        <w:rPr>
          <w:rFonts w:ascii="Arial" w:cs="Arial" w:eastAsia="Arial" w:hAnsi="Arial"/>
          <w:sz w:val="21"/>
          <w:szCs w:val="21"/>
          <w:color w:val="auto"/>
        </w:rPr>
      </w:pPr>
    </w:p>
    <w:p>
      <w:pPr>
        <w:ind w:left="1115" w:hanging="902"/>
        <w:spacing w:after="0" w:line="237" w:lineRule="auto"/>
        <w:tabs>
          <w:tab w:leader="none" w:pos="6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delivery of your authorization to E*TRADE (or another broker designated by the Company) to transfer to the Company from your account at such broker the amount of such Tax-Related Items;</w:t>
      </w:r>
    </w:p>
    <w:p>
      <w:pPr>
        <w:spacing w:after="0" w:line="181" w:lineRule="exact"/>
        <w:rPr>
          <w:rFonts w:ascii="Arial" w:cs="Arial" w:eastAsia="Arial" w:hAnsi="Arial"/>
          <w:sz w:val="21"/>
          <w:szCs w:val="21"/>
          <w:color w:val="auto"/>
        </w:rPr>
      </w:pPr>
    </w:p>
    <w:p>
      <w:pPr>
        <w:ind w:left="655" w:hanging="444"/>
        <w:spacing w:after="0"/>
        <w:tabs>
          <w:tab w:leader="none" w:pos="655" w:val="left"/>
        </w:tabs>
        <w:numPr>
          <w:ilvl w:val="0"/>
          <w:numId w:val="55"/>
        </w:numPr>
        <w:rPr>
          <w:rFonts w:ascii="Arial" w:cs="Arial" w:eastAsia="Arial" w:hAnsi="Arial"/>
          <w:sz w:val="21"/>
          <w:szCs w:val="21"/>
          <w:color w:val="auto"/>
        </w:rPr>
      </w:pPr>
      <w:r>
        <w:rPr>
          <w:rFonts w:ascii="Arial" w:cs="Arial" w:eastAsia="Arial" w:hAnsi="Arial"/>
          <w:sz w:val="21"/>
          <w:szCs w:val="21"/>
          <w:color w:val="auto"/>
        </w:rPr>
        <w:t>withholding from your wages or other cash compensation paid to you by the Company; and/or</w:t>
      </w:r>
    </w:p>
    <w:p>
      <w:pPr>
        <w:spacing w:after="0" w:line="205" w:lineRule="exact"/>
        <w:rPr>
          <w:rFonts w:ascii="Arial" w:cs="Arial" w:eastAsia="Arial" w:hAnsi="Arial"/>
          <w:sz w:val="21"/>
          <w:szCs w:val="21"/>
          <w:color w:val="auto"/>
        </w:rPr>
      </w:pPr>
    </w:p>
    <w:p>
      <w:pPr>
        <w:ind w:left="675" w:hanging="464"/>
        <w:spacing w:after="0"/>
        <w:tabs>
          <w:tab w:leader="none" w:pos="675" w:val="left"/>
        </w:tabs>
        <w:numPr>
          <w:ilvl w:val="0"/>
          <w:numId w:val="55"/>
        </w:numPr>
        <w:rPr>
          <w:rFonts w:ascii="Arial" w:cs="Arial" w:eastAsia="Arial" w:hAnsi="Arial"/>
          <w:sz w:val="21"/>
          <w:szCs w:val="21"/>
          <w:color w:val="auto"/>
        </w:rPr>
      </w:pPr>
      <w:r>
        <w:rPr>
          <w:rFonts w:ascii="Arial" w:cs="Arial" w:eastAsia="Arial" w:hAnsi="Arial"/>
          <w:sz w:val="21"/>
          <w:szCs w:val="21"/>
          <w:color w:val="auto"/>
        </w:rPr>
        <w:t>any other method approved by the Company and permitted under applicable law.</w:t>
      </w:r>
    </w:p>
    <w:p>
      <w:pPr>
        <w:spacing w:after="0" w:line="206" w:lineRule="exact"/>
        <w:rPr>
          <w:sz w:val="20"/>
          <w:szCs w:val="20"/>
          <w:color w:val="auto"/>
        </w:rPr>
      </w:pPr>
    </w:p>
    <w:p>
      <w:pPr>
        <w:ind w:left="635" w:hanging="385"/>
        <w:spacing w:after="0" w:line="237" w:lineRule="auto"/>
        <w:rPr>
          <w:sz w:val="20"/>
          <w:szCs w:val="20"/>
          <w:color w:val="auto"/>
        </w:rPr>
      </w:pPr>
      <w:r>
        <w:rPr>
          <w:rFonts w:ascii="Arial" w:cs="Arial" w:eastAsia="Arial" w:hAnsi="Arial"/>
          <w:sz w:val="21"/>
          <w:szCs w:val="21"/>
          <w:color w:val="auto"/>
        </w:rPr>
        <w:t>In the event of any over-withholding, you will have no entitlement to the over-withheld amount in Shares and such amounts will be refunded to you in cash in accordance with applicable law.</w:t>
      </w:r>
    </w:p>
    <w:p>
      <w:pPr>
        <w:spacing w:after="0" w:line="181" w:lineRule="exact"/>
        <w:rPr>
          <w:sz w:val="20"/>
          <w:szCs w:val="20"/>
          <w:color w:val="auto"/>
        </w:rPr>
      </w:pPr>
    </w:p>
    <w:p>
      <w:pPr>
        <w:ind w:left="635" w:hanging="339"/>
        <w:spacing w:after="0" w:line="237" w:lineRule="auto"/>
        <w:rPr>
          <w:sz w:val="20"/>
          <w:szCs w:val="20"/>
          <w:color w:val="auto"/>
        </w:rPr>
      </w:pPr>
      <w:r>
        <w:rPr>
          <w:rFonts w:ascii="Arial" w:cs="Arial" w:eastAsia="Arial" w:hAnsi="Arial"/>
          <w:sz w:val="21"/>
          <w:szCs w:val="21"/>
          <w:color w:val="auto"/>
        </w:rPr>
        <w:t>The Company may refuse to issue or deliver the Shares or the proceeds of the sale of Shares, if you fail to comply with your obligations in connection with the Tax-Related Items.</w:t>
      </w:r>
    </w:p>
    <w:p>
      <w:pPr>
        <w:spacing w:after="0" w:line="175" w:lineRule="exact"/>
        <w:rPr>
          <w:sz w:val="20"/>
          <w:szCs w:val="20"/>
          <w:color w:val="auto"/>
        </w:rPr>
      </w:pPr>
    </w:p>
    <w:p>
      <w:pPr>
        <w:ind w:left="635" w:hanging="635"/>
        <w:spacing w:after="0" w:line="230" w:lineRule="auto"/>
        <w:tabs>
          <w:tab w:leader="none" w:pos="385"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No Shareholder Rights Before Settlement</w:t>
      </w:r>
      <w:r>
        <w:rPr>
          <w:rFonts w:ascii="Arial" w:cs="Arial" w:eastAsia="Arial" w:hAnsi="Arial"/>
          <w:sz w:val="21"/>
          <w:szCs w:val="21"/>
          <w:color w:val="auto"/>
        </w:rPr>
        <w:t>. The Units subject to this Award do not entitle you to any rights of a shareholder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You will not have any of the rights of a shareholder of the Company in connection with the grant of Units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5"/>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35"/>
          </w:cols>
          <w:pgMar w:left="325" w:top="1368" w:right="339" w:bottom="1440" w:gutter="0" w:footer="0" w:header="0"/>
        </w:sectPr>
      </w:pPr>
    </w:p>
    <w:bookmarkStart w:id="98" w:name="page99"/>
    <w:bookmarkEnd w:id="98"/>
    <w:p>
      <w:pPr>
        <w:ind w:left="635"/>
        <w:spacing w:after="0"/>
        <w:rPr>
          <w:sz w:val="20"/>
          <w:szCs w:val="20"/>
          <w:color w:val="auto"/>
        </w:rPr>
      </w:pPr>
      <w:r>
        <w:rPr>
          <w:rFonts w:ascii="Arial" w:cs="Arial" w:eastAsia="Arial" w:hAnsi="Arial"/>
          <w:sz w:val="19"/>
          <w:szCs w:val="19"/>
          <w:color w:val="auto"/>
        </w:rPr>
        <w:t>this Award unless and until Shares are issued to you upon settlement of the Units as provided in Section 6 of this Agreement.</w:t>
      </w:r>
    </w:p>
    <w:p>
      <w:pPr>
        <w:spacing w:after="0" w:line="223" w:lineRule="exact"/>
        <w:rPr>
          <w:sz w:val="20"/>
          <w:szCs w:val="20"/>
          <w:color w:val="auto"/>
        </w:rPr>
      </w:pPr>
    </w:p>
    <w:p>
      <w:pPr>
        <w:ind w:left="635" w:hanging="635"/>
        <w:spacing w:after="0" w:line="230" w:lineRule="auto"/>
        <w:tabs>
          <w:tab w:leader="none" w:pos="398"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Discontinuance of Service</w:t>
      </w:r>
      <w:r>
        <w:rPr>
          <w:rFonts w:ascii="Arial" w:cs="Arial" w:eastAsia="Arial" w:hAnsi="Arial"/>
          <w:sz w:val="21"/>
          <w:szCs w:val="21"/>
          <w:color w:val="auto"/>
        </w:rPr>
        <w:t>. This Agreement does not give you a right to continued Service with the Company or any Affiliate,</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Company or any such Affiliate may terminate your Service at any time and otherwise deal with you without regard to the effect it may have upon you under this Agreement.</w:t>
      </w:r>
    </w:p>
    <w:p>
      <w:pPr>
        <w:spacing w:after="0" w:line="174" w:lineRule="exact"/>
        <w:rPr>
          <w:rFonts w:ascii="Arial" w:cs="Arial" w:eastAsia="Arial" w:hAnsi="Arial"/>
          <w:sz w:val="21"/>
          <w:szCs w:val="21"/>
          <w:color w:val="auto"/>
        </w:rPr>
      </w:pPr>
    </w:p>
    <w:p>
      <w:pPr>
        <w:jc w:val="both"/>
        <w:ind w:left="635" w:hanging="635"/>
        <w:spacing w:after="0" w:line="224" w:lineRule="auto"/>
        <w:tabs>
          <w:tab w:leader="none" w:pos="661"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Plan Document</w:t>
      </w:r>
      <w:r>
        <w:rPr>
          <w:rFonts w:ascii="Arial" w:cs="Arial" w:eastAsia="Arial" w:hAnsi="Arial"/>
          <w:sz w:val="21"/>
          <w:szCs w:val="21"/>
          <w:color w:val="auto"/>
        </w:rPr>
        <w:t>. This Agreement and the Award are subject to all the provisions of the Plan, and to all</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77" w:lineRule="exact"/>
        <w:rPr>
          <w:rFonts w:ascii="Arial" w:cs="Arial" w:eastAsia="Arial" w:hAnsi="Arial"/>
          <w:sz w:val="21"/>
          <w:szCs w:val="21"/>
          <w:color w:val="auto"/>
        </w:rPr>
      </w:pPr>
    </w:p>
    <w:p>
      <w:pPr>
        <w:ind w:left="635" w:hanging="635"/>
        <w:spacing w:after="0" w:line="224" w:lineRule="auto"/>
        <w:tabs>
          <w:tab w:leader="none" w:pos="522"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w:t>
      </w:r>
      <w:r>
        <w:rPr>
          <w:rFonts w:ascii="Arial" w:cs="Arial" w:eastAsia="Arial" w:hAnsi="Arial"/>
          <w:sz w:val="21"/>
          <w:szCs w:val="21"/>
          <w:b w:val="1"/>
          <w:bCs w:val="1"/>
          <w:color w:val="auto"/>
        </w:rPr>
        <w:t xml:space="preserve"> </w:t>
      </w:r>
      <w:r>
        <w:rPr>
          <w:rFonts w:ascii="Arial" w:cs="Arial" w:eastAsia="Arial" w:hAnsi="Arial"/>
          <w:sz w:val="21"/>
          <w:szCs w:val="21"/>
          <w:color w:val="auto"/>
        </w:rPr>
        <w:t>any 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177" w:lineRule="exact"/>
        <w:rPr>
          <w:rFonts w:ascii="Arial" w:cs="Arial" w:eastAsia="Arial" w:hAnsi="Arial"/>
          <w:sz w:val="21"/>
          <w:szCs w:val="21"/>
          <w:color w:val="auto"/>
        </w:rPr>
      </w:pPr>
    </w:p>
    <w:p>
      <w:pPr>
        <w:ind w:left="635" w:hanging="635"/>
        <w:spacing w:after="0" w:line="232" w:lineRule="auto"/>
        <w:tabs>
          <w:tab w:leader="none" w:pos="490" w:val="left"/>
        </w:tabs>
        <w:numPr>
          <w:ilvl w:val="0"/>
          <w:numId w:val="57"/>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color w:val="auto"/>
        </w:rPr>
        <w:t>. This Award and Agreement will be interpreted and construed in accordance with and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Participants who primarily reside and work in California.</w:t>
      </w:r>
    </w:p>
    <w:p>
      <w:pPr>
        <w:spacing w:after="0" w:line="177" w:lineRule="exact"/>
        <w:rPr>
          <w:rFonts w:ascii="Arial" w:cs="Arial" w:eastAsia="Arial" w:hAnsi="Arial"/>
          <w:sz w:val="20"/>
          <w:szCs w:val="20"/>
          <w:color w:val="auto"/>
        </w:rPr>
      </w:pPr>
    </w:p>
    <w:p>
      <w:pPr>
        <w:ind w:left="635" w:hanging="635"/>
        <w:spacing w:after="0" w:line="241" w:lineRule="auto"/>
        <w:tabs>
          <w:tab w:leader="none" w:pos="516"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color w:val="auto"/>
        </w:rPr>
        <w:t>. This Agreement will be binding in all respects on your heirs, representatives, successors and assigns, and on</w:t>
      </w:r>
      <w:r>
        <w:rPr>
          <w:rFonts w:ascii="Arial" w:cs="Arial" w:eastAsia="Arial" w:hAnsi="Arial"/>
          <w:sz w:val="21"/>
          <w:szCs w:val="21"/>
          <w:b w:val="1"/>
          <w:bCs w:val="1"/>
          <w:color w:val="auto"/>
        </w:rPr>
        <w:t xml:space="preserve"> </w:t>
      </w:r>
      <w:r>
        <w:rPr>
          <w:rFonts w:ascii="Arial" w:cs="Arial" w:eastAsia="Arial" w:hAnsi="Arial"/>
          <w:sz w:val="21"/>
          <w:szCs w:val="21"/>
          <w:color w:val="auto"/>
        </w:rPr>
        <w:t>the successors and assigns of the Company.</w:t>
      </w:r>
    </w:p>
    <w:p>
      <w:pPr>
        <w:spacing w:after="0" w:line="172" w:lineRule="exact"/>
        <w:rPr>
          <w:rFonts w:ascii="Arial" w:cs="Arial" w:eastAsia="Arial" w:hAnsi="Arial"/>
          <w:sz w:val="21"/>
          <w:szCs w:val="21"/>
          <w:color w:val="auto"/>
        </w:rPr>
      </w:pPr>
    </w:p>
    <w:p>
      <w:pPr>
        <w:ind w:left="635" w:hanging="635"/>
        <w:spacing w:after="0" w:line="225" w:lineRule="auto"/>
        <w:tabs>
          <w:tab w:leader="none" w:pos="490" w:val="left"/>
        </w:tabs>
        <w:numPr>
          <w:ilvl w:val="0"/>
          <w:numId w:val="57"/>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Law</w:t>
      </w:r>
      <w:r>
        <w:rPr>
          <w:rFonts w:ascii="Arial" w:cs="Arial" w:eastAsia="Arial" w:hAnsi="Arial"/>
          <w:sz w:val="20"/>
          <w:szCs w:val="20"/>
          <w:color w:val="auto"/>
        </w:rPr>
        <w:t>. Notwithstanding any other provision of the Plan or this Agreement, unless there is an exemption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any 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81" w:lineRule="exact"/>
        <w:rPr>
          <w:rFonts w:ascii="Arial" w:cs="Arial" w:eastAsia="Arial" w:hAnsi="Arial"/>
          <w:sz w:val="20"/>
          <w:szCs w:val="20"/>
          <w:color w:val="auto"/>
        </w:rPr>
      </w:pPr>
    </w:p>
    <w:p>
      <w:pPr>
        <w:jc w:val="both"/>
        <w:ind w:left="635" w:hanging="635"/>
        <w:spacing w:after="0" w:line="242" w:lineRule="auto"/>
        <w:tabs>
          <w:tab w:leader="none" w:pos="569" w:val="left"/>
        </w:tabs>
        <w:numPr>
          <w:ilvl w:val="0"/>
          <w:numId w:val="57"/>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 of Company Policy as to Trades in the Company’s Securities By Company Personnel and Confidential Information” and that you are responsible for ensuring compliance with the restrictions and requirements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5"/>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35"/>
          </w:cols>
          <w:pgMar w:left="325" w:top="1368" w:right="339" w:bottom="1440" w:gutter="0" w:footer="0" w:header="0"/>
        </w:sectPr>
      </w:pPr>
    </w:p>
    <w:bookmarkStart w:id="99" w:name="page100"/>
    <w:bookmarkEnd w:id="99"/>
    <w:p>
      <w:pPr>
        <w:ind w:left="640" w:hanging="635"/>
        <w:spacing w:after="0" w:line="224" w:lineRule="auto"/>
        <w:tabs>
          <w:tab w:leader="none" w:pos="535"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77" w:lineRule="exact"/>
        <w:rPr>
          <w:rFonts w:ascii="Arial" w:cs="Arial" w:eastAsia="Arial" w:hAnsi="Arial"/>
          <w:sz w:val="21"/>
          <w:szCs w:val="21"/>
          <w:color w:val="auto"/>
        </w:rPr>
      </w:pPr>
    </w:p>
    <w:p>
      <w:pPr>
        <w:ind w:left="640" w:hanging="635"/>
        <w:spacing w:after="0" w:line="224" w:lineRule="auto"/>
        <w:tabs>
          <w:tab w:leader="none" w:pos="522"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any documents related to</w:t>
      </w:r>
      <w:r>
        <w:rPr>
          <w:rFonts w:ascii="Arial" w:cs="Arial" w:eastAsia="Arial" w:hAnsi="Arial"/>
          <w:sz w:val="21"/>
          <w:szCs w:val="21"/>
          <w:b w:val="1"/>
          <w:bCs w:val="1"/>
          <w:color w:val="auto"/>
        </w:rPr>
        <w:t xml:space="preserve"> </w:t>
      </w:r>
      <w:r>
        <w:rPr>
          <w:rFonts w:ascii="Arial" w:cs="Arial" w:eastAsia="Arial" w:hAnsi="Arial"/>
          <w:sz w:val="21"/>
          <w:szCs w:val="21"/>
          <w:color w:val="auto"/>
        </w:rPr>
        <w:t>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77" w:lineRule="exact"/>
        <w:rPr>
          <w:rFonts w:ascii="Arial" w:cs="Arial" w:eastAsia="Arial" w:hAnsi="Arial"/>
          <w:sz w:val="21"/>
          <w:szCs w:val="21"/>
          <w:color w:val="auto"/>
        </w:rPr>
      </w:pPr>
    </w:p>
    <w:p>
      <w:pPr>
        <w:ind w:left="640" w:hanging="635"/>
        <w:spacing w:after="0" w:line="232" w:lineRule="auto"/>
        <w:tabs>
          <w:tab w:leader="none" w:pos="522" w:val="left"/>
        </w:tabs>
        <w:numPr>
          <w:ilvl w:val="0"/>
          <w:numId w:val="58"/>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Units as provided in this Agreement and any issuance of Shares or payment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intended to either be exempt from or comply with Section 409A of the Code so as not to subject you to payment of any additional tax, penalty or interest imposed under Section 409A of the Code. The provisions of this Award shall be construed and interpreted to avoid the imputation of any such additional tax, penalty or interest under Section 409A of the Code yet preserve (to the nearest extent reasonably possible) the intended benefit payable to you.</w:t>
      </w:r>
    </w:p>
    <w:p>
      <w:pPr>
        <w:spacing w:after="0" w:line="177" w:lineRule="exact"/>
        <w:rPr>
          <w:rFonts w:ascii="Arial" w:cs="Arial" w:eastAsia="Arial" w:hAnsi="Arial"/>
          <w:sz w:val="20"/>
          <w:szCs w:val="20"/>
          <w:color w:val="auto"/>
        </w:rPr>
      </w:pPr>
    </w:p>
    <w:p>
      <w:pPr>
        <w:ind w:left="640" w:hanging="635"/>
        <w:spacing w:after="0" w:line="232" w:lineRule="auto"/>
        <w:tabs>
          <w:tab w:leader="none" w:pos="535" w:val="left"/>
        </w:tabs>
        <w:numPr>
          <w:ilvl w:val="0"/>
          <w:numId w:val="58"/>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 Recovery Policy</w:t>
      </w:r>
      <w:r>
        <w:rPr>
          <w:rFonts w:ascii="Arial" w:cs="Arial" w:eastAsia="Arial" w:hAnsi="Arial"/>
          <w:sz w:val="20"/>
          <w:szCs w:val="20"/>
          <w:color w:val="auto"/>
        </w:rPr>
        <w:t>. To the extent that this Award is subject to recovery under any law, government regulation,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exchange listing requirement or recoupment policy adopted by the Company, it will be subject to such deductions and clawback as may be required to be made pursuant to such law, government regulation, stock exchange listing requirement or recoupment policy adopted by the Company (including, but not limited to, a policy adopted by the Company in response to any such law, government regulation or stock exchange listing requirement).</w:t>
      </w:r>
    </w:p>
    <w:p>
      <w:pPr>
        <w:spacing w:after="0" w:line="177" w:lineRule="exact"/>
        <w:rPr>
          <w:rFonts w:ascii="Arial" w:cs="Arial" w:eastAsia="Arial" w:hAnsi="Arial"/>
          <w:sz w:val="20"/>
          <w:szCs w:val="20"/>
          <w:color w:val="auto"/>
        </w:rPr>
      </w:pPr>
    </w:p>
    <w:p>
      <w:pPr>
        <w:ind w:left="640" w:hanging="635"/>
        <w:spacing w:after="0" w:line="291" w:lineRule="auto"/>
        <w:tabs>
          <w:tab w:leader="none" w:pos="495"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You acknowledge that a waiver by the Company of breach of any provision of this Agreement shall not operate or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 waiver of any other provision of this Agreement, or of any subsequent breach by you or any other Participant.</w:t>
      </w:r>
    </w:p>
    <w:p>
      <w:pPr>
        <w:spacing w:after="0" w:line="128" w:lineRule="exact"/>
        <w:rPr>
          <w:rFonts w:ascii="Arial" w:cs="Arial" w:eastAsia="Arial" w:hAnsi="Arial"/>
          <w:sz w:val="19"/>
          <w:szCs w:val="19"/>
          <w:color w:val="auto"/>
        </w:rPr>
      </w:pPr>
    </w:p>
    <w:p>
      <w:pPr>
        <w:ind w:left="640" w:hanging="635"/>
        <w:spacing w:after="0" w:line="291" w:lineRule="auto"/>
        <w:tabs>
          <w:tab w:leader="none" w:pos="495"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21"/>
          <w:szCs w:val="21"/>
          <w:b w:val="1"/>
          <w:bCs w:val="1"/>
          <w:i w:val="1"/>
          <w:iCs w:val="1"/>
          <w:color w:val="auto"/>
        </w:rPr>
        <w:t>By accepting this Award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62" w:right="339" w:bottom="1440" w:gutter="0" w:footer="0" w:header="0"/>
        </w:sectPr>
      </w:pPr>
    </w:p>
    <w:bookmarkStart w:id="100" w:name="page101"/>
    <w:bookmarkEnd w:id="100"/>
    <w:p>
      <w:pPr>
        <w:ind w:left="10100"/>
        <w:spacing w:after="0"/>
        <w:rPr>
          <w:sz w:val="20"/>
          <w:szCs w:val="20"/>
          <w:color w:val="auto"/>
        </w:rPr>
      </w:pPr>
      <w:r>
        <w:rPr>
          <w:rFonts w:ascii="Arial" w:cs="Arial" w:eastAsia="Arial" w:hAnsi="Arial"/>
          <w:sz w:val="18"/>
          <w:szCs w:val="18"/>
          <w:b w:val="1"/>
          <w:bCs w:val="1"/>
          <w:color w:val="auto"/>
        </w:rPr>
        <w:t>Exhibit 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Fair Isaac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2021 Long-Term Incentive Plan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Non-Statutory Stock Option Agreement (U.S.)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Option Terms and Conditions</w:t>
      </w:r>
      <w:r>
        <w:rPr>
          <w:rFonts w:ascii="Arial" w:cs="Arial" w:eastAsia="Arial" w:hAnsi="Arial"/>
          <w:sz w:val="27"/>
          <w:szCs w:val="27"/>
          <w:color w:val="auto"/>
          <w:vertAlign w:val="superscript"/>
        </w:rPr>
        <w:t>1</w:t>
      </w:r>
    </w:p>
    <w:p>
      <w:pPr>
        <w:spacing w:after="0" w:line="176" w:lineRule="exact"/>
        <w:rPr>
          <w:sz w:val="20"/>
          <w:szCs w:val="20"/>
          <w:color w:val="auto"/>
        </w:rPr>
      </w:pPr>
    </w:p>
    <w:p>
      <w:pPr>
        <w:jc w:val="both"/>
        <w:ind w:left="640" w:hanging="319"/>
        <w:spacing w:after="0" w:line="242" w:lineRule="auto"/>
        <w:tabs>
          <w:tab w:leader="none" w:pos="759" w:val="left"/>
        </w:tabs>
        <w:numPr>
          <w:ilvl w:val="0"/>
          <w:numId w:val="59"/>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Stock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you, subject to the terms and conditions in this Executive Non-Statutory Stock Option Agreement (the “Agreement”) and subject to the terms and conditions of the Plan, an option to purchase the number of Shares specified on the cover page of this Agreement (the “Option”).</w:t>
      </w:r>
    </w:p>
    <w:p>
      <w:pPr>
        <w:spacing w:after="0" w:line="172" w:lineRule="exact"/>
        <w:rPr>
          <w:rFonts w:ascii="Arial" w:cs="Arial" w:eastAsia="Arial" w:hAnsi="Arial"/>
          <w:sz w:val="20"/>
          <w:szCs w:val="20"/>
          <w:color w:val="auto"/>
        </w:rPr>
      </w:pPr>
    </w:p>
    <w:p>
      <w:pPr>
        <w:ind w:left="640" w:hanging="319"/>
        <w:spacing w:after="0" w:line="241" w:lineRule="auto"/>
        <w:tabs>
          <w:tab w:leader="none" w:pos="719"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Non-Statutory Stock Option</w:t>
      </w:r>
      <w:r>
        <w:rPr>
          <w:rFonts w:ascii="Arial" w:cs="Arial" w:eastAsia="Arial" w:hAnsi="Arial"/>
          <w:sz w:val="21"/>
          <w:szCs w:val="21"/>
          <w:color w:val="auto"/>
        </w:rPr>
        <w:t>. This Option 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not</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be an “incentive stock option” within the meaning of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422 of the Code and will be interpreted accordingly.</w:t>
      </w:r>
    </w:p>
    <w:p>
      <w:pPr>
        <w:spacing w:after="0" w:line="172" w:lineRule="exact"/>
        <w:rPr>
          <w:rFonts w:ascii="Arial" w:cs="Arial" w:eastAsia="Arial" w:hAnsi="Arial"/>
          <w:sz w:val="21"/>
          <w:szCs w:val="21"/>
          <w:color w:val="auto"/>
        </w:rPr>
      </w:pPr>
    </w:p>
    <w:p>
      <w:pPr>
        <w:jc w:val="both"/>
        <w:ind w:left="640" w:hanging="319"/>
        <w:spacing w:after="0" w:line="219" w:lineRule="auto"/>
        <w:tabs>
          <w:tab w:leader="none" w:pos="719" w:val="left"/>
        </w:tabs>
        <w:numPr>
          <w:ilvl w:val="0"/>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and Exercise Schedule</w:t>
      </w:r>
      <w:r>
        <w:rPr>
          <w:rFonts w:ascii="Arial" w:cs="Arial" w:eastAsia="Arial" w:hAnsi="Arial"/>
          <w:sz w:val="21"/>
          <w:szCs w:val="21"/>
          <w:color w:val="auto"/>
        </w:rPr>
        <w:t>. This Option will vest and become exercisable as to the portion of Shares and on the dates</w:t>
      </w:r>
      <w:r>
        <w:rPr>
          <w:rFonts w:ascii="Arial" w:cs="Arial" w:eastAsia="Arial" w:hAnsi="Arial"/>
          <w:sz w:val="21"/>
          <w:szCs w:val="21"/>
          <w:b w:val="1"/>
          <w:bCs w:val="1"/>
          <w:color w:val="auto"/>
        </w:rPr>
        <w:t xml:space="preserve"> </w:t>
      </w:r>
      <w:r>
        <w:rPr>
          <w:rFonts w:ascii="Arial" w:cs="Arial" w:eastAsia="Arial" w:hAnsi="Arial"/>
          <w:sz w:val="21"/>
          <w:szCs w:val="21"/>
          <w:color w:val="auto"/>
        </w:rPr>
        <w:t>specified on the cover page to this Agreement, so long as you remain a Service Provider or you meet the conditions set forth in Section 6 of this Agreement.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184" w:lineRule="exact"/>
        <w:rPr>
          <w:sz w:val="20"/>
          <w:szCs w:val="20"/>
          <w:color w:val="auto"/>
        </w:rPr>
      </w:pPr>
    </w:p>
    <w:p>
      <w:pPr>
        <w:jc w:val="both"/>
        <w:ind w:left="640" w:hanging="392"/>
        <w:spacing w:after="0" w:line="229" w:lineRule="auto"/>
        <w:rPr>
          <w:sz w:val="20"/>
          <w:szCs w:val="20"/>
          <w:color w:val="auto"/>
        </w:rPr>
      </w:pPr>
      <w:r>
        <w:rPr>
          <w:rFonts w:ascii="Arial" w:cs="Arial" w:eastAsia="Arial" w:hAnsi="Arial"/>
          <w:sz w:val="20"/>
          <w:szCs w:val="20"/>
          <w:color w:val="auto"/>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12(d) of the Plan and may be accelerated (or, as applicable, waived) by action of the Committee in accordance with Sections 3(b)(2), 12(b)(2), 12(b)(3) and 12(c) of the Plan. Vesting and exercisability may also be accelerated upon the occurrence of events and in accordance with the terms and conditions specified in any other written agreement you have with the Company.</w:t>
      </w:r>
    </w:p>
    <w:p>
      <w:pPr>
        <w:spacing w:after="0" w:line="177" w:lineRule="exact"/>
        <w:rPr>
          <w:sz w:val="20"/>
          <w:szCs w:val="20"/>
          <w:color w:val="auto"/>
        </w:rPr>
      </w:pPr>
    </w:p>
    <w:p>
      <w:pPr>
        <w:ind w:left="680" w:hanging="359"/>
        <w:spacing w:after="0"/>
        <w:tabs>
          <w:tab w:leader="none" w:pos="680" w:val="left"/>
        </w:tabs>
        <w:numPr>
          <w:ilvl w:val="1"/>
          <w:numId w:val="60"/>
        </w:numPr>
        <w:rPr>
          <w:rFonts w:ascii="Arial" w:cs="Arial" w:eastAsia="Arial" w:hAnsi="Arial"/>
          <w:sz w:val="21"/>
          <w:szCs w:val="21"/>
          <w:color w:val="auto"/>
        </w:rPr>
      </w:pPr>
      <w:r>
        <w:rPr>
          <w:rFonts w:ascii="Arial" w:cs="Arial" w:eastAsia="Arial" w:hAnsi="Arial"/>
          <w:sz w:val="21"/>
          <w:szCs w:val="21"/>
          <w:b w:val="1"/>
          <w:bCs w:val="1"/>
          <w:u w:val="single" w:color="auto"/>
          <w:color w:val="auto"/>
        </w:rPr>
        <w:t>Expiration</w:t>
      </w:r>
      <w:r>
        <w:rPr>
          <w:rFonts w:ascii="Arial" w:cs="Arial" w:eastAsia="Arial" w:hAnsi="Arial"/>
          <w:sz w:val="21"/>
          <w:szCs w:val="21"/>
          <w:color w:val="auto"/>
        </w:rPr>
        <w:t>. This Option will expire and will no longer be exercisable at 5:00 p.m. Central Time on the earliest of:</w:t>
      </w:r>
    </w:p>
    <w:p>
      <w:pPr>
        <w:spacing w:after="0" w:line="211" w:lineRule="exact"/>
        <w:rPr>
          <w:rFonts w:ascii="Arial" w:cs="Arial" w:eastAsia="Arial" w:hAnsi="Arial"/>
          <w:sz w:val="21"/>
          <w:szCs w:val="21"/>
          <w:color w:val="auto"/>
        </w:rPr>
      </w:pPr>
    </w:p>
    <w:p>
      <w:pPr>
        <w:ind w:left="1080" w:hanging="443"/>
        <w:spacing w:after="0"/>
        <w:tabs>
          <w:tab w:leader="none" w:pos="1080"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expiration date specified on the cover page of this Agreement;</w:t>
      </w:r>
    </w:p>
    <w:p>
      <w:pPr>
        <w:spacing w:after="0" w:line="205" w:lineRule="exact"/>
        <w:rPr>
          <w:rFonts w:ascii="Arial" w:cs="Arial" w:eastAsia="Arial" w:hAnsi="Arial"/>
          <w:sz w:val="21"/>
          <w:szCs w:val="21"/>
          <w:color w:val="auto"/>
        </w:rPr>
      </w:pPr>
    </w:p>
    <w:p>
      <w:pPr>
        <w:ind w:left="1260" w:hanging="623"/>
        <w:spacing w:after="0" w:line="237" w:lineRule="auto"/>
        <w:tabs>
          <w:tab w:leader="none" w:pos="1110"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expiration of any applicable period specified in Section 6(e) of the Plan during which this Option may be exercised after your termination of Service, except as set forth in Section 6 of this Agreement;</w:t>
      </w:r>
    </w:p>
    <w:p>
      <w:pPr>
        <w:spacing w:after="0" w:line="181" w:lineRule="exact"/>
        <w:rPr>
          <w:rFonts w:ascii="Arial" w:cs="Arial" w:eastAsia="Arial" w:hAnsi="Arial"/>
          <w:sz w:val="21"/>
          <w:szCs w:val="21"/>
          <w:color w:val="auto"/>
        </w:rPr>
      </w:pPr>
    </w:p>
    <w:p>
      <w:pPr>
        <w:ind w:left="1260" w:hanging="623"/>
        <w:spacing w:after="0" w:line="258" w:lineRule="auto"/>
        <w:tabs>
          <w:tab w:leader="none" w:pos="1113" w:val="left"/>
        </w:tabs>
        <w:numPr>
          <w:ilvl w:val="2"/>
          <w:numId w:val="60"/>
        </w:numPr>
        <w:rPr>
          <w:rFonts w:ascii="Arial" w:cs="Arial" w:eastAsia="Arial" w:hAnsi="Arial"/>
          <w:sz w:val="20"/>
          <w:szCs w:val="20"/>
          <w:color w:val="auto"/>
        </w:rPr>
      </w:pPr>
      <w:r>
        <w:rPr>
          <w:rFonts w:ascii="Arial" w:cs="Arial" w:eastAsia="Arial" w:hAnsi="Arial"/>
          <w:sz w:val="20"/>
          <w:szCs w:val="20"/>
          <w:color w:val="auto"/>
        </w:rPr>
        <w:t>if the Committee has taken action to accelerate exercisability in accordance with Sections 3(b)(2), 12(b)(3) or 12(c) of the Plan, the expiration of any applicable exercise period specified by the Committee pursuant to such action;</w:t>
      </w:r>
    </w:p>
    <w:p>
      <w:pPr>
        <w:spacing w:after="0" w:line="163" w:lineRule="exact"/>
        <w:rPr>
          <w:rFonts w:ascii="Arial" w:cs="Arial" w:eastAsia="Arial" w:hAnsi="Arial"/>
          <w:sz w:val="20"/>
          <w:szCs w:val="20"/>
          <w:color w:val="auto"/>
        </w:rPr>
      </w:pPr>
    </w:p>
    <w:p>
      <w:pPr>
        <w:ind w:left="1100" w:hanging="463"/>
        <w:spacing w:after="0"/>
        <w:tabs>
          <w:tab w:leader="none" w:pos="1100"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date (if any) fixed for cancellation of this Option pursuant to Section 12(b)(2) or 12(d) of the Plan; or</w:t>
      </w:r>
    </w:p>
    <w:p>
      <w:pPr>
        <w:spacing w:after="0" w:line="266" w:lineRule="exact"/>
        <w:rPr>
          <w:rFonts w:ascii="Arial" w:cs="Arial" w:eastAsia="Arial" w:hAnsi="Arial"/>
          <w:sz w:val="21"/>
          <w:szCs w:val="21"/>
          <w:color w:val="auto"/>
        </w:rPr>
      </w:pPr>
    </w:p>
    <w:p>
      <w:pPr>
        <w:ind w:left="640" w:right="680" w:hanging="632"/>
        <w:spacing w:after="0" w:line="237" w:lineRule="auto"/>
        <w:rPr>
          <w:rFonts w:ascii="Arial" w:cs="Arial" w:eastAsia="Arial" w:hAnsi="Arial"/>
          <w:sz w:val="21"/>
          <w:szCs w:val="21"/>
          <w:color w:val="auto"/>
        </w:rPr>
      </w:pPr>
      <w:r>
        <w:rPr>
          <w:rFonts w:ascii="Arial" w:cs="Arial" w:eastAsia="Arial" w:hAnsi="Arial"/>
          <w:sz w:val="11"/>
          <w:szCs w:val="11"/>
          <w:color w:val="auto"/>
        </w:rPr>
        <w:t xml:space="preserve">* </w:t>
      </w:r>
      <w:r>
        <w:rPr>
          <w:rFonts w:ascii="Arial" w:cs="Arial" w:eastAsia="Arial" w:hAnsi="Arial"/>
          <w:sz w:val="20"/>
          <w:szCs w:val="20"/>
          <w:color w:val="auto"/>
        </w:rPr>
        <w:t>To the extent any capitalized term used in this Agreement is not defined, it has the meaning assigned to it in the Plan as the Plan</w:t>
      </w:r>
      <w:r>
        <w:rPr>
          <w:rFonts w:ascii="Arial" w:cs="Arial" w:eastAsia="Arial" w:hAnsi="Arial"/>
          <w:sz w:val="11"/>
          <w:szCs w:val="11"/>
          <w:color w:val="auto"/>
        </w:rPr>
        <w:t xml:space="preserve"> </w:t>
      </w:r>
      <w:r>
        <w:rPr>
          <w:rFonts w:ascii="Arial" w:cs="Arial" w:eastAsia="Arial" w:hAnsi="Arial"/>
          <w:sz w:val="20"/>
          <w:szCs w:val="20"/>
          <w:color w:val="auto"/>
        </w:rPr>
        <w:t>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1671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1" w:name="page102"/>
    <w:bookmarkEnd w:id="101"/>
    <w:p>
      <w:pPr>
        <w:spacing w:after="0" w:line="166" w:lineRule="exact"/>
        <w:rPr>
          <w:sz w:val="20"/>
          <w:szCs w:val="20"/>
          <w:color w:val="auto"/>
        </w:rPr>
      </w:pPr>
    </w:p>
    <w:p>
      <w:pPr>
        <w:ind w:left="1040" w:hanging="623"/>
        <w:spacing w:after="0" w:line="237" w:lineRule="auto"/>
        <w:tabs>
          <w:tab w:leader="none" w:pos="883"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expiration of any applicable period specified in any other written agreement you have with the Company providing for accelerated vesting and exercisability.</w:t>
      </w:r>
    </w:p>
    <w:p>
      <w:pPr>
        <w:spacing w:after="0" w:line="175" w:lineRule="exact"/>
        <w:rPr>
          <w:rFonts w:ascii="Arial" w:cs="Arial" w:eastAsia="Arial" w:hAnsi="Arial"/>
          <w:sz w:val="21"/>
          <w:szCs w:val="21"/>
          <w:color w:val="auto"/>
        </w:rPr>
      </w:pPr>
    </w:p>
    <w:p>
      <w:pPr>
        <w:jc w:val="both"/>
        <w:ind w:left="420" w:hanging="319"/>
        <w:spacing w:after="0" w:line="224" w:lineRule="auto"/>
        <w:tabs>
          <w:tab w:leader="none" w:pos="486" w:val="left"/>
        </w:tabs>
        <w:numPr>
          <w:ilvl w:val="0"/>
          <w:numId w:val="62"/>
        </w:numPr>
        <w:rPr>
          <w:rFonts w:ascii="Arial" w:cs="Arial" w:eastAsia="Arial" w:hAnsi="Arial"/>
          <w:sz w:val="21"/>
          <w:szCs w:val="21"/>
          <w:color w:val="auto"/>
        </w:rPr>
      </w:pPr>
      <w:r>
        <w:rPr>
          <w:rFonts w:ascii="Arial" w:cs="Arial" w:eastAsia="Arial" w:hAnsi="Arial"/>
          <w:sz w:val="21"/>
          <w:szCs w:val="21"/>
          <w:b w:val="1"/>
          <w:bCs w:val="1"/>
          <w:u w:val="single" w:color="auto"/>
          <w:color w:val="auto"/>
        </w:rPr>
        <w:t>Service Requirement</w:t>
      </w:r>
      <w:r>
        <w:rPr>
          <w:rFonts w:ascii="Arial" w:cs="Arial" w:eastAsia="Arial" w:hAnsi="Arial"/>
          <w:sz w:val="21"/>
          <w:szCs w:val="21"/>
          <w:color w:val="auto"/>
        </w:rPr>
        <w:t>. Except as otherwise provided in Section 6 of this Agreement or Section 6(e) of the Plan, and as may</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be provided by action of the Committee in accordance with Sections 12(b)(3) or 12(c) of the Plan, this Option may be exercised only while you continue to provide Service to the Company or an Affiliate as a Service Provider, and only if you have continuously provided such Service since the date this Option was granted.</w:t>
      </w:r>
    </w:p>
    <w:p>
      <w:pPr>
        <w:spacing w:after="0" w:line="177" w:lineRule="exact"/>
        <w:rPr>
          <w:rFonts w:ascii="Arial" w:cs="Arial" w:eastAsia="Arial" w:hAnsi="Arial"/>
          <w:sz w:val="21"/>
          <w:szCs w:val="21"/>
          <w:color w:val="auto"/>
        </w:rPr>
      </w:pPr>
    </w:p>
    <w:p>
      <w:pPr>
        <w:jc w:val="both"/>
        <w:ind w:left="420" w:hanging="319"/>
        <w:spacing w:after="0" w:line="236" w:lineRule="auto"/>
        <w:tabs>
          <w:tab w:leader="none" w:pos="578"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Notwithstanding Section 5 of this Agreement, vesting of this Option will continue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schedule specified on the cover page to this Agreement if your employment with the Company or any Affiliate terminates because of your Retirement and the following conditions are satisfied: (a) you commenced discussions with the Company’s Chief Executive Officer or most senior human resources executive regarding your retirement from employment at least 12 full months prior to the date your employment terminates (the “Retirement Date”) and (b) during the period beginning on your Retirement Date and ending on the final day of the vesting schedule specified on the cover page, you: (i) continue to be available to provide Service as requested and (ii)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6, you will forfeit the unvested portion of this Option. Upon your retirement in accordance with the Retirement Conditions, this Option may be exercised only until the 12-month anniversary of the date that the final portion of this Option vests, as set forth in the vesting schedule on the cover page to this Agreement.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9"/>
          <w:szCs w:val="19"/>
          <w:color w:val="auto"/>
        </w:rPr>
        <w:t>For purposes of this Option, “Retirement” means the termination of your employment when (1) you (A) are age 55 or older,</w:t>
      </w:r>
    </w:p>
    <w:p>
      <w:pPr>
        <w:spacing w:after="0" w:line="10" w:lineRule="exact"/>
        <w:rPr>
          <w:sz w:val="20"/>
          <w:szCs w:val="20"/>
          <w:color w:val="auto"/>
        </w:rPr>
      </w:pPr>
    </w:p>
    <w:p>
      <w:pPr>
        <w:jc w:val="both"/>
        <w:ind w:left="420" w:hanging="3"/>
        <w:spacing w:after="0" w:line="227" w:lineRule="auto"/>
        <w:tabs>
          <w:tab w:leader="none" w:pos="7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have at least five years of continuous Service as an employee (which must be immediately preceding the Retirement Date)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(2) the sum of your age as of the date of your termination plus your years of Service as an employee equals at least 75.</w:t>
      </w:r>
    </w:p>
    <w:p>
      <w:pPr>
        <w:spacing w:after="0" w:line="177" w:lineRule="exact"/>
        <w:rPr>
          <w:rFonts w:ascii="Arial" w:cs="Arial" w:eastAsia="Arial" w:hAnsi="Arial"/>
          <w:sz w:val="20"/>
          <w:szCs w:val="20"/>
          <w:color w:val="auto"/>
        </w:rPr>
      </w:pPr>
    </w:p>
    <w:p>
      <w:pPr>
        <w:jc w:val="both"/>
        <w:ind w:left="420" w:hanging="319"/>
        <w:spacing w:after="0" w:line="224" w:lineRule="auto"/>
        <w:tabs>
          <w:tab w:leader="none" w:pos="499"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Leave of Absence</w:t>
      </w:r>
      <w:r>
        <w:rPr>
          <w:rFonts w:ascii="Arial" w:cs="Arial" w:eastAsia="Arial" w:hAnsi="Arial"/>
          <w:sz w:val="21"/>
          <w:szCs w:val="21"/>
          <w:color w:val="auto"/>
        </w:rPr>
        <w:t>. Your Service will be deemed continuing while you are on a leave of absence approved by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 writing or guaranteed by applicable law or other written agreement you have entered into with the Company (an “Approved Leave”). If you do not resume providing Service following your Approved Leave, your Service will be deemed to have terminated upon the expiration of the Approved Leave.</w:t>
      </w:r>
    </w:p>
    <w:p>
      <w:pPr>
        <w:spacing w:after="0" w:line="177" w:lineRule="exact"/>
        <w:rPr>
          <w:rFonts w:ascii="Arial" w:cs="Arial" w:eastAsia="Arial" w:hAnsi="Arial"/>
          <w:sz w:val="21"/>
          <w:szCs w:val="21"/>
          <w:color w:val="auto"/>
        </w:rPr>
      </w:pPr>
    </w:p>
    <w:p>
      <w:pPr>
        <w:jc w:val="both"/>
        <w:ind w:left="420" w:hanging="319"/>
        <w:spacing w:after="0" w:line="230" w:lineRule="auto"/>
        <w:tabs>
          <w:tab w:leader="none" w:pos="631"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color w:val="auto"/>
        </w:rPr>
        <w:t>. Subject to Section 5 of this Agreement and to the Company’s policies governing trading in its</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the vested and exercisable portion of this Option may be exercised through use of the account maintained for you at E*TRADE or another automated electronic platform approved by the Company or through delivery to the Company’s Stock Administration office of written notification of exercise that states the number of Shares to be purchased and is signed or otherwise authenticated by the person exercising this Option. If the person exercising this Option is not the Optionee, he or she also must submit appropriate proof of his or her right to exercise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540" w:top="1440" w:right="339" w:bottom="1440" w:gutter="0" w:footer="0" w:header="0"/>
        </w:sectPr>
      </w:pPr>
    </w:p>
    <w:bookmarkStart w:id="102" w:name="page103"/>
    <w:bookmarkEnd w:id="102"/>
    <w:p>
      <w:pPr>
        <w:spacing w:after="0" w:line="160" w:lineRule="exact"/>
        <w:rPr>
          <w:sz w:val="20"/>
          <w:szCs w:val="20"/>
          <w:color w:val="auto"/>
        </w:rPr>
      </w:pPr>
    </w:p>
    <w:p>
      <w:pPr>
        <w:ind w:left="424" w:hanging="319"/>
        <w:spacing w:after="0" w:line="291" w:lineRule="auto"/>
        <w:tabs>
          <w:tab w:leader="none" w:pos="530" w:val="left"/>
        </w:tabs>
        <w:numPr>
          <w:ilvl w:val="1"/>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of Exercise Price</w:t>
      </w:r>
      <w:r>
        <w:rPr>
          <w:rFonts w:ascii="Arial" w:cs="Arial" w:eastAsia="Arial" w:hAnsi="Arial"/>
          <w:sz w:val="19"/>
          <w:szCs w:val="19"/>
          <w:color w:val="auto"/>
        </w:rPr>
        <w:t>. When you submit your notice of exercise pursuant to Section 8 of this Agreement, you must</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payment of the exercise price of the Shares being purchased through one or a combination of the following methods:</w:t>
      </w:r>
    </w:p>
    <w:p>
      <w:pPr>
        <w:spacing w:after="0" w:line="134" w:lineRule="exact"/>
        <w:rPr>
          <w:rFonts w:ascii="Arial" w:cs="Arial" w:eastAsia="Arial" w:hAnsi="Arial"/>
          <w:sz w:val="19"/>
          <w:szCs w:val="19"/>
          <w:color w:val="auto"/>
        </w:rPr>
      </w:pPr>
    </w:p>
    <w:p>
      <w:pPr>
        <w:ind w:left="444" w:hanging="444"/>
        <w:spacing w:after="0"/>
        <w:tabs>
          <w:tab w:leader="none" w:pos="444" w:val="left"/>
        </w:tabs>
        <w:numPr>
          <w:ilvl w:val="0"/>
          <w:numId w:val="66"/>
        </w:numPr>
        <w:rPr>
          <w:rFonts w:ascii="Arial" w:cs="Arial" w:eastAsia="Arial" w:hAnsi="Arial"/>
          <w:sz w:val="21"/>
          <w:szCs w:val="21"/>
          <w:color w:val="auto"/>
        </w:rPr>
      </w:pPr>
      <w:r>
        <w:rPr>
          <w:rFonts w:ascii="Arial" w:cs="Arial" w:eastAsia="Arial" w:hAnsi="Arial"/>
          <w:sz w:val="21"/>
          <w:szCs w:val="21"/>
          <w:color w:val="auto"/>
        </w:rPr>
        <w:t>your personal check, a cashier’s check or money order;</w:t>
      </w:r>
    </w:p>
    <w:p>
      <w:pPr>
        <w:spacing w:after="0" w:line="206" w:lineRule="exact"/>
        <w:rPr>
          <w:sz w:val="20"/>
          <w:szCs w:val="20"/>
          <w:color w:val="auto"/>
        </w:rPr>
      </w:pPr>
    </w:p>
    <w:p>
      <w:pPr>
        <w:ind w:left="904" w:hanging="811"/>
        <w:spacing w:after="0" w:line="223" w:lineRule="auto"/>
        <w:tabs>
          <w:tab w:leader="none" w:pos="652" w:val="left"/>
        </w:tabs>
        <w:numPr>
          <w:ilvl w:val="2"/>
          <w:numId w:val="67"/>
        </w:numPr>
        <w:rPr>
          <w:rFonts w:ascii="Arial" w:cs="Arial" w:eastAsia="Arial" w:hAnsi="Arial"/>
          <w:sz w:val="21"/>
          <w:szCs w:val="21"/>
          <w:color w:val="auto"/>
        </w:rPr>
      </w:pPr>
      <w:r>
        <w:rPr>
          <w:rFonts w:ascii="Arial" w:cs="Arial" w:eastAsia="Arial" w:hAnsi="Arial"/>
          <w:sz w:val="21"/>
          <w:szCs w:val="21"/>
          <w:color w:val="auto"/>
        </w:rPr>
        <w:t>to the extent permitted by law, a broker-assisted cashless exercise in which you irrevocably instruct a broker to deliver proceeds of a sale of all or a portion of the Shares for which the Option is being exercised to the Company in payment of the exercise price of such Shares, and, to the extent consistent with Section 10 of this Agreement, in payment of Tax-Related Items (as defined below);</w:t>
      </w:r>
    </w:p>
    <w:p>
      <w:pPr>
        <w:spacing w:after="0" w:line="181" w:lineRule="exact"/>
        <w:rPr>
          <w:rFonts w:ascii="Arial" w:cs="Arial" w:eastAsia="Arial" w:hAnsi="Arial"/>
          <w:sz w:val="21"/>
          <w:szCs w:val="21"/>
          <w:color w:val="auto"/>
        </w:rPr>
      </w:pPr>
    </w:p>
    <w:p>
      <w:pPr>
        <w:ind w:left="904" w:hanging="867"/>
        <w:spacing w:after="0" w:line="258" w:lineRule="auto"/>
        <w:tabs>
          <w:tab w:leader="none" w:pos="528" w:val="left"/>
        </w:tabs>
        <w:numPr>
          <w:ilvl w:val="1"/>
          <w:numId w:val="68"/>
        </w:numPr>
        <w:rPr>
          <w:rFonts w:ascii="Arial" w:cs="Arial" w:eastAsia="Arial" w:hAnsi="Arial"/>
          <w:sz w:val="20"/>
          <w:szCs w:val="20"/>
          <w:color w:val="auto"/>
        </w:rPr>
      </w:pPr>
      <w:r>
        <w:rPr>
          <w:rFonts w:ascii="Arial" w:cs="Arial" w:eastAsia="Arial" w:hAnsi="Arial"/>
          <w:sz w:val="20"/>
          <w:szCs w:val="20"/>
          <w:color w:val="auto"/>
        </w:rPr>
        <w:t>by delivery to the Company or its designated agent of unencumbered Shares having an aggregate Fair Market Value on the date of exercise equal to the exercise price of the Shares for which the Option is being exercised; or</w:t>
      </w:r>
    </w:p>
    <w:p>
      <w:pPr>
        <w:spacing w:after="0" w:line="163" w:lineRule="exact"/>
        <w:rPr>
          <w:rFonts w:ascii="Arial" w:cs="Arial" w:eastAsia="Arial" w:hAnsi="Arial"/>
          <w:sz w:val="20"/>
          <w:szCs w:val="20"/>
          <w:color w:val="auto"/>
        </w:rPr>
      </w:pPr>
    </w:p>
    <w:p>
      <w:pPr>
        <w:ind w:left="904" w:hanging="901"/>
        <w:spacing w:after="0" w:line="228" w:lineRule="auto"/>
        <w:tabs>
          <w:tab w:leader="none" w:pos="472" w:val="left"/>
        </w:tabs>
        <w:numPr>
          <w:ilvl w:val="0"/>
          <w:numId w:val="69"/>
        </w:numPr>
        <w:rPr>
          <w:rFonts w:ascii="Arial" w:cs="Arial" w:eastAsia="Arial" w:hAnsi="Arial"/>
          <w:sz w:val="21"/>
          <w:szCs w:val="21"/>
          <w:color w:val="auto"/>
        </w:rPr>
      </w:pPr>
      <w:r>
        <w:rPr>
          <w:rFonts w:ascii="Arial" w:cs="Arial" w:eastAsia="Arial" w:hAnsi="Arial"/>
          <w:sz w:val="21"/>
          <w:szCs w:val="21"/>
          <w:color w:val="auto"/>
        </w:rPr>
        <w:t>by a reduction in the number of Shares to be delivered to you upon exercise, such number of Shares to be withheld having an aggregate Fair Market Value on the date of exercise equal to the exercise price of the Shares for which the Option is being exercised.</w:t>
      </w:r>
    </w:p>
    <w:p>
      <w:pPr>
        <w:spacing w:after="0" w:line="180" w:lineRule="exact"/>
        <w:rPr>
          <w:sz w:val="20"/>
          <w:szCs w:val="20"/>
          <w:color w:val="auto"/>
        </w:rPr>
      </w:pPr>
    </w:p>
    <w:p>
      <w:pPr>
        <w:jc w:val="both"/>
        <w:ind w:left="424" w:hanging="339"/>
        <w:spacing w:after="0" w:line="231" w:lineRule="auto"/>
        <w:rPr>
          <w:sz w:val="20"/>
          <w:szCs w:val="20"/>
          <w:color w:val="auto"/>
        </w:rPr>
      </w:pPr>
      <w:r>
        <w:rPr>
          <w:rFonts w:ascii="Arial" w:cs="Arial" w:eastAsia="Arial" w:hAnsi="Arial"/>
          <w:sz w:val="20"/>
          <w:szCs w:val="20"/>
          <w:color w:val="auto"/>
        </w:rPr>
        <w:t>However, if the Committee determines, in any given circumstance, that payment of the exercise price with Shares pursuant to subsection (c) above or by authorizing the Company to retain Shares pursuant to subsection (d)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spacing w:after="0" w:line="177" w:lineRule="exact"/>
        <w:rPr>
          <w:sz w:val="20"/>
          <w:szCs w:val="20"/>
          <w:color w:val="auto"/>
        </w:rPr>
      </w:pPr>
    </w:p>
    <w:p>
      <w:pPr>
        <w:jc w:val="both"/>
        <w:ind w:left="424" w:hanging="319"/>
        <w:spacing w:after="0" w:line="238" w:lineRule="auto"/>
        <w:tabs>
          <w:tab w:leader="none" w:pos="595"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You acknowledge that, regardless of any action taken by the Company, the ultimate</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for all income tax, social insurance, payroll tax, payment on account, or other tax-related items related to your participation in the Plan and legally applicable to you (the “Tax-Related Items”) is and remains your responsibility and may exceed the amount, if any, actually withheld by the Company. You further acknowledge that the Company (a) makes no representations or undertakings regarding the treatment of any Tax-Related Items in connection with any aspect of the Option, including but not limited, the grant, vesting or exercise of the Option or subsequent sale of Shares acquired at exercise, and (b) does not commit to and is under no obligation to structure the terms of the grant or any aspect of the Option to reduce or eliminate your liability for Tax-Related Items or achieve any particular tax result. Further, if you are subject to Tax-Related Items in more than one jurisdiction, you acknowledge that the Company (or your employer, if different) may be required to withhold or account for Tax-Related Items in more than one jurisdiction.</w:t>
      </w:r>
    </w:p>
    <w:p>
      <w:pPr>
        <w:spacing w:after="0" w:line="182" w:lineRule="exact"/>
        <w:rPr>
          <w:sz w:val="20"/>
          <w:szCs w:val="20"/>
          <w:color w:val="auto"/>
        </w:rPr>
      </w:pPr>
    </w:p>
    <w:p>
      <w:pPr>
        <w:jc w:val="both"/>
        <w:ind w:left="424"/>
        <w:spacing w:after="0" w:line="228" w:lineRule="auto"/>
        <w:rPr>
          <w:sz w:val="20"/>
          <w:szCs w:val="20"/>
          <w:color w:val="auto"/>
        </w:rPr>
      </w:pPr>
      <w:r>
        <w:rPr>
          <w:rFonts w:ascii="Arial" w:cs="Arial" w:eastAsia="Arial" w:hAnsi="Arial"/>
          <w:sz w:val="21"/>
          <w:szCs w:val="21"/>
          <w:color w:val="auto"/>
        </w:rPr>
        <w:t>Prior to any relevant taxable or tax withholding event, as applicable, you agree to make arrangements acceptable to the Company to satisfy all Tax-Related Items. In this regard, you authorize the Company (or its agent), at its discretion, to satisfy any withholding obligation for the Tax-Related Items by one of the following methods:</w:t>
      </w:r>
    </w:p>
    <w:p>
      <w:pPr>
        <w:spacing w:after="0" w:line="154" w:lineRule="exact"/>
        <w:rPr>
          <w:sz w:val="20"/>
          <w:szCs w:val="20"/>
          <w:color w:val="auto"/>
        </w:rPr>
      </w:pPr>
    </w:p>
    <w:p>
      <w:pPr>
        <w:ind w:left="424" w:hanging="3"/>
        <w:spacing w:after="0" w:line="285" w:lineRule="auto"/>
        <w:tabs>
          <w:tab w:leader="none" w:pos="703"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withholding from proceeds of the sale of Shares acquired at exercise of the Option either through a voluntary sale or through a mandatory sale arranged by the Company (on your behalf pursuant to this authorization without further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4"/>
          </w:cols>
          <w:pgMar w:left="536" w:top="1440" w:right="339" w:bottom="1440" w:gutter="0" w:footer="0" w:header="0"/>
        </w:sectPr>
      </w:pPr>
    </w:p>
    <w:bookmarkStart w:id="103" w:name="page104"/>
    <w:bookmarkEnd w:id="103"/>
    <w:p>
      <w:pPr>
        <w:ind w:left="420" w:hanging="3"/>
        <w:spacing w:after="0" w:line="237" w:lineRule="auto"/>
        <w:tabs>
          <w:tab w:leader="none" w:pos="742" w:val="left"/>
        </w:tabs>
        <w:numPr>
          <w:ilvl w:val="0"/>
          <w:numId w:val="72"/>
        </w:numPr>
        <w:rPr>
          <w:rFonts w:ascii="Arial" w:cs="Arial" w:eastAsia="Arial" w:hAnsi="Arial"/>
          <w:sz w:val="21"/>
          <w:szCs w:val="21"/>
          <w:color w:val="auto"/>
        </w:rPr>
      </w:pPr>
      <w:r>
        <w:rPr>
          <w:rFonts w:ascii="Arial" w:cs="Arial" w:eastAsia="Arial" w:hAnsi="Arial"/>
          <w:sz w:val="21"/>
          <w:szCs w:val="21"/>
          <w:color w:val="auto"/>
        </w:rPr>
        <w:t>delivery of your authorization to E*TRADE (or another broker designated by the Company) to transfer to the Company from your account at such broker the amount of such Tax-Related Items;</w:t>
      </w:r>
    </w:p>
    <w:p>
      <w:pPr>
        <w:spacing w:after="0" w:line="154" w:lineRule="exact"/>
        <w:rPr>
          <w:rFonts w:ascii="Arial" w:cs="Arial" w:eastAsia="Arial" w:hAnsi="Arial"/>
          <w:sz w:val="21"/>
          <w:szCs w:val="21"/>
          <w:color w:val="auto"/>
        </w:rPr>
      </w:pPr>
    </w:p>
    <w:p>
      <w:pPr>
        <w:ind w:left="780" w:hanging="363"/>
        <w:spacing w:after="0"/>
        <w:tabs>
          <w:tab w:leader="none" w:pos="7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withholding from your wages or other cash compensation paid to you by the Company; and/or</w:t>
      </w:r>
    </w:p>
    <w:p>
      <w:pPr>
        <w:spacing w:after="0" w:line="179" w:lineRule="exact"/>
        <w:rPr>
          <w:rFonts w:ascii="Arial" w:cs="Arial" w:eastAsia="Arial" w:hAnsi="Arial"/>
          <w:sz w:val="21"/>
          <w:szCs w:val="21"/>
          <w:color w:val="auto"/>
        </w:rPr>
      </w:pPr>
    </w:p>
    <w:p>
      <w:pPr>
        <w:ind w:left="780" w:hanging="363"/>
        <w:spacing w:after="0"/>
        <w:tabs>
          <w:tab w:leader="none" w:pos="7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other method approved by the Company and permitted under applicable law.</w:t>
      </w:r>
    </w:p>
    <w:p>
      <w:pPr>
        <w:spacing w:after="0" w:line="180" w:lineRule="exact"/>
        <w:rPr>
          <w:sz w:val="20"/>
          <w:szCs w:val="20"/>
          <w:color w:val="auto"/>
        </w:rPr>
      </w:pPr>
    </w:p>
    <w:p>
      <w:pPr>
        <w:jc w:val="both"/>
        <w:ind w:left="420"/>
        <w:spacing w:after="0" w:line="234" w:lineRule="auto"/>
        <w:rPr>
          <w:sz w:val="20"/>
          <w:szCs w:val="20"/>
          <w:color w:val="auto"/>
        </w:rPr>
      </w:pPr>
      <w:r>
        <w:rPr>
          <w:rFonts w:ascii="Arial" w:cs="Arial" w:eastAsia="Arial" w:hAnsi="Arial"/>
          <w:sz w:val="20"/>
          <w:szCs w:val="20"/>
          <w:color w:val="auto"/>
        </w:rPr>
        <w:t>Depending on the withholding method and to the extent permitted under the Plan and applicable law, the Company may withhold for Tax-Related Items by considering minimum statutory withholding rates or up to the maximum rate applicable in your jurisdiction. In the event of any over-withholding, you will have no entitlement to the over-withheld amount in Shares and such amounts will be refunded to you in cash in accordance with applicable law.</w:t>
      </w:r>
    </w:p>
    <w:p>
      <w:pPr>
        <w:spacing w:after="0" w:line="156" w:lineRule="exact"/>
        <w:rPr>
          <w:sz w:val="20"/>
          <w:szCs w:val="20"/>
          <w:color w:val="auto"/>
        </w:rPr>
      </w:pPr>
    </w:p>
    <w:p>
      <w:pPr>
        <w:jc w:val="both"/>
        <w:ind w:left="420"/>
        <w:spacing w:after="0" w:line="237" w:lineRule="auto"/>
        <w:rPr>
          <w:sz w:val="20"/>
          <w:szCs w:val="20"/>
          <w:color w:val="auto"/>
        </w:rPr>
      </w:pPr>
      <w:r>
        <w:rPr>
          <w:rFonts w:ascii="Arial" w:cs="Arial" w:eastAsia="Arial" w:hAnsi="Arial"/>
          <w:sz w:val="21"/>
          <w:szCs w:val="21"/>
          <w:color w:val="auto"/>
        </w:rPr>
        <w:t>The Company may refuse to issue or deliver the Shares or the proceeds of the sale of Shares if you fail to comply with your obligations in connection with the Tax-Related Items.</w:t>
      </w:r>
    </w:p>
    <w:p>
      <w:pPr>
        <w:spacing w:after="0" w:line="149" w:lineRule="exact"/>
        <w:rPr>
          <w:sz w:val="20"/>
          <w:szCs w:val="20"/>
          <w:color w:val="auto"/>
        </w:rPr>
      </w:pPr>
    </w:p>
    <w:p>
      <w:pPr>
        <w:jc w:val="both"/>
        <w:ind w:left="420" w:hanging="319"/>
        <w:spacing w:after="0" w:line="243" w:lineRule="auto"/>
        <w:tabs>
          <w:tab w:leader="none" w:pos="610" w:val="left"/>
        </w:tabs>
        <w:numPr>
          <w:ilvl w:val="0"/>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Delivery of Shares</w:t>
      </w:r>
      <w:r>
        <w:rPr>
          <w:rFonts w:ascii="Arial" w:cs="Arial" w:eastAsia="Arial" w:hAnsi="Arial"/>
          <w:sz w:val="19"/>
          <w:szCs w:val="19"/>
          <w:color w:val="auto"/>
        </w:rPr>
        <w:t>. As soon as practicable after the Company receives the notice of exercise and exercise price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for above and determines that all conditions to exercise and delivery of Shares, including the Tax-Related Items withholding provisions of Section 10 and the compliance provisions of Section 19 of this Agreement, have been satisfied, it will arrange for the delivery of the Shares being purchased. Delivery of the Shares shall be effected by the electronic delivery of the Shares to a brokerage account maintained for you at E*TRADE (or another broker designated by the Company), or by another method provided by the Company. All Shares so issued will be fully paid and nonassessable.</w:t>
      </w:r>
    </w:p>
    <w:p>
      <w:pPr>
        <w:spacing w:after="0" w:line="172" w:lineRule="exact"/>
        <w:rPr>
          <w:rFonts w:ascii="Arial" w:cs="Arial" w:eastAsia="Arial" w:hAnsi="Arial"/>
          <w:sz w:val="19"/>
          <w:szCs w:val="19"/>
          <w:color w:val="auto"/>
        </w:rPr>
      </w:pPr>
    </w:p>
    <w:p>
      <w:pPr>
        <w:jc w:val="both"/>
        <w:ind w:left="420" w:hanging="319"/>
        <w:spacing w:after="0" w:line="216" w:lineRule="auto"/>
        <w:tabs>
          <w:tab w:leader="none" w:pos="736"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Transfer of Option</w:t>
      </w:r>
      <w:r>
        <w:rPr>
          <w:rFonts w:ascii="Arial" w:cs="Arial" w:eastAsia="Arial" w:hAnsi="Arial"/>
          <w:sz w:val="21"/>
          <w:szCs w:val="21"/>
          <w:color w:val="auto"/>
        </w:rPr>
        <w:t>. During your lifetime, only you (or your guardian or legal representative in the event of legal</w:t>
      </w:r>
      <w:r>
        <w:rPr>
          <w:rFonts w:ascii="Arial" w:cs="Arial" w:eastAsia="Arial" w:hAnsi="Arial"/>
          <w:sz w:val="21"/>
          <w:szCs w:val="21"/>
          <w:b w:val="1"/>
          <w:bCs w:val="1"/>
          <w:color w:val="auto"/>
        </w:rPr>
        <w:t xml:space="preserve"> </w:t>
      </w:r>
      <w:r>
        <w:rPr>
          <w:rFonts w:ascii="Arial" w:cs="Arial" w:eastAsia="Arial" w:hAnsi="Arial"/>
          <w:sz w:val="21"/>
          <w:szCs w:val="21"/>
          <w:color w:val="auto"/>
        </w:rPr>
        <w:t>incapacity) may exercise this Option except in the case of a transfer described below. You may not assign or transfer this Option other than (a) a transfer upon your death in accordance with your will, by the laws of descent and distribution or pursuant to a beneficiary designation submitted in accordance with Section 6(d) of the Plan, (b) pursuant to a qualified domestic relations order, or (c) by gift to any “family member” (as defined in General Instruction A.1(a)(5) to Form S-8 under the Securities Act of 1933). Following any such transfer, this Option shall continue to be subject to the same terms and conditions that were applicable to this Option immediately prior to its transfer and may be exercised by such permitted transferee as and to the extent that this Option has become exercisable and has not terminated in accordance with the provisions of the Plan and this Agreement.</w:t>
      </w:r>
    </w:p>
    <w:p>
      <w:pPr>
        <w:spacing w:after="0" w:line="175" w:lineRule="exact"/>
        <w:rPr>
          <w:rFonts w:ascii="Arial" w:cs="Arial" w:eastAsia="Arial" w:hAnsi="Arial"/>
          <w:sz w:val="21"/>
          <w:szCs w:val="21"/>
          <w:color w:val="auto"/>
        </w:rPr>
      </w:pPr>
    </w:p>
    <w:p>
      <w:pPr>
        <w:jc w:val="both"/>
        <w:ind w:left="420" w:hanging="319"/>
        <w:spacing w:after="0" w:line="221" w:lineRule="auto"/>
        <w:tabs>
          <w:tab w:leader="none" w:pos="591"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No Shareholder Rights Before Delivery of Shares</w:t>
      </w:r>
      <w:r>
        <w:rPr>
          <w:rFonts w:ascii="Arial" w:cs="Arial" w:eastAsia="Arial" w:hAnsi="Arial"/>
          <w:sz w:val="21"/>
          <w:szCs w:val="21"/>
          <w:color w:val="auto"/>
        </w:rPr>
        <w:t>. Neither you nor any permitted transferee of this Option will have any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rights of a shareholder of the Company with respect to any Shares subject to this Option until such Shares have been delivered to you or your permitted transferee pursuant to Section 11 of this Agreement. No adjustments shall be made for dividends or other rights if the applicable record date occurs before such delivery has been effected, except as otherwise described in the Plan.</w:t>
      </w:r>
    </w:p>
    <w:p>
      <w:pPr>
        <w:spacing w:after="0" w:line="177" w:lineRule="exact"/>
        <w:rPr>
          <w:rFonts w:ascii="Arial" w:cs="Arial" w:eastAsia="Arial" w:hAnsi="Arial"/>
          <w:sz w:val="21"/>
          <w:szCs w:val="21"/>
          <w:color w:val="auto"/>
        </w:rPr>
      </w:pPr>
    </w:p>
    <w:p>
      <w:pPr>
        <w:jc w:val="both"/>
        <w:ind w:left="420" w:hanging="319"/>
        <w:spacing w:after="0" w:line="230" w:lineRule="auto"/>
        <w:tabs>
          <w:tab w:leader="none" w:pos="670"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Discontinuance of Service</w:t>
      </w:r>
      <w:r>
        <w:rPr>
          <w:rFonts w:ascii="Arial" w:cs="Arial" w:eastAsia="Arial" w:hAnsi="Arial"/>
          <w:sz w:val="21"/>
          <w:szCs w:val="21"/>
          <w:color w:val="auto"/>
        </w:rPr>
        <w:t>. This Agreement does not give you a right to continued Service with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 and the Company or any such Affiliate may terminate your Service at any time and otherwise deal with you without regard to the effect it may have upon you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540" w:top="1368" w:right="339" w:bottom="1440" w:gutter="0" w:footer="0" w:header="0"/>
        </w:sectPr>
      </w:pPr>
    </w:p>
    <w:bookmarkStart w:id="104" w:name="page105"/>
    <w:bookmarkEnd w:id="104"/>
    <w:p>
      <w:pPr>
        <w:spacing w:after="0" w:line="160" w:lineRule="exact"/>
        <w:rPr>
          <w:sz w:val="20"/>
          <w:szCs w:val="20"/>
          <w:color w:val="auto"/>
        </w:rPr>
      </w:pPr>
    </w:p>
    <w:p>
      <w:pPr>
        <w:jc w:val="both"/>
        <w:ind w:left="420" w:hanging="319"/>
        <w:spacing w:after="0" w:line="224" w:lineRule="auto"/>
        <w:tabs>
          <w:tab w:leader="none" w:pos="762"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Plan Document</w:t>
      </w:r>
      <w:r>
        <w:rPr>
          <w:rFonts w:ascii="Arial" w:cs="Arial" w:eastAsia="Arial" w:hAnsi="Arial"/>
          <w:sz w:val="21"/>
          <w:szCs w:val="21"/>
          <w:color w:val="auto"/>
        </w:rPr>
        <w:t>. This Agreement and Option are subject to all the provisions of the Plan, and to all</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77" w:lineRule="exact"/>
        <w:rPr>
          <w:rFonts w:ascii="Arial" w:cs="Arial" w:eastAsia="Arial" w:hAnsi="Arial"/>
          <w:sz w:val="21"/>
          <w:szCs w:val="21"/>
          <w:color w:val="auto"/>
        </w:rPr>
      </w:pPr>
    </w:p>
    <w:p>
      <w:pPr>
        <w:jc w:val="both"/>
        <w:ind w:left="420" w:hanging="319"/>
        <w:spacing w:after="0" w:line="224" w:lineRule="auto"/>
        <w:tabs>
          <w:tab w:leader="none" w:pos="696"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is not providing any tax, legal or financial advice, nor is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making any 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177" w:lineRule="exact"/>
        <w:rPr>
          <w:rFonts w:ascii="Arial" w:cs="Arial" w:eastAsia="Arial" w:hAnsi="Arial"/>
          <w:sz w:val="21"/>
          <w:szCs w:val="21"/>
          <w:color w:val="auto"/>
        </w:rPr>
      </w:pPr>
    </w:p>
    <w:p>
      <w:pPr>
        <w:jc w:val="both"/>
        <w:ind w:left="420" w:hanging="319"/>
        <w:spacing w:after="0" w:line="232" w:lineRule="auto"/>
        <w:tabs>
          <w:tab w:leader="none" w:pos="578"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color w:val="auto"/>
        </w:rPr>
        <w:t>. This Option and Agreement will be interpreted and construed in accordance with and governed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laws of the laws of the State of Minnesota and you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you if you primarily reside and work in California.</w:t>
      </w:r>
    </w:p>
    <w:p>
      <w:pPr>
        <w:spacing w:after="0" w:line="177" w:lineRule="exact"/>
        <w:rPr>
          <w:rFonts w:ascii="Arial" w:cs="Arial" w:eastAsia="Arial" w:hAnsi="Arial"/>
          <w:sz w:val="20"/>
          <w:szCs w:val="20"/>
          <w:color w:val="auto"/>
        </w:rPr>
      </w:pPr>
    </w:p>
    <w:p>
      <w:pPr>
        <w:ind w:left="420" w:hanging="319"/>
        <w:spacing w:after="0" w:line="241" w:lineRule="auto"/>
        <w:tabs>
          <w:tab w:leader="none" w:pos="604"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color w:val="auto"/>
        </w:rPr>
        <w:t>. This Agreement will be binding in all respects on your heirs, representatives, successors and assigns, and</w:t>
      </w:r>
      <w:r>
        <w:rPr>
          <w:rFonts w:ascii="Arial" w:cs="Arial" w:eastAsia="Arial" w:hAnsi="Arial"/>
          <w:sz w:val="21"/>
          <w:szCs w:val="21"/>
          <w:b w:val="1"/>
          <w:bCs w:val="1"/>
          <w:color w:val="auto"/>
        </w:rPr>
        <w:t xml:space="preserve"> </w:t>
      </w:r>
      <w:r>
        <w:rPr>
          <w:rFonts w:ascii="Arial" w:cs="Arial" w:eastAsia="Arial" w:hAnsi="Arial"/>
          <w:sz w:val="21"/>
          <w:szCs w:val="21"/>
          <w:color w:val="auto"/>
        </w:rPr>
        <w:t>on the successors and assigns of the Company.</w:t>
      </w:r>
    </w:p>
    <w:p>
      <w:pPr>
        <w:spacing w:after="0" w:line="172" w:lineRule="exact"/>
        <w:rPr>
          <w:rFonts w:ascii="Arial" w:cs="Arial" w:eastAsia="Arial" w:hAnsi="Arial"/>
          <w:sz w:val="21"/>
          <w:szCs w:val="21"/>
          <w:color w:val="auto"/>
        </w:rPr>
      </w:pPr>
    </w:p>
    <w:p>
      <w:pPr>
        <w:jc w:val="both"/>
        <w:ind w:left="420" w:hanging="319"/>
        <w:spacing w:after="0" w:line="225" w:lineRule="auto"/>
        <w:tabs>
          <w:tab w:leader="none" w:pos="617"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Law</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other provision of the Plan or this Agreement, unless there is an exemption</w:t>
      </w:r>
      <w:r>
        <w:rPr>
          <w:rFonts w:ascii="Arial" w:cs="Arial" w:eastAsia="Arial" w:hAnsi="Arial"/>
          <w:sz w:val="20"/>
          <w:szCs w:val="20"/>
          <w:b w:val="1"/>
          <w:bCs w:val="1"/>
          <w:color w:val="auto"/>
        </w:rPr>
        <w:t xml:space="preserve"> </w:t>
      </w:r>
      <w:r>
        <w:rPr>
          <w:rFonts w:ascii="Arial" w:cs="Arial" w:eastAsia="Arial" w:hAnsi="Arial"/>
          <w:sz w:val="20"/>
          <w:szCs w:val="20"/>
          <w:color w:val="auto"/>
        </w:rPr>
        <w:t>from any registration, qualification or other legal requirement applicable to the Shares, the Company shall not be required to deliver any Shares issuable upon exercise of the Option prior to the completion of any registration or qualification of the shares under any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81" w:lineRule="exact"/>
        <w:rPr>
          <w:rFonts w:ascii="Arial" w:cs="Arial" w:eastAsia="Arial" w:hAnsi="Arial"/>
          <w:sz w:val="20"/>
          <w:szCs w:val="20"/>
          <w:color w:val="auto"/>
        </w:rPr>
      </w:pPr>
    </w:p>
    <w:p>
      <w:pPr>
        <w:jc w:val="both"/>
        <w:ind w:left="420" w:hanging="319"/>
        <w:spacing w:after="0" w:line="217" w:lineRule="auto"/>
        <w:tabs>
          <w:tab w:leader="none" w:pos="617"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Policy</w:t>
      </w:r>
      <w:r>
        <w:rPr>
          <w:rFonts w:ascii="Arial" w:cs="Arial" w:eastAsia="Arial" w:hAnsi="Arial"/>
          <w:sz w:val="21"/>
          <w:szCs w:val="21"/>
          <w:color w:val="auto"/>
        </w:rPr>
        <w:t>. You acknowledge that you are subject to the Company’s insider trading policy as set forth in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“Statement of Company Policy as to Trades in the Company’s Securities By Company Personnel and Confidential Information,” and you are responsible for ensuring compliance with the restrictions and requirements therein. Further, you may be subject to U.S. insider trading restrictions and/or market abuse laws, which may affect your ability to accept, acquire, sell or otherwise dispose of Shares or rights to Shares (e.g., the Option) or rights linked to the value of Shares during such times as you are considered to have “inside information” regarding the Company (as defined by the laws in the U.S.). Any restrictions under these laws or regulations are separate from and in addition to any restrictions that may be imposed under the Company’s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540" w:top="1440" w:right="339" w:bottom="1440" w:gutter="0" w:footer="0" w:header="0"/>
        </w:sectPr>
      </w:pPr>
    </w:p>
    <w:bookmarkStart w:id="105" w:name="page106"/>
    <w:bookmarkEnd w:id="105"/>
    <w:p>
      <w:pPr>
        <w:jc w:val="both"/>
        <w:ind w:left="640" w:hanging="319"/>
        <w:spacing w:after="0" w:line="224" w:lineRule="auto"/>
        <w:tabs>
          <w:tab w:leader="none" w:pos="837" w:val="left"/>
        </w:tabs>
        <w:numPr>
          <w:ilvl w:val="0"/>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Plan, 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77" w:lineRule="exact"/>
        <w:rPr>
          <w:rFonts w:ascii="Arial" w:cs="Arial" w:eastAsia="Arial" w:hAnsi="Arial"/>
          <w:sz w:val="21"/>
          <w:szCs w:val="21"/>
          <w:color w:val="auto"/>
        </w:rPr>
      </w:pPr>
    </w:p>
    <w:p>
      <w:pPr>
        <w:jc w:val="both"/>
        <w:ind w:left="640" w:hanging="319"/>
        <w:spacing w:after="0" w:line="224" w:lineRule="auto"/>
        <w:tabs>
          <w:tab w:leader="none" w:pos="824" w:val="left"/>
        </w:tabs>
        <w:numPr>
          <w:ilvl w:val="0"/>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any documents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77" w:lineRule="exact"/>
        <w:rPr>
          <w:rFonts w:ascii="Arial" w:cs="Arial" w:eastAsia="Arial" w:hAnsi="Arial"/>
          <w:sz w:val="21"/>
          <w:szCs w:val="21"/>
          <w:color w:val="auto"/>
        </w:rPr>
      </w:pPr>
    </w:p>
    <w:p>
      <w:pPr>
        <w:jc w:val="both"/>
        <w:ind w:left="640" w:hanging="319"/>
        <w:spacing w:after="0" w:line="232" w:lineRule="auto"/>
        <w:tabs>
          <w:tab w:leader="none" w:pos="969"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 Recovery Policy</w:t>
      </w:r>
      <w:r>
        <w:rPr>
          <w:rFonts w:ascii="Arial" w:cs="Arial" w:eastAsia="Arial" w:hAnsi="Arial"/>
          <w:sz w:val="20"/>
          <w:szCs w:val="20"/>
          <w:color w:val="auto"/>
        </w:rPr>
        <w:t>. To the extent that this Option is subject to recovery under any law, government</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stock exchange listing requirement or recoupment policy adopted by the Company, it will be subject to such deductions and clawback as may be required to be made pursuant to such law, government regulation, stock exchange listing requirement or recoupment policy adopted by the Company (including, but not limited to, a policy adopted by the Company in response to any such law, government regulation or stock exchange listing requirement).</w:t>
      </w:r>
    </w:p>
    <w:p>
      <w:pPr>
        <w:spacing w:after="0" w:line="177" w:lineRule="exact"/>
        <w:rPr>
          <w:rFonts w:ascii="Arial" w:cs="Arial" w:eastAsia="Arial" w:hAnsi="Arial"/>
          <w:sz w:val="20"/>
          <w:szCs w:val="20"/>
          <w:color w:val="auto"/>
        </w:rPr>
      </w:pPr>
    </w:p>
    <w:p>
      <w:pPr>
        <w:jc w:val="both"/>
        <w:ind w:left="640" w:hanging="319"/>
        <w:spacing w:after="0" w:line="230" w:lineRule="auto"/>
        <w:tabs>
          <w:tab w:leader="none" w:pos="811" w:val="left"/>
        </w:tabs>
        <w:numPr>
          <w:ilvl w:val="0"/>
          <w:numId w:val="75"/>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w:t>
      </w:r>
      <w:r>
        <w:rPr>
          <w:rFonts w:ascii="Arial" w:cs="Arial" w:eastAsia="Arial" w:hAnsi="Arial"/>
          <w:sz w:val="21"/>
          <w:szCs w:val="21"/>
          <w:color w:val="auto"/>
        </w:rPr>
        <w:t>. You acknowledge that a waiver by the Company of breach of any provision of this Agreement shall not operate or</w:t>
      </w:r>
      <w:r>
        <w:rPr>
          <w:rFonts w:ascii="Arial" w:cs="Arial" w:eastAsia="Arial" w:hAnsi="Arial"/>
          <w:sz w:val="21"/>
          <w:szCs w:val="21"/>
          <w:b w:val="1"/>
          <w:bCs w:val="1"/>
          <w:color w:val="auto"/>
        </w:rPr>
        <w:t xml:space="preserve"> </w:t>
      </w:r>
      <w:r>
        <w:rPr>
          <w:rFonts w:ascii="Arial" w:cs="Arial" w:eastAsia="Arial" w:hAnsi="Arial"/>
          <w:sz w:val="21"/>
          <w:szCs w:val="21"/>
          <w:color w:val="auto"/>
        </w:rPr>
        <w:t>be construed as a waiver of any other provision of this Agreement, or of any subsequent breach by you or any other Participant.</w:t>
      </w:r>
    </w:p>
    <w:p>
      <w:pPr>
        <w:spacing w:after="0" w:line="174" w:lineRule="exact"/>
        <w:rPr>
          <w:rFonts w:ascii="Arial" w:cs="Arial" w:eastAsia="Arial" w:hAnsi="Arial"/>
          <w:sz w:val="21"/>
          <w:szCs w:val="21"/>
          <w:color w:val="auto"/>
        </w:rPr>
      </w:pPr>
    </w:p>
    <w:p>
      <w:pPr>
        <w:ind w:left="640" w:hanging="319"/>
        <w:spacing w:after="0" w:line="291" w:lineRule="auto"/>
        <w:tabs>
          <w:tab w:leader="none" w:pos="798"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unenforceable, in whole or in part, the remaining provisions shall nevertheless be binding and enforceable.</w:t>
      </w:r>
    </w:p>
    <w:p>
      <w:pPr>
        <w:spacing w:after="0" w:line="371" w:lineRule="exact"/>
        <w:rPr>
          <w:sz w:val="20"/>
          <w:szCs w:val="20"/>
          <w:color w:val="auto"/>
        </w:rPr>
      </w:pPr>
    </w:p>
    <w:p>
      <w:pPr>
        <w:spacing w:after="0" w:line="237" w:lineRule="auto"/>
        <w:rPr>
          <w:sz w:val="20"/>
          <w:szCs w:val="20"/>
          <w:color w:val="auto"/>
        </w:rPr>
      </w:pPr>
      <w:r>
        <w:rPr>
          <w:rFonts w:ascii="Arial" w:cs="Arial" w:eastAsia="Arial" w:hAnsi="Arial"/>
          <w:sz w:val="21"/>
          <w:szCs w:val="21"/>
          <w:b w:val="1"/>
          <w:bCs w:val="1"/>
          <w:i w:val="1"/>
          <w:iCs w:val="1"/>
          <w:color w:val="auto"/>
        </w:rPr>
        <w:t>By accepting this Option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FAIR ISAAC CORPORATION</w:t>
      </w:r>
    </w:p>
    <w:p>
      <w:pPr>
        <w:spacing w:after="0" w:line="328"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354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35560</wp:posOffset>
            </wp:positionV>
            <wp:extent cx="34759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9">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6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9"/>
          <w:szCs w:val="19"/>
          <w:b w:val="1"/>
          <w:bCs w:val="1"/>
          <w:color w:val="auto"/>
        </w:rPr>
        <w:t>Exhibit 10.62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Fair Isaac Corporation</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21"/>
          <w:szCs w:val="21"/>
          <w:b w:val="1"/>
          <w:bCs w:val="1"/>
          <w:color w:val="auto"/>
        </w:rPr>
        <w:t>2021 Long-Term Incentive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Performance Share Unit Award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Number: PXXXXXX</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This Performance Share Unit Award Agreement (this “Agreement”), dated December X, 20XX (the “Grant Date”), is by and between XXX (the “Participant”), and Fair Isaac Corporation, a Delaware corporation (the “Company”). Any term capitalized but not defined in this Agreement will have the meaning set forth in the Company’s 2021 Long-Term Incentive Plan (the “Plan”).</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In the exercise of its discretion to grant Awards under the Plan, the Committee has determined that the Participant should receive an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Award of performance share units under the Plan. This Award is subject to the following terms and conditions:</w:t>
      </w:r>
    </w:p>
    <w:p>
      <w:pPr>
        <w:spacing w:after="0" w:line="182" w:lineRule="exact"/>
        <w:rPr>
          <w:sz w:val="20"/>
          <w:szCs w:val="20"/>
          <w:color w:val="auto"/>
        </w:rPr>
      </w:pPr>
    </w:p>
    <w:p>
      <w:pPr>
        <w:ind w:left="640" w:hanging="635"/>
        <w:spacing w:after="0" w:line="229" w:lineRule="auto"/>
        <w:tabs>
          <w:tab w:leader="none" w:pos="403"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Performance Share Units</w:t>
      </w:r>
      <w:r>
        <w:rPr>
          <w:rFonts w:ascii="Arial" w:cs="Arial" w:eastAsia="Arial" w:hAnsi="Arial"/>
          <w:sz w:val="20"/>
          <w:szCs w:val="20"/>
          <w:color w:val="auto"/>
        </w:rPr>
        <w:t>. The Company hereby grants to the Participant an Award consisting of performance share</w:t>
      </w:r>
      <w:r>
        <w:rPr>
          <w:rFonts w:ascii="Arial" w:cs="Arial" w:eastAsia="Arial" w:hAnsi="Arial"/>
          <w:sz w:val="20"/>
          <w:szCs w:val="20"/>
          <w:b w:val="1"/>
          <w:bCs w:val="1"/>
          <w:color w:val="auto"/>
        </w:rPr>
        <w:t xml:space="preserve"> </w:t>
      </w:r>
      <w:r>
        <w:rPr>
          <w:rFonts w:ascii="Arial" w:cs="Arial" w:eastAsia="Arial" w:hAnsi="Arial"/>
          <w:sz w:val="20"/>
          <w:szCs w:val="20"/>
          <w:color w:val="auto"/>
        </w:rPr>
        <w:t>units (the “Units”) in an amount initially equal to the Target Number of Units specified on Appendix A to this Agreement. The number of Units that may actually be earned and become eligible to vest pursuant to this Award can be between 0% and 200% of the Target Number of Units, but may not exceed the Maximum Number of Units specified on Appendix A to this Agreement. Each Unit that is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spacing w:after="0" w:line="174" w:lineRule="exact"/>
        <w:rPr>
          <w:rFonts w:ascii="Arial" w:cs="Arial" w:eastAsia="Arial" w:hAnsi="Arial"/>
          <w:sz w:val="20"/>
          <w:szCs w:val="20"/>
          <w:color w:val="auto"/>
        </w:rPr>
      </w:pPr>
    </w:p>
    <w:p>
      <w:pPr>
        <w:ind w:left="640" w:hanging="635"/>
        <w:spacing w:after="0" w:line="229" w:lineRule="auto"/>
        <w:tabs>
          <w:tab w:leader="none" w:pos="403"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Restrictions on Units</w:t>
      </w:r>
      <w:r>
        <w:rPr>
          <w:rFonts w:ascii="Arial" w:cs="Arial" w:eastAsia="Arial" w:hAnsi="Arial"/>
          <w:sz w:val="20"/>
          <w:szCs w:val="20"/>
          <w:color w:val="auto"/>
        </w:rPr>
        <w:t>. Neither this Award nor the Units subject to this Award may be sold, assigned, transferred, exchanged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respectively, of this Agreement.</w:t>
      </w:r>
    </w:p>
    <w:p>
      <w:pPr>
        <w:spacing w:after="0" w:line="174" w:lineRule="exact"/>
        <w:rPr>
          <w:rFonts w:ascii="Arial" w:cs="Arial" w:eastAsia="Arial" w:hAnsi="Arial"/>
          <w:sz w:val="20"/>
          <w:szCs w:val="20"/>
          <w:color w:val="auto"/>
        </w:rPr>
      </w:pPr>
    </w:p>
    <w:p>
      <w:pPr>
        <w:ind w:left="640" w:hanging="635"/>
        <w:spacing w:after="0" w:line="221" w:lineRule="auto"/>
        <w:tabs>
          <w:tab w:leader="none" w:pos="390" w:val="left"/>
        </w:tabs>
        <w:numPr>
          <w:ilvl w:val="0"/>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Earned Units</w:t>
      </w:r>
      <w:r>
        <w:rPr>
          <w:rFonts w:ascii="Arial" w:cs="Arial" w:eastAsia="Arial" w:hAnsi="Arial"/>
          <w:sz w:val="21"/>
          <w:szCs w:val="21"/>
          <w:color w:val="auto"/>
        </w:rPr>
        <w:t>. Whether and to what degree the Units will be earned (the “Earned Units”) during the period starting on October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1, 20XX and ending on September 30, 20XX (the “Performance Period”) will be determined by whether and to what degree the Company has satisfied the applicable performance goal(s) for the Performance Period as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to this Agreement. Any Units that are not designated as Earned Units at the conclusion of the Performance Period in accordance with this Section 3 will be forfeited.</w:t>
      </w:r>
    </w:p>
    <w:p>
      <w:pPr>
        <w:spacing w:after="0" w:line="177" w:lineRule="exact"/>
        <w:rPr>
          <w:rFonts w:ascii="Arial" w:cs="Arial" w:eastAsia="Arial" w:hAnsi="Arial"/>
          <w:sz w:val="21"/>
          <w:szCs w:val="21"/>
          <w:color w:val="auto"/>
        </w:rPr>
      </w:pPr>
    </w:p>
    <w:p>
      <w:pPr>
        <w:ind w:left="640" w:hanging="635"/>
        <w:spacing w:after="0" w:line="261" w:lineRule="auto"/>
        <w:tabs>
          <w:tab w:leader="none" w:pos="443"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of Earned Units</w:t>
      </w:r>
      <w:r>
        <w:rPr>
          <w:rFonts w:ascii="Arial" w:cs="Arial" w:eastAsia="Arial" w:hAnsi="Arial"/>
          <w:sz w:val="19"/>
          <w:szCs w:val="19"/>
          <w:color w:val="auto"/>
        </w:rPr>
        <w:t>. Subject to Section 6 of this Agreement, if the Participant remains a Service Provider continuously</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Grant Date, then ⅓ of the Earned Units will vest on each of December X, 20XX, December X, 20XX, and December X, 20XX. The period from October 1, 20XX through December X, 20XX is referred to as the “Vesting Period.”</w:t>
      </w:r>
    </w:p>
    <w:p>
      <w:pPr>
        <w:sectPr>
          <w:pgSz w:w="11900" w:h="16838" w:orient="portrait"/>
          <w:cols w:equalWidth="0" w:num="1">
            <w:col w:w="11240"/>
          </w:cols>
          <w:pgMar w:left="320" w:top="104" w:right="339" w:bottom="1440" w:gutter="0" w:footer="0" w:header="0"/>
        </w:sectPr>
      </w:pPr>
    </w:p>
    <w:bookmarkStart w:id="107" w:name="page108"/>
    <w:bookmarkEnd w:id="107"/>
    <w:p>
      <w:pPr>
        <w:ind w:left="640" w:hanging="635"/>
        <w:spacing w:after="0" w:line="230" w:lineRule="auto"/>
        <w:tabs>
          <w:tab w:leader="none" w:pos="482"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accordance with Section 6 of this Agreement, if you cease to be a</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spacing w:after="0" w:line="177" w:lineRule="exact"/>
        <w:rPr>
          <w:rFonts w:ascii="Arial" w:cs="Arial" w:eastAsia="Arial" w:hAnsi="Arial"/>
          <w:sz w:val="20"/>
          <w:szCs w:val="20"/>
          <w:color w:val="auto"/>
        </w:rPr>
      </w:pPr>
    </w:p>
    <w:p>
      <w:pPr>
        <w:ind w:left="380" w:hanging="375"/>
        <w:spacing w:after="0"/>
        <w:tabs>
          <w:tab w:leader="none" w:pos="380" w:val="left"/>
        </w:tabs>
        <w:numPr>
          <w:ilvl w:val="0"/>
          <w:numId w:val="77"/>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Termination of Service or Change in Control.</w:t>
      </w:r>
    </w:p>
    <w:p>
      <w:pPr>
        <w:spacing w:after="0" w:line="211" w:lineRule="exact"/>
        <w:rPr>
          <w:rFonts w:ascii="Arial" w:cs="Arial" w:eastAsia="Arial" w:hAnsi="Arial"/>
          <w:sz w:val="21"/>
          <w:szCs w:val="21"/>
          <w:color w:val="auto"/>
        </w:rPr>
      </w:pPr>
    </w:p>
    <w:p>
      <w:pPr>
        <w:jc w:val="both"/>
        <w:ind w:left="640" w:firstLine="386"/>
        <w:spacing w:after="0" w:line="228" w:lineRule="auto"/>
        <w:tabs>
          <w:tab w:leader="none" w:pos="1653" w:val="left"/>
        </w:tabs>
        <w:numPr>
          <w:ilvl w:val="3"/>
          <w:numId w:val="77"/>
        </w:numPr>
        <w:rPr>
          <w:rFonts w:ascii="Arial" w:cs="Arial" w:eastAsia="Arial" w:hAnsi="Arial"/>
          <w:sz w:val="21"/>
          <w:szCs w:val="21"/>
          <w:color w:val="auto"/>
        </w:rPr>
      </w:pPr>
      <w:r>
        <w:rPr>
          <w:rFonts w:ascii="Arial" w:cs="Arial" w:eastAsia="Arial" w:hAnsi="Arial"/>
          <w:sz w:val="21"/>
          <w:szCs w:val="21"/>
          <w:color w:val="auto"/>
        </w:rPr>
        <w:t>Except as may be provided under the remainder of this Section 6, upon termination of Service during the Performance Period for any reason other than retirement in accordance with the Retirement Conditions, death or Disability, all Units will be immediately forfeited without consideration.</w:t>
      </w:r>
    </w:p>
    <w:p>
      <w:pPr>
        <w:spacing w:after="0" w:line="180" w:lineRule="exact"/>
        <w:rPr>
          <w:rFonts w:ascii="Arial" w:cs="Arial" w:eastAsia="Arial" w:hAnsi="Arial"/>
          <w:sz w:val="21"/>
          <w:szCs w:val="21"/>
          <w:color w:val="auto"/>
        </w:rPr>
      </w:pPr>
    </w:p>
    <w:p>
      <w:pPr>
        <w:jc w:val="both"/>
        <w:ind w:left="640" w:firstLine="211"/>
        <w:spacing w:after="0" w:line="225" w:lineRule="auto"/>
        <w:tabs>
          <w:tab w:leader="none" w:pos="1315" w:val="left"/>
        </w:tabs>
        <w:numPr>
          <w:ilvl w:val="2"/>
          <w:numId w:val="77"/>
        </w:numPr>
        <w:rPr>
          <w:rFonts w:ascii="Arial" w:cs="Arial" w:eastAsia="Arial" w:hAnsi="Arial"/>
          <w:sz w:val="20"/>
          <w:szCs w:val="20"/>
          <w:color w:val="auto"/>
        </w:rPr>
      </w:pPr>
      <w:r>
        <w:rPr>
          <w:rFonts w:ascii="Arial" w:cs="Arial" w:eastAsia="Arial" w:hAnsi="Arial"/>
          <w:sz w:val="20"/>
          <w:szCs w:val="20"/>
          <w:color w:val="auto"/>
        </w:rPr>
        <w:t>Upon (i) termination of Service during the Performance Period due to death or Disability, the Target Number of Units subject to this Award will be deemed Earned Units and will vest in full upon such termination, or (ii) a Change in Control during the Performance Period as a result of which the Company does not survive as an operating company or survives only as a subsidiary of another entity (a “Business Combination”), the Target Number of Units subject to this Award will be deemed Earned Units and will vest in full upon or immediately before, and conditioned upon, the consummation of the Business Combination. Any remaining Units that do not vest as provided in this Section 6(b) will be immediately forfeited without consideration. In connection with a Change in Control during the Performance Period that is not a Business Combination, the Committee may provide in its discretion that the Target Number of Units subject to this Award will be deemed Earned Units and will vest in full upon the occurrence of the Change in Control or upon the termination of the Participant’s Service as an employee within 12 months following the Change in Control.</w:t>
      </w:r>
    </w:p>
    <w:p>
      <w:pPr>
        <w:spacing w:after="0" w:line="186" w:lineRule="exact"/>
        <w:rPr>
          <w:rFonts w:ascii="Arial" w:cs="Arial" w:eastAsia="Arial" w:hAnsi="Arial"/>
          <w:sz w:val="20"/>
          <w:szCs w:val="20"/>
          <w:color w:val="auto"/>
        </w:rPr>
      </w:pPr>
    </w:p>
    <w:p>
      <w:pPr>
        <w:jc w:val="both"/>
        <w:ind w:left="640" w:firstLine="227"/>
        <w:spacing w:after="0" w:line="215" w:lineRule="auto"/>
        <w:tabs>
          <w:tab w:leader="none" w:pos="1334" w:val="left"/>
        </w:tabs>
        <w:numPr>
          <w:ilvl w:val="2"/>
          <w:numId w:val="77"/>
        </w:numPr>
        <w:rPr>
          <w:rFonts w:ascii="Arial" w:cs="Arial" w:eastAsia="Arial" w:hAnsi="Arial"/>
          <w:sz w:val="21"/>
          <w:szCs w:val="21"/>
          <w:color w:val="auto"/>
        </w:rPr>
      </w:pPr>
      <w:r>
        <w:rPr>
          <w:rFonts w:ascii="Arial" w:cs="Arial" w:eastAsia="Arial" w:hAnsi="Arial"/>
          <w:sz w:val="21"/>
          <w:szCs w:val="21"/>
          <w:color w:val="auto"/>
        </w:rPr>
        <w:t>Except as may be provided by the Committee pursuant to Section 6(d) or (e), upon termination of Service during the Vesting Period for any reason other than retirement in accordance with the Retirement Conditions, death or Disability, all Earned Units that have not vested will be immediately forfeited without consideration.</w:t>
      </w:r>
    </w:p>
    <w:p>
      <w:pPr>
        <w:jc w:val="both"/>
        <w:ind w:left="640" w:firstLine="221"/>
        <w:spacing w:after="0" w:line="226" w:lineRule="auto"/>
        <w:tabs>
          <w:tab w:leader="none" w:pos="1333" w:val="left"/>
        </w:tabs>
        <w:numPr>
          <w:ilvl w:val="2"/>
          <w:numId w:val="77"/>
        </w:numPr>
        <w:rPr>
          <w:rFonts w:ascii="Arial" w:cs="Arial" w:eastAsia="Arial" w:hAnsi="Arial"/>
          <w:sz w:val="20"/>
          <w:szCs w:val="20"/>
          <w:color w:val="auto"/>
        </w:rPr>
      </w:pPr>
      <w:r>
        <w:rPr>
          <w:rFonts w:ascii="Arial" w:cs="Arial" w:eastAsia="Arial" w:hAnsi="Arial"/>
          <w:sz w:val="20"/>
          <w:szCs w:val="20"/>
          <w:color w:val="auto"/>
        </w:rPr>
        <w:t>Upon (i) termination of Service during the Vesting Period due to death or Disability, all Earned Units will vest in full upon such termination, or (ii) a Business Combination during the Vesting Period, all Earned Units will vest in full upon or immediately before, and conditioned upon, the consummation of the Business Combination. In connection with a Change in Control during the Vesting Period that is not a Business Combination, the Committee may provide in its discretion that all Earned Units will vest in full upon the occurrence of the Change in Control or upon the termination of the Participant’s Service as an employee within 12 months following the Change in Control.</w:t>
      </w:r>
    </w:p>
    <w:p>
      <w:pPr>
        <w:spacing w:after="0" w:line="182" w:lineRule="exact"/>
        <w:rPr>
          <w:rFonts w:ascii="Arial" w:cs="Arial" w:eastAsia="Arial" w:hAnsi="Arial"/>
          <w:sz w:val="20"/>
          <w:szCs w:val="20"/>
          <w:color w:val="auto"/>
        </w:rPr>
      </w:pPr>
    </w:p>
    <w:p>
      <w:pPr>
        <w:jc w:val="both"/>
        <w:ind w:left="640" w:firstLine="222"/>
        <w:spacing w:after="0" w:line="235" w:lineRule="auto"/>
        <w:tabs>
          <w:tab w:leader="none" w:pos="1324" w:val="left"/>
        </w:tabs>
        <w:numPr>
          <w:ilvl w:val="2"/>
          <w:numId w:val="7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Units shall continue to be earned in accordance with Section 3 of this Agreement and vest over the Vesting Period in accordance with Section 4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w:t>
      </w:r>
    </w:p>
    <w:p>
      <w:pPr>
        <w:spacing w:after="0" w:line="1" w:lineRule="exact"/>
        <w:rPr>
          <w:rFonts w:ascii="Arial" w:cs="Arial" w:eastAsia="Arial" w:hAnsi="Arial"/>
          <w:sz w:val="19"/>
          <w:szCs w:val="19"/>
          <w:color w:val="auto"/>
        </w:rPr>
      </w:pPr>
    </w:p>
    <w:p>
      <w:pPr>
        <w:ind w:left="940" w:hanging="303"/>
        <w:spacing w:after="0"/>
        <w:tabs>
          <w:tab w:leader="none" w:pos="940" w:val="left"/>
        </w:tabs>
        <w:numPr>
          <w:ilvl w:val="1"/>
          <w:numId w:val="77"/>
        </w:numPr>
        <w:rPr>
          <w:rFonts w:ascii="Arial" w:cs="Arial" w:eastAsia="Arial" w:hAnsi="Arial"/>
          <w:sz w:val="21"/>
          <w:szCs w:val="21"/>
          <w:color w:val="auto"/>
        </w:rPr>
      </w:pPr>
      <w:r>
        <w:rPr>
          <w:rFonts w:ascii="Arial" w:cs="Arial" w:eastAsia="Arial" w:hAnsi="Arial"/>
          <w:sz w:val="21"/>
          <w:szCs w:val="21"/>
          <w:color w:val="auto"/>
        </w:rPr>
        <w:t>during the period beginning on your Retirement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62" w:right="339" w:bottom="1440" w:gutter="0" w:footer="0" w:header="0"/>
        </w:sectPr>
      </w:pPr>
    </w:p>
    <w:bookmarkStart w:id="108" w:name="page109"/>
    <w:bookmarkEnd w:id="108"/>
    <w:p>
      <w:pPr>
        <w:jc w:val="both"/>
        <w:ind w:left="640"/>
        <w:spacing w:after="0" w:line="218" w:lineRule="auto"/>
        <w:rPr>
          <w:sz w:val="20"/>
          <w:szCs w:val="20"/>
          <w:color w:val="auto"/>
        </w:rPr>
      </w:pPr>
      <w:r>
        <w:rPr>
          <w:rFonts w:ascii="Arial" w:cs="Arial" w:eastAsia="Arial" w:hAnsi="Arial"/>
          <w:sz w:val="21"/>
          <w:szCs w:val="21"/>
          <w:color w:val="auto"/>
        </w:rPr>
        <w:t>ending on the final day of the Vesting Period, you: (a) continue to be available to provide Service as requested and (b) do not become employed by or otherwise provide paid services to any other entity or organization; provided, however, that you may be permitted to serve as an independent director on a board of directors for an entity that are not competitive with the Company’s business so long as any such service as an independent director is reviewed and approved in advance by the Committee. For the avoidance of doubt, if you fail to comply with the conditions in this Section 6(e), you will forfeit all unvested Earned Units.</w:t>
      </w:r>
    </w:p>
    <w:p>
      <w:pPr>
        <w:spacing w:after="0" w:line="184" w:lineRule="exact"/>
        <w:rPr>
          <w:sz w:val="20"/>
          <w:szCs w:val="20"/>
          <w:color w:val="auto"/>
        </w:rPr>
      </w:pPr>
    </w:p>
    <w:p>
      <w:pPr>
        <w:jc w:val="both"/>
        <w:ind w:left="640"/>
        <w:spacing w:after="0" w:line="216" w:lineRule="auto"/>
        <w:rPr>
          <w:sz w:val="20"/>
          <w:szCs w:val="20"/>
          <w:color w:val="auto"/>
        </w:rPr>
      </w:pPr>
      <w:r>
        <w:rPr>
          <w:rFonts w:ascii="Arial" w:cs="Arial" w:eastAsia="Arial" w:hAnsi="Arial"/>
          <w:sz w:val="21"/>
          <w:szCs w:val="21"/>
          <w:color w:val="auto"/>
        </w:rPr>
        <w:t>For purposes of this Agreement, “Retirement” means the termination of your employment when (i) you (A) are age 55 or older, (B) 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6(e) shall be paid to you not later than 74 days after the applicable vesting date of the Units as specified in Section 4 of this Agreement.</w:t>
      </w:r>
    </w:p>
    <w:p>
      <w:pPr>
        <w:spacing w:after="0" w:line="176" w:lineRule="exact"/>
        <w:rPr>
          <w:sz w:val="20"/>
          <w:szCs w:val="20"/>
          <w:color w:val="auto"/>
        </w:rPr>
      </w:pPr>
    </w:p>
    <w:p>
      <w:pPr>
        <w:ind w:left="640" w:hanging="635"/>
        <w:spacing w:after="0" w:line="235" w:lineRule="auto"/>
        <w:tabs>
          <w:tab w:leader="none" w:pos="403" w:val="left"/>
        </w:tabs>
        <w:numPr>
          <w:ilvl w:val="0"/>
          <w:numId w:val="78"/>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Units</w:t>
      </w:r>
      <w:r>
        <w:rPr>
          <w:rFonts w:ascii="Arial" w:cs="Arial" w:eastAsia="Arial" w:hAnsi="Arial"/>
          <w:sz w:val="19"/>
          <w:szCs w:val="19"/>
          <w:color w:val="auto"/>
        </w:rPr>
        <w:t>. After any Units vest pursuant to Section 4 or Section 6 of this Agreement, the Company shall,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practicable (but in any event within the period specified in Treas. Reg. § 1.409A-1(b)(4) to 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 pursuant to Section 6(e)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the Committee may provide that the settlement of any Earned Units that vest in accordance with Section 6(b)(ii) or 6(d)(ii)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w:t>
      </w:r>
    </w:p>
    <w:p>
      <w:pPr>
        <w:spacing w:after="0" w:line="179" w:lineRule="exact"/>
        <w:rPr>
          <w:rFonts w:ascii="Arial" w:cs="Arial" w:eastAsia="Arial" w:hAnsi="Arial"/>
          <w:sz w:val="19"/>
          <w:szCs w:val="19"/>
          <w:color w:val="auto"/>
        </w:rPr>
      </w:pPr>
    </w:p>
    <w:p>
      <w:pPr>
        <w:ind w:left="640" w:hanging="635"/>
        <w:spacing w:after="0" w:line="242" w:lineRule="auto"/>
        <w:tabs>
          <w:tab w:leader="none" w:pos="456" w:val="left"/>
        </w:tabs>
        <w:numPr>
          <w:ilvl w:val="0"/>
          <w:numId w:val="78"/>
        </w:numPr>
        <w:rPr>
          <w:rFonts w:ascii="Arial" w:cs="Arial" w:eastAsia="Arial" w:hAnsi="Arial"/>
          <w:sz w:val="20"/>
          <w:szCs w:val="20"/>
          <w:color w:val="auto"/>
        </w:rPr>
      </w:pPr>
      <w:r>
        <w:rPr>
          <w:rFonts w:ascii="Arial" w:cs="Arial" w:eastAsia="Arial" w:hAnsi="Arial"/>
          <w:sz w:val="20"/>
          <w:szCs w:val="20"/>
          <w:b w:val="1"/>
          <w:bCs w:val="1"/>
          <w:u w:val="single" w:color="auto"/>
          <w:color w:val="auto"/>
        </w:rPr>
        <w:t>Tax Consequences and Withholding</w:t>
      </w:r>
      <w:r>
        <w:rPr>
          <w:rFonts w:ascii="Arial" w:cs="Arial" w:eastAsia="Arial" w:hAnsi="Arial"/>
          <w:sz w:val="20"/>
          <w:szCs w:val="20"/>
          <w:color w:val="auto"/>
        </w:rPr>
        <w:t>. As a condition precedent to the settlement of the Units, the Participant is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make arrangements acceptable to the Company for payment of any federal, state or local withholding taxes that may be due as a result of the settlement of the Units (“Withholding Taxes”), in accordance with Section 14 of the Plan.</w:t>
      </w:r>
    </w:p>
    <w:p>
      <w:pPr>
        <w:spacing w:after="0" w:line="179" w:lineRule="exact"/>
        <w:rPr>
          <w:sz w:val="20"/>
          <w:szCs w:val="20"/>
          <w:color w:val="auto"/>
        </w:rPr>
      </w:pPr>
    </w:p>
    <w:p>
      <w:pPr>
        <w:jc w:val="both"/>
        <w:ind w:left="640" w:hanging="394"/>
        <w:spacing w:after="0" w:line="228" w:lineRule="auto"/>
        <w:rPr>
          <w:sz w:val="20"/>
          <w:szCs w:val="20"/>
          <w:color w:val="auto"/>
        </w:rPr>
      </w:pPr>
      <w:r>
        <w:rPr>
          <w:rFonts w:ascii="Arial" w:cs="Arial" w:eastAsia="Arial" w:hAnsi="Arial"/>
          <w:sz w:val="21"/>
          <w:szCs w:val="21"/>
          <w:color w:val="auto"/>
        </w:rPr>
        <w:t>Until such time as the Company provides notice to the contrary, it will collect the Withholding Taxes through an automatic Share withholding procedure (the “Share Withholding Method”), unless other arrangements acceptable to the Company have been made. Under such procedure, the Company or its agent will withhold, upon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68" w:right="339" w:bottom="1440" w:gutter="0" w:footer="0" w:header="0"/>
        </w:sectPr>
      </w:pPr>
    </w:p>
    <w:bookmarkStart w:id="109" w:name="page110"/>
    <w:bookmarkEnd w:id="109"/>
    <w:p>
      <w:pPr>
        <w:jc w:val="both"/>
        <w:ind w:left="640"/>
        <w:spacing w:after="0" w:line="249" w:lineRule="auto"/>
        <w:rPr>
          <w:sz w:val="20"/>
          <w:szCs w:val="20"/>
          <w:color w:val="auto"/>
        </w:rPr>
      </w:pPr>
      <w:r>
        <w:rPr>
          <w:rFonts w:ascii="Arial" w:cs="Arial" w:eastAsia="Arial" w:hAnsi="Arial"/>
          <w:sz w:val="19"/>
          <w:szCs w:val="19"/>
          <w:color w:val="auto"/>
        </w:rPr>
        <w:t>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applicable minimum statutory withholding rate or such other rate as may be permitted under the Plan up to the maximum rate applicable in your jurisdiction.</w:t>
      </w:r>
    </w:p>
    <w:p>
      <w:pPr>
        <w:spacing w:after="0" w:line="172" w:lineRule="exact"/>
        <w:rPr>
          <w:sz w:val="20"/>
          <w:szCs w:val="20"/>
          <w:color w:val="auto"/>
        </w:rPr>
      </w:pPr>
    </w:p>
    <w:p>
      <w:pPr>
        <w:jc w:val="both"/>
        <w:ind w:left="640" w:hanging="331"/>
        <w:spacing w:after="0" w:line="228" w:lineRule="auto"/>
        <w:rPr>
          <w:sz w:val="20"/>
          <w:szCs w:val="20"/>
          <w:color w:val="auto"/>
        </w:rPr>
      </w:pPr>
      <w:r>
        <w:rPr>
          <w:rFonts w:ascii="Arial" w:cs="Arial" w:eastAsia="Arial" w:hAnsi="Arial"/>
          <w:sz w:val="21"/>
          <w:szCs w:val="21"/>
          <w:color w:val="auto"/>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spacing w:after="0" w:line="180" w:lineRule="exact"/>
        <w:rPr>
          <w:sz w:val="20"/>
          <w:szCs w:val="20"/>
          <w:color w:val="auto"/>
        </w:rPr>
      </w:pPr>
    </w:p>
    <w:p>
      <w:pPr>
        <w:ind w:left="640" w:firstLine="333"/>
        <w:spacing w:after="0" w:line="285" w:lineRule="auto"/>
        <w:tabs>
          <w:tab w:leader="none" w:pos="1547" w:val="left"/>
        </w:tabs>
        <w:numPr>
          <w:ilvl w:val="3"/>
          <w:numId w:val="79"/>
        </w:numPr>
        <w:rPr>
          <w:rFonts w:ascii="Arial" w:cs="Arial" w:eastAsia="Arial" w:hAnsi="Arial"/>
          <w:sz w:val="19"/>
          <w:szCs w:val="19"/>
          <w:color w:val="auto"/>
        </w:rPr>
      </w:pPr>
      <w:r>
        <w:rPr>
          <w:rFonts w:ascii="Arial" w:cs="Arial" w:eastAsia="Arial" w:hAnsi="Arial"/>
          <w:sz w:val="19"/>
          <w:szCs w:val="19"/>
          <w:color w:val="auto"/>
        </w:rPr>
        <w:t>delivery of the Participant’s authorization to E*TRADE (or another broker designated by the Company or the Participant) to transfer to the Company from the Participant’s account at such broker the amount of such Withholding Taxes;</w:t>
      </w:r>
    </w:p>
    <w:p>
      <w:pPr>
        <w:spacing w:after="0" w:line="139" w:lineRule="exact"/>
        <w:rPr>
          <w:rFonts w:ascii="Arial" w:cs="Arial" w:eastAsia="Arial" w:hAnsi="Arial"/>
          <w:sz w:val="19"/>
          <w:szCs w:val="19"/>
          <w:color w:val="auto"/>
        </w:rPr>
      </w:pPr>
    </w:p>
    <w:p>
      <w:pPr>
        <w:jc w:val="both"/>
        <w:ind w:left="640" w:firstLine="280"/>
        <w:spacing w:after="0" w:line="234" w:lineRule="auto"/>
        <w:tabs>
          <w:tab w:leader="none" w:pos="1452" w:val="left"/>
        </w:tabs>
        <w:numPr>
          <w:ilvl w:val="2"/>
          <w:numId w:val="80"/>
        </w:numPr>
        <w:rPr>
          <w:rFonts w:ascii="Arial" w:cs="Arial" w:eastAsia="Arial" w:hAnsi="Arial"/>
          <w:sz w:val="20"/>
          <w:szCs w:val="20"/>
          <w:color w:val="auto"/>
        </w:rPr>
      </w:pPr>
      <w:r>
        <w:rPr>
          <w:rFonts w:ascii="Arial" w:cs="Arial" w:eastAsia="Arial" w:hAnsi="Arial"/>
          <w:sz w:val="20"/>
          <w:szCs w:val="20"/>
          <w:color w:val="auto"/>
        </w:rPr>
        <w:t>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spacing w:after="0" w:line="182" w:lineRule="exact"/>
        <w:rPr>
          <w:rFonts w:ascii="Arial" w:cs="Arial" w:eastAsia="Arial" w:hAnsi="Arial"/>
          <w:sz w:val="20"/>
          <w:szCs w:val="20"/>
          <w:color w:val="auto"/>
        </w:rPr>
      </w:pPr>
    </w:p>
    <w:p>
      <w:pPr>
        <w:ind w:left="1300" w:hanging="453"/>
        <w:spacing w:after="0"/>
        <w:tabs>
          <w:tab w:leader="none" w:pos="1300" w:val="left"/>
        </w:tabs>
        <w:numPr>
          <w:ilvl w:val="1"/>
          <w:numId w:val="81"/>
        </w:numPr>
        <w:rPr>
          <w:rFonts w:ascii="Arial" w:cs="Arial" w:eastAsia="Arial" w:hAnsi="Arial"/>
          <w:sz w:val="21"/>
          <w:szCs w:val="21"/>
          <w:color w:val="auto"/>
        </w:rPr>
      </w:pPr>
      <w:r>
        <w:rPr>
          <w:rFonts w:ascii="Arial" w:cs="Arial" w:eastAsia="Arial" w:hAnsi="Arial"/>
          <w:sz w:val="21"/>
          <w:szCs w:val="21"/>
          <w:color w:val="auto"/>
        </w:rPr>
        <w:t>any other method approved by the Company.</w:t>
      </w:r>
    </w:p>
    <w:p>
      <w:pPr>
        <w:spacing w:after="0" w:line="199" w:lineRule="exact"/>
        <w:rPr>
          <w:rFonts w:ascii="Arial" w:cs="Arial" w:eastAsia="Arial" w:hAnsi="Arial"/>
          <w:sz w:val="21"/>
          <w:szCs w:val="21"/>
          <w:color w:val="auto"/>
        </w:rPr>
      </w:pPr>
    </w:p>
    <w:p>
      <w:pPr>
        <w:ind w:left="640" w:hanging="635"/>
        <w:spacing w:after="0" w:line="224" w:lineRule="auto"/>
        <w:tabs>
          <w:tab w:leader="none" w:pos="456" w:val="left"/>
        </w:tabs>
        <w:numPr>
          <w:ilvl w:val="0"/>
          <w:numId w:val="82"/>
        </w:numPr>
        <w:rPr>
          <w:rFonts w:ascii="Arial" w:cs="Arial" w:eastAsia="Arial" w:hAnsi="Arial"/>
          <w:sz w:val="21"/>
          <w:szCs w:val="21"/>
          <w:color w:val="auto"/>
        </w:rPr>
      </w:pPr>
      <w:r>
        <w:rPr>
          <w:rFonts w:ascii="Arial" w:cs="Arial" w:eastAsia="Arial" w:hAnsi="Arial"/>
          <w:sz w:val="21"/>
          <w:szCs w:val="21"/>
          <w:b w:val="1"/>
          <w:bCs w:val="1"/>
          <w:u w:val="single" w:color="auto"/>
          <w:color w:val="auto"/>
        </w:rPr>
        <w:t>No Shareholder Rights</w:t>
      </w:r>
      <w:r>
        <w:rPr>
          <w:rFonts w:ascii="Arial" w:cs="Arial" w:eastAsia="Arial" w:hAnsi="Arial"/>
          <w:sz w:val="21"/>
          <w:szCs w:val="21"/>
          <w:color w:val="auto"/>
        </w:rPr>
        <w:t>. The Units subject to this Award do not entitle the Participant to any rights of a shareholder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w:t>
      </w:r>
    </w:p>
    <w:p>
      <w:pPr>
        <w:spacing w:after="0" w:line="177" w:lineRule="exact"/>
        <w:rPr>
          <w:rFonts w:ascii="Arial" w:cs="Arial" w:eastAsia="Arial" w:hAnsi="Arial"/>
          <w:sz w:val="21"/>
          <w:szCs w:val="21"/>
          <w:color w:val="auto"/>
        </w:rPr>
      </w:pPr>
    </w:p>
    <w:p>
      <w:pPr>
        <w:jc w:val="both"/>
        <w:ind w:left="640" w:hanging="635"/>
        <w:spacing w:after="0" w:line="224" w:lineRule="auto"/>
        <w:tabs>
          <w:tab w:leader="none" w:pos="666" w:val="left"/>
        </w:tabs>
        <w:numPr>
          <w:ilvl w:val="0"/>
          <w:numId w:val="8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Plan Document</w:t>
      </w:r>
      <w:r>
        <w:rPr>
          <w:rFonts w:ascii="Arial" w:cs="Arial" w:eastAsia="Arial" w:hAnsi="Arial"/>
          <w:sz w:val="21"/>
          <w:szCs w:val="21"/>
          <w:color w:val="auto"/>
        </w:rPr>
        <w:t>. This Agreement and the Award are subject to all the provisions of the Plan, and to all</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77" w:lineRule="exact"/>
        <w:rPr>
          <w:rFonts w:ascii="Arial" w:cs="Arial" w:eastAsia="Arial" w:hAnsi="Arial"/>
          <w:sz w:val="21"/>
          <w:szCs w:val="21"/>
          <w:color w:val="auto"/>
        </w:rPr>
      </w:pPr>
    </w:p>
    <w:p>
      <w:pPr>
        <w:ind w:left="640" w:hanging="635"/>
        <w:spacing w:after="0" w:line="241" w:lineRule="auto"/>
        <w:tabs>
          <w:tab w:leader="none" w:pos="474" w:val="left"/>
        </w:tabs>
        <w:numPr>
          <w:ilvl w:val="0"/>
          <w:numId w:val="82"/>
        </w:numPr>
        <w:rPr>
          <w:rFonts w:ascii="Arial" w:cs="Arial" w:eastAsia="Arial" w:hAnsi="Arial"/>
          <w:sz w:val="21"/>
          <w:szCs w:val="21"/>
          <w:color w:val="auto"/>
        </w:rPr>
      </w:pPr>
      <w:r>
        <w:rPr>
          <w:rFonts w:ascii="Arial" w:cs="Arial" w:eastAsia="Arial" w:hAnsi="Arial"/>
          <w:sz w:val="21"/>
          <w:szCs w:val="21"/>
          <w:b w:val="1"/>
          <w:bCs w:val="1"/>
          <w:u w:val="single" w:color="auto"/>
          <w:color w:val="auto"/>
        </w:rPr>
        <w:t>Choice of Law</w:t>
      </w:r>
      <w:r>
        <w:rPr>
          <w:rFonts w:ascii="Arial" w:cs="Arial" w:eastAsia="Arial" w:hAnsi="Arial"/>
          <w:sz w:val="21"/>
          <w:szCs w:val="21"/>
          <w:color w:val="auto"/>
        </w:rPr>
        <w:t>. This Agreement will be interpreted and enforced under the laws of the state of Minnesota (without regard to its</w:t>
      </w:r>
      <w:r>
        <w:rPr>
          <w:rFonts w:ascii="Arial" w:cs="Arial" w:eastAsia="Arial" w:hAnsi="Arial"/>
          <w:sz w:val="21"/>
          <w:szCs w:val="21"/>
          <w:b w:val="1"/>
          <w:bCs w:val="1"/>
          <w:color w:val="auto"/>
        </w:rPr>
        <w:t xml:space="preserve"> </w:t>
      </w:r>
      <w:r>
        <w:rPr>
          <w:rFonts w:ascii="Arial" w:cs="Arial" w:eastAsia="Arial" w:hAnsi="Arial"/>
          <w:sz w:val="21"/>
          <w:szCs w:val="21"/>
          <w:color w:val="auto"/>
        </w:rPr>
        <w:t>conflicts or choice of law principles).</w:t>
      </w:r>
    </w:p>
    <w:p>
      <w:pPr>
        <w:spacing w:after="0" w:line="172" w:lineRule="exact"/>
        <w:rPr>
          <w:rFonts w:ascii="Arial" w:cs="Arial" w:eastAsia="Arial" w:hAnsi="Arial"/>
          <w:sz w:val="21"/>
          <w:szCs w:val="21"/>
          <w:color w:val="auto"/>
        </w:rPr>
      </w:pPr>
    </w:p>
    <w:p>
      <w:pPr>
        <w:ind w:left="640" w:hanging="635"/>
        <w:spacing w:after="0" w:line="241" w:lineRule="auto"/>
        <w:tabs>
          <w:tab w:leader="none" w:pos="601" w:val="left"/>
        </w:tabs>
        <w:numPr>
          <w:ilvl w:val="0"/>
          <w:numId w:val="82"/>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color w:val="auto"/>
        </w:rPr>
        <w:t>. This Agreement will be binding in all respects on the Participant’s heirs, representatives, successors and</w:t>
      </w:r>
      <w:r>
        <w:rPr>
          <w:rFonts w:ascii="Arial" w:cs="Arial" w:eastAsia="Arial" w:hAnsi="Arial"/>
          <w:sz w:val="21"/>
          <w:szCs w:val="21"/>
          <w:b w:val="1"/>
          <w:bCs w:val="1"/>
          <w:color w:val="auto"/>
        </w:rPr>
        <w:t xml:space="preserve"> </w:t>
      </w:r>
      <w:r>
        <w:rPr>
          <w:rFonts w:ascii="Arial" w:cs="Arial" w:eastAsia="Arial" w:hAnsi="Arial"/>
          <w:sz w:val="21"/>
          <w:szCs w:val="21"/>
          <w:color w:val="auto"/>
        </w:rPr>
        <w:t>assigns, and on the successors and assigns of the Company.</w:t>
      </w:r>
    </w:p>
    <w:p>
      <w:pPr>
        <w:spacing w:after="0" w:line="172" w:lineRule="exact"/>
        <w:rPr>
          <w:rFonts w:ascii="Arial" w:cs="Arial" w:eastAsia="Arial" w:hAnsi="Arial"/>
          <w:sz w:val="21"/>
          <w:szCs w:val="21"/>
          <w:color w:val="auto"/>
        </w:rPr>
      </w:pPr>
    </w:p>
    <w:p>
      <w:pPr>
        <w:ind w:left="640" w:hanging="635"/>
        <w:spacing w:after="0" w:line="261" w:lineRule="auto"/>
        <w:tabs>
          <w:tab w:leader="none" w:pos="535" w:val="left"/>
        </w:tabs>
        <w:numPr>
          <w:ilvl w:val="0"/>
          <w:numId w:val="82"/>
        </w:numPr>
        <w:rPr>
          <w:rFonts w:ascii="Arial" w:cs="Arial" w:eastAsia="Arial" w:hAnsi="Arial"/>
          <w:sz w:val="19"/>
          <w:szCs w:val="19"/>
          <w:color w:val="auto"/>
        </w:rPr>
      </w:pPr>
      <w:r>
        <w:rPr>
          <w:rFonts w:ascii="Arial" w:cs="Arial" w:eastAsia="Arial" w:hAnsi="Arial"/>
          <w:sz w:val="19"/>
          <w:szCs w:val="19"/>
          <w:b w:val="1"/>
          <w:bCs w:val="1"/>
          <w:u w:val="single" w:color="auto"/>
          <w:color w:val="auto"/>
        </w:rPr>
        <w:t>Discontinuance of Service</w:t>
      </w:r>
      <w:r>
        <w:rPr>
          <w:rFonts w:ascii="Arial" w:cs="Arial" w:eastAsia="Arial" w:hAnsi="Arial"/>
          <w:sz w:val="19"/>
          <w:szCs w:val="19"/>
          <w:color w:val="auto"/>
        </w:rPr>
        <w:t>. This Agreement does not give the Participant a right to continued Service with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any Affiliate, and the Company or any such Affiliate may terminate the Participant’s Service at any time and otherwise deal with the Participant without regard to the effect it may have upon the Participant under this Agreement.</w:t>
      </w:r>
    </w:p>
    <w:p>
      <w:pPr>
        <w:spacing w:after="0" w:line="155" w:lineRule="exact"/>
        <w:rPr>
          <w:rFonts w:ascii="Arial" w:cs="Arial" w:eastAsia="Arial" w:hAnsi="Arial"/>
          <w:sz w:val="19"/>
          <w:szCs w:val="19"/>
          <w:color w:val="auto"/>
        </w:rPr>
      </w:pPr>
    </w:p>
    <w:p>
      <w:pPr>
        <w:ind w:left="640" w:hanging="635"/>
        <w:spacing w:after="0" w:line="242" w:lineRule="auto"/>
        <w:tabs>
          <w:tab w:leader="none" w:pos="522" w:val="left"/>
        </w:tabs>
        <w:numPr>
          <w:ilvl w:val="0"/>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Units as provided in this Agreement and any issuance of Shares or payment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intended to either be exempt from or comply with Section 409A of the Code so as not to subject you to payment of any additional tax, penalty or interest imposed under Section 409A of the Code.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8" w:right="339" w:bottom="1440" w:gutter="0" w:footer="0" w:header="0"/>
        </w:sectPr>
      </w:pPr>
    </w:p>
    <w:bookmarkStart w:id="110" w:name="page111"/>
    <w:bookmarkEnd w:id="110"/>
    <w:p>
      <w:pPr>
        <w:jc w:val="both"/>
        <w:ind w:left="640"/>
        <w:spacing w:after="0" w:line="228" w:lineRule="auto"/>
        <w:rPr>
          <w:sz w:val="20"/>
          <w:szCs w:val="20"/>
          <w:color w:val="auto"/>
        </w:rPr>
      </w:pPr>
      <w:r>
        <w:rPr>
          <w:rFonts w:ascii="Arial" w:cs="Arial" w:eastAsia="Arial" w:hAnsi="Arial"/>
          <w:sz w:val="21"/>
          <w:szCs w:val="21"/>
          <w:color w:val="auto"/>
        </w:rPr>
        <w:t>provisions of this Agreement shall be construed and interpreted to avoid the imputation of any such additional tax, penalty or interest under Section 409A of the Code yet preserve (to the nearest extent reasonably possible) the intended benefit payable to you.</w:t>
      </w:r>
    </w:p>
    <w:p>
      <w:pPr>
        <w:spacing w:after="0" w:line="174" w:lineRule="exact"/>
        <w:rPr>
          <w:sz w:val="20"/>
          <w:szCs w:val="20"/>
          <w:color w:val="auto"/>
        </w:rPr>
      </w:pPr>
    </w:p>
    <w:p>
      <w:pPr>
        <w:ind w:left="640" w:hanging="635"/>
        <w:spacing w:after="0" w:line="232" w:lineRule="auto"/>
        <w:tabs>
          <w:tab w:leader="none" w:pos="535" w:val="left"/>
        </w:tabs>
        <w:numPr>
          <w:ilvl w:val="0"/>
          <w:numId w:val="83"/>
        </w:numPr>
        <w:rPr>
          <w:rFonts w:ascii="Arial" w:cs="Arial" w:eastAsia="Arial" w:hAnsi="Arial"/>
          <w:sz w:val="20"/>
          <w:szCs w:val="20"/>
          <w:color w:val="auto"/>
        </w:rPr>
      </w:pPr>
      <w:r>
        <w:rPr>
          <w:rFonts w:ascii="Arial" w:cs="Arial" w:eastAsia="Arial" w:hAnsi="Arial"/>
          <w:sz w:val="20"/>
          <w:szCs w:val="20"/>
          <w:b w:val="1"/>
          <w:bCs w:val="1"/>
          <w:u w:val="single" w:color="auto"/>
          <w:color w:val="auto"/>
        </w:rPr>
        <w:t>Compensation Recovery Policy</w:t>
      </w:r>
      <w:r>
        <w:rPr>
          <w:rFonts w:ascii="Arial" w:cs="Arial" w:eastAsia="Arial" w:hAnsi="Arial"/>
          <w:sz w:val="20"/>
          <w:szCs w:val="20"/>
          <w:color w:val="auto"/>
        </w:rPr>
        <w:t>. To the extent that this Award is subject to recovery under any law, government regulation,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exchange listing requirement or recoupment policy adopted by the Company, it will be subject to such deductions and clawback as may be required to be made pursuant to such law, government regulation, stock exchange listing requirement or recoupment policy adopted by the Company (including, but not limited to, a policy adopted by the Company in response to any such law, government regulation or stock exchange listing requirement).</w:t>
      </w:r>
    </w:p>
    <w:p>
      <w:pPr>
        <w:spacing w:after="0" w:line="395" w:lineRule="exact"/>
        <w:rPr>
          <w:sz w:val="20"/>
          <w:szCs w:val="20"/>
          <w:color w:val="auto"/>
        </w:rPr>
      </w:pPr>
    </w:p>
    <w:p>
      <w:pPr>
        <w:ind w:left="480" w:hanging="473"/>
        <w:spacing w:after="0" w:line="237" w:lineRule="auto"/>
        <w:rPr>
          <w:sz w:val="20"/>
          <w:szCs w:val="20"/>
          <w:color w:val="auto"/>
        </w:rPr>
      </w:pPr>
      <w:r>
        <w:rPr>
          <w:rFonts w:ascii="Arial" w:cs="Arial" w:eastAsia="Arial" w:hAnsi="Arial"/>
          <w:sz w:val="21"/>
          <w:szCs w:val="21"/>
          <w:b w:val="1"/>
          <w:bCs w:val="1"/>
          <w:i w:val="1"/>
          <w:iCs w:val="1"/>
          <w:color w:val="auto"/>
        </w:rPr>
        <w:t>By executing this Agreement, the Participant accepts this Award and agrees to all the terms and conditions described in this Agreement and in the Plan document.</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FAIR ISAAC CORPORATION</w:t>
      </w:r>
    </w:p>
    <w:p>
      <w:pPr>
        <w:spacing w:after="0" w:line="328"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354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1"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Title: Executive Vice President,</w:t>
      </w:r>
    </w:p>
    <w:p>
      <w:pPr>
        <w:spacing w:after="0" w:line="48" w:lineRule="exact"/>
        <w:rPr>
          <w:sz w:val="20"/>
          <w:szCs w:val="20"/>
          <w:color w:val="auto"/>
        </w:rPr>
      </w:pPr>
    </w:p>
    <w:p>
      <w:pPr>
        <w:ind w:left="6260"/>
        <w:spacing w:after="0"/>
        <w:rPr>
          <w:sz w:val="20"/>
          <w:szCs w:val="20"/>
          <w:color w:val="auto"/>
        </w:rPr>
      </w:pPr>
      <w:r>
        <w:rPr>
          <w:rFonts w:ascii="Arial" w:cs="Arial" w:eastAsia="Arial" w:hAnsi="Arial"/>
          <w:sz w:val="21"/>
          <w:szCs w:val="2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8"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Fair Isaac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2021 Long-Term Incentive Plan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Market Share Unit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Number: MXXXXXX</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This Market Share Unit Award Agreement (this “Agreement”), dated December X, 20XX (the “Grant Date”), is by and between</w:t>
      </w:r>
    </w:p>
    <w:p>
      <w:pPr>
        <w:ind w:firstLine="5"/>
        <w:spacing w:after="0"/>
        <w:tabs>
          <w:tab w:leader="none" w:pos="510"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(the “Participant”), and Fair Isaac Corporation, a Delaware corporation (the “Company”). Any term capitalized but not defined in this Agreement will have the meaning set forth in the Company’s 2021 Long-Term Incentive Plan (the “Plan”).</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In the exercise of its discretion to grant Awards under the Plan, the Committee has determined that the Participant should receive an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Award of market share units under the Plan (the “Units”). This Award is subject to the following terms and conditions:</w:t>
      </w:r>
    </w:p>
    <w:p>
      <w:pPr>
        <w:spacing w:after="0" w:line="182" w:lineRule="exact"/>
        <w:rPr>
          <w:sz w:val="20"/>
          <w:szCs w:val="20"/>
          <w:color w:val="auto"/>
        </w:rPr>
      </w:pPr>
    </w:p>
    <w:p>
      <w:pPr>
        <w:ind w:left="640" w:hanging="635"/>
        <w:spacing w:after="0" w:line="232" w:lineRule="auto"/>
        <w:tabs>
          <w:tab w:leader="none" w:pos="469"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Market Share Units</w:t>
      </w:r>
      <w:r>
        <w:rPr>
          <w:rFonts w:ascii="Arial" w:cs="Arial" w:eastAsia="Arial" w:hAnsi="Arial"/>
          <w:sz w:val="20"/>
          <w:szCs w:val="20"/>
          <w:color w:val="auto"/>
        </w:rPr>
        <w:t>. The Company hereby grants to the Participant an Award consisting of * Units (the “Target</w:t>
      </w:r>
      <w:r>
        <w:rPr>
          <w:rFonts w:ascii="Arial" w:cs="Arial" w:eastAsia="Arial" w:hAnsi="Arial"/>
          <w:sz w:val="20"/>
          <w:szCs w:val="20"/>
          <w:b w:val="1"/>
          <w:bCs w:val="1"/>
          <w:color w:val="auto"/>
        </w:rPr>
        <w:t xml:space="preserve"> </w:t>
      </w:r>
      <w:r>
        <w:rPr>
          <w:rFonts w:ascii="Arial" w:cs="Arial" w:eastAsia="Arial" w:hAnsi="Arial"/>
          <w:sz w:val="20"/>
          <w:szCs w:val="20"/>
          <w:color w:val="auto"/>
        </w:rPr>
        <w:t>Units”), subject to possible decrease to as few as 0 Units and to possible increase to as many as * Units as provided by this Agreement. Each Unit that has been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spacing w:after="0" w:line="177" w:lineRule="exact"/>
        <w:rPr>
          <w:rFonts w:ascii="Arial" w:cs="Arial" w:eastAsia="Arial" w:hAnsi="Arial"/>
          <w:sz w:val="20"/>
          <w:szCs w:val="20"/>
          <w:color w:val="auto"/>
        </w:rPr>
      </w:pPr>
    </w:p>
    <w:p>
      <w:pPr>
        <w:ind w:left="640" w:hanging="635"/>
        <w:spacing w:after="0" w:line="229" w:lineRule="auto"/>
        <w:tabs>
          <w:tab w:leader="none" w:pos="403"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Restrictions on Units</w:t>
      </w:r>
      <w:r>
        <w:rPr>
          <w:rFonts w:ascii="Arial" w:cs="Arial" w:eastAsia="Arial" w:hAnsi="Arial"/>
          <w:sz w:val="20"/>
          <w:szCs w:val="20"/>
          <w:color w:val="auto"/>
        </w:rPr>
        <w:t>. Neither this Award nor the Units subject to this Award may be sold, assigned, transferred, exchanged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of this Agreement, respectively.</w:t>
      </w:r>
    </w:p>
    <w:p>
      <w:pPr>
        <w:spacing w:after="0" w:line="174" w:lineRule="exact"/>
        <w:rPr>
          <w:rFonts w:ascii="Arial" w:cs="Arial" w:eastAsia="Arial" w:hAnsi="Arial"/>
          <w:sz w:val="20"/>
          <w:szCs w:val="20"/>
          <w:color w:val="auto"/>
        </w:rPr>
      </w:pPr>
    </w:p>
    <w:p>
      <w:pPr>
        <w:ind w:left="640" w:hanging="635"/>
        <w:spacing w:after="0" w:line="219" w:lineRule="auto"/>
        <w:tabs>
          <w:tab w:leader="none" w:pos="390" w:val="left"/>
        </w:tabs>
        <w:numPr>
          <w:ilvl w:val="0"/>
          <w:numId w:val="85"/>
        </w:numPr>
        <w:rPr>
          <w:rFonts w:ascii="Arial" w:cs="Arial" w:eastAsia="Arial" w:hAnsi="Arial"/>
          <w:sz w:val="21"/>
          <w:szCs w:val="21"/>
          <w:color w:val="auto"/>
        </w:rPr>
      </w:pPr>
      <w:r>
        <w:rPr>
          <w:rFonts w:ascii="Arial" w:cs="Arial" w:eastAsia="Arial" w:hAnsi="Arial"/>
          <w:sz w:val="21"/>
          <w:szCs w:val="21"/>
          <w:b w:val="1"/>
          <w:bCs w:val="1"/>
          <w:u w:val="single" w:color="auto"/>
          <w:color w:val="auto"/>
        </w:rPr>
        <w:t>Earned Units</w:t>
      </w:r>
      <w:r>
        <w:rPr>
          <w:rFonts w:ascii="Arial" w:cs="Arial" w:eastAsia="Arial" w:hAnsi="Arial"/>
          <w:sz w:val="21"/>
          <w:szCs w:val="21"/>
          <w:color w:val="auto"/>
        </w:rPr>
        <w:t>. Whether and to what degree the Units are earned will be determined by the relationship between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total shareholder return performance relative to that of a benchmark index during three performance periods: Performance Period 1 will start on December 1, 20XX and end on November 30, 20XX, Performance Period 2 will start on December 1, 20XX and end on November 30, 20XX, and Performance Period 3 will start on December 1, 20XX and end on November 30, 20XX (each, a “Performance Period”). The Performance Periods may be adjusted under the circumstances and to the extent specified in Section 6(b) of this Agreement.</w:t>
      </w:r>
    </w:p>
    <w:p>
      <w:pPr>
        <w:spacing w:after="0" w:line="183" w:lineRule="exact"/>
        <w:rPr>
          <w:rFonts w:ascii="Arial" w:cs="Arial" w:eastAsia="Arial" w:hAnsi="Arial"/>
          <w:sz w:val="21"/>
          <w:szCs w:val="21"/>
          <w:color w:val="auto"/>
        </w:rPr>
      </w:pPr>
    </w:p>
    <w:p>
      <w:pPr>
        <w:jc w:val="both"/>
        <w:ind w:left="640" w:firstLine="217"/>
        <w:spacing w:after="0" w:line="223" w:lineRule="auto"/>
        <w:tabs>
          <w:tab w:leader="none" w:pos="1314" w:val="left"/>
        </w:tabs>
        <w:numPr>
          <w:ilvl w:val="1"/>
          <w:numId w:val="85"/>
        </w:numPr>
        <w:rPr>
          <w:rFonts w:ascii="Arial" w:cs="Arial" w:eastAsia="Arial" w:hAnsi="Arial"/>
          <w:sz w:val="21"/>
          <w:szCs w:val="21"/>
          <w:color w:val="auto"/>
        </w:rPr>
      </w:pPr>
      <w:r>
        <w:rPr>
          <w:rFonts w:ascii="Arial" w:cs="Arial" w:eastAsia="Arial" w:hAnsi="Arial"/>
          <w:sz w:val="21"/>
          <w:szCs w:val="21"/>
          <w:color w:val="auto"/>
        </w:rPr>
        <w:t xml:space="preserve">The number of Units subject to this Award that will be deemed earned at the conclusion of Performance Period 1 (the “Period 1 Earned Units”) will equal ⅓ of the number of Target Units multiplied by the Relative Return Factor (calculated in accordance with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to this Agreement) applicable to Performance Period 1, rounded down to the nearest whole Unit in case of a fraction.</w:t>
      </w:r>
    </w:p>
    <w:p>
      <w:pPr>
        <w:sectPr>
          <w:pgSz w:w="11900" w:h="16838" w:orient="portrait"/>
          <w:cols w:equalWidth="0" w:num="1">
            <w:col w:w="11240"/>
          </w:cols>
          <w:pgMar w:left="320" w:top="135" w:right="339" w:bottom="1440" w:gutter="0" w:footer="0" w:header="0"/>
        </w:sectPr>
      </w:pPr>
    </w:p>
    <w:bookmarkStart w:id="112" w:name="page113"/>
    <w:bookmarkEnd w:id="112"/>
    <w:p>
      <w:pPr>
        <w:jc w:val="both"/>
        <w:ind w:left="640" w:firstLine="215"/>
        <w:spacing w:after="0" w:line="228" w:lineRule="auto"/>
        <w:tabs>
          <w:tab w:leader="none" w:pos="1322"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number of Units subject to this Award that will be deemed earned at the conclusion of Performance Period 2 (the “Period 2 Earned Units”) will equal ⅓ of the number of Target Units multiplied by the Relative Return Factor applicable to Performance Period 2, rounded down to the nearest whole Unit in case of a fraction.</w:t>
      </w:r>
    </w:p>
    <w:p>
      <w:pPr>
        <w:spacing w:after="0" w:line="180" w:lineRule="exact"/>
        <w:rPr>
          <w:rFonts w:ascii="Arial" w:cs="Arial" w:eastAsia="Arial" w:hAnsi="Arial"/>
          <w:sz w:val="21"/>
          <w:szCs w:val="21"/>
          <w:color w:val="auto"/>
        </w:rPr>
      </w:pPr>
    </w:p>
    <w:p>
      <w:pPr>
        <w:jc w:val="both"/>
        <w:ind w:left="640" w:firstLine="217"/>
        <w:spacing w:after="0" w:line="220" w:lineRule="auto"/>
        <w:tabs>
          <w:tab w:leader="none" w:pos="1314"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number of Units subject to this Award that will be deemed earned at the conclusion of Performance Period 3 (the “Period 3 Earned Units”) will equal the number of Target Units multiplied by the Relative Return Factor applicable to Performance Period 3, rounded down to the nearest whole Unit in case of a fraction, minus the sum of the Period 1 Earned Units and the Period 2 Earned Units; provided that if a negative number results from the calculation of Period 3 Earned Units, the number of Period 3 Earned Units will be deemed to be 0.</w:t>
      </w:r>
    </w:p>
    <w:p>
      <w:pPr>
        <w:spacing w:after="0" w:line="182" w:lineRule="exact"/>
        <w:rPr>
          <w:rFonts w:ascii="Arial" w:cs="Arial" w:eastAsia="Arial" w:hAnsi="Arial"/>
          <w:sz w:val="21"/>
          <w:szCs w:val="21"/>
          <w:color w:val="auto"/>
        </w:rPr>
      </w:pPr>
    </w:p>
    <w:p>
      <w:pPr>
        <w:ind w:left="640" w:firstLine="287"/>
        <w:spacing w:after="0" w:line="237" w:lineRule="auto"/>
        <w:tabs>
          <w:tab w:leader="none" w:pos="1466" w:val="left"/>
        </w:tabs>
        <w:numPr>
          <w:ilvl w:val="3"/>
          <w:numId w:val="86"/>
        </w:numPr>
        <w:rPr>
          <w:rFonts w:ascii="Arial" w:cs="Arial" w:eastAsia="Arial" w:hAnsi="Arial"/>
          <w:sz w:val="21"/>
          <w:szCs w:val="21"/>
          <w:color w:val="auto"/>
        </w:rPr>
      </w:pPr>
      <w:r>
        <w:rPr>
          <w:rFonts w:ascii="Arial" w:cs="Arial" w:eastAsia="Arial" w:hAnsi="Arial"/>
          <w:sz w:val="21"/>
          <w:szCs w:val="21"/>
          <w:color w:val="auto"/>
        </w:rPr>
        <w:t>Any Units that are not deemed to be Period 1 Earned Units, Period 2 Earned Units, or Period 3 Earned Units in accordance with this Section 3 will be forfeited without consideration.</w:t>
      </w:r>
    </w:p>
    <w:p>
      <w:pPr>
        <w:spacing w:after="0" w:line="175" w:lineRule="exact"/>
        <w:rPr>
          <w:rFonts w:ascii="Arial" w:cs="Arial" w:eastAsia="Arial" w:hAnsi="Arial"/>
          <w:sz w:val="21"/>
          <w:szCs w:val="21"/>
          <w:color w:val="auto"/>
        </w:rPr>
      </w:pPr>
    </w:p>
    <w:p>
      <w:pPr>
        <w:ind w:left="640" w:hanging="635"/>
        <w:spacing w:after="0" w:line="230" w:lineRule="auto"/>
        <w:tabs>
          <w:tab w:leader="none" w:pos="443" w:val="left"/>
        </w:tabs>
        <w:numPr>
          <w:ilvl w:val="0"/>
          <w:numId w:val="87"/>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of Earned Units</w:t>
      </w:r>
      <w:r>
        <w:rPr>
          <w:rFonts w:ascii="Arial" w:cs="Arial" w:eastAsia="Arial" w:hAnsi="Arial"/>
          <w:sz w:val="21"/>
          <w:szCs w:val="21"/>
          <w:color w:val="auto"/>
        </w:rPr>
        <w:t>. Subject to Section 6 of this Agreement, if the Participant remains a Service Provider continuously</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Grant Date, then all Period 1 Earned Units will vest as of December X, 20XX, all Period 2 Earned Units will vest as of December X, 20XX, and all Period 3 Earned Units will vest as of December X, 20XX.</w:t>
      </w:r>
    </w:p>
    <w:p>
      <w:pPr>
        <w:spacing w:after="0" w:line="174" w:lineRule="exact"/>
        <w:rPr>
          <w:rFonts w:ascii="Arial" w:cs="Arial" w:eastAsia="Arial" w:hAnsi="Arial"/>
          <w:sz w:val="21"/>
          <w:szCs w:val="21"/>
          <w:color w:val="auto"/>
        </w:rPr>
      </w:pPr>
    </w:p>
    <w:p>
      <w:pPr>
        <w:ind w:left="640" w:hanging="635"/>
        <w:spacing w:after="0" w:line="230" w:lineRule="auto"/>
        <w:tabs>
          <w:tab w:leader="none" w:pos="482"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accordance with Section 6 of this Agreement, if you cease to be a</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spacing w:after="0" w:line="177" w:lineRule="exact"/>
        <w:rPr>
          <w:rFonts w:ascii="Arial" w:cs="Arial" w:eastAsia="Arial" w:hAnsi="Arial"/>
          <w:sz w:val="20"/>
          <w:szCs w:val="20"/>
          <w:color w:val="auto"/>
        </w:rPr>
      </w:pPr>
    </w:p>
    <w:p>
      <w:pPr>
        <w:ind w:left="380" w:hanging="375"/>
        <w:spacing w:after="0"/>
        <w:tabs>
          <w:tab w:leader="none" w:pos="380" w:val="left"/>
        </w:tabs>
        <w:numPr>
          <w:ilvl w:val="0"/>
          <w:numId w:val="87"/>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 of Termination of Service or Change in Control.</w:t>
      </w:r>
    </w:p>
    <w:p>
      <w:pPr>
        <w:spacing w:after="0" w:line="211" w:lineRule="exact"/>
        <w:rPr>
          <w:rFonts w:ascii="Arial" w:cs="Arial" w:eastAsia="Arial" w:hAnsi="Arial"/>
          <w:sz w:val="21"/>
          <w:szCs w:val="21"/>
          <w:color w:val="auto"/>
        </w:rPr>
      </w:pPr>
    </w:p>
    <w:p>
      <w:pPr>
        <w:ind w:left="640" w:firstLine="231"/>
        <w:spacing w:after="0" w:line="237" w:lineRule="auto"/>
        <w:tabs>
          <w:tab w:leader="none" w:pos="1342" w:val="left"/>
        </w:tabs>
        <w:numPr>
          <w:ilvl w:val="1"/>
          <w:numId w:val="87"/>
        </w:numPr>
        <w:rPr>
          <w:rFonts w:ascii="Arial" w:cs="Arial" w:eastAsia="Arial" w:hAnsi="Arial"/>
          <w:sz w:val="21"/>
          <w:szCs w:val="21"/>
          <w:color w:val="auto"/>
        </w:rPr>
      </w:pPr>
      <w:r>
        <w:rPr>
          <w:rFonts w:ascii="Arial" w:cs="Arial" w:eastAsia="Arial" w:hAnsi="Arial"/>
          <w:sz w:val="21"/>
          <w:szCs w:val="21"/>
          <w:color w:val="auto"/>
        </w:rPr>
        <w:t>Except as provided under the remainder of this Section 6, upon termination of Service prior to the final vesting date, any unvested Units will be immediately forfeited without consideration.</w:t>
      </w:r>
    </w:p>
    <w:p>
      <w:pPr>
        <w:spacing w:after="0" w:line="181" w:lineRule="exact"/>
        <w:rPr>
          <w:rFonts w:ascii="Arial" w:cs="Arial" w:eastAsia="Arial" w:hAnsi="Arial"/>
          <w:sz w:val="21"/>
          <w:szCs w:val="21"/>
          <w:color w:val="auto"/>
        </w:rPr>
      </w:pPr>
    </w:p>
    <w:p>
      <w:pPr>
        <w:jc w:val="both"/>
        <w:ind w:left="640" w:firstLine="247"/>
        <w:spacing w:after="0" w:line="228" w:lineRule="auto"/>
        <w:tabs>
          <w:tab w:leader="none" w:pos="1386" w:val="left"/>
        </w:tabs>
        <w:numPr>
          <w:ilvl w:val="2"/>
          <w:numId w:val="87"/>
        </w:numPr>
        <w:rPr>
          <w:rFonts w:ascii="Arial" w:cs="Arial" w:eastAsia="Arial" w:hAnsi="Arial"/>
          <w:sz w:val="21"/>
          <w:szCs w:val="21"/>
          <w:color w:val="auto"/>
        </w:rPr>
      </w:pPr>
      <w:r>
        <w:rPr>
          <w:rFonts w:ascii="Arial" w:cs="Arial" w:eastAsia="Arial" w:hAnsi="Arial"/>
          <w:sz w:val="21"/>
          <w:szCs w:val="21"/>
          <w:color w:val="auto"/>
        </w:rPr>
        <w:t>Upon a Change in Control as a result of which the Company does not survive as an operating company or survives only as a subsidiary of another entity (a “Business Combination”) that is consummated before the end of Performance Period 3, the following provisions apply:</w:t>
      </w:r>
    </w:p>
    <w:p>
      <w:pPr>
        <w:spacing w:after="0" w:line="180" w:lineRule="exact"/>
        <w:rPr>
          <w:rFonts w:ascii="Arial" w:cs="Arial" w:eastAsia="Arial" w:hAnsi="Arial"/>
          <w:sz w:val="21"/>
          <w:szCs w:val="21"/>
          <w:color w:val="auto"/>
        </w:rPr>
      </w:pPr>
    </w:p>
    <w:p>
      <w:pPr>
        <w:ind w:left="640" w:firstLine="509"/>
        <w:spacing w:after="0" w:line="237" w:lineRule="auto"/>
        <w:tabs>
          <w:tab w:leader="none" w:pos="1607" w:val="left"/>
        </w:tabs>
        <w:numPr>
          <w:ilvl w:val="5"/>
          <w:numId w:val="87"/>
        </w:numPr>
        <w:rPr>
          <w:rFonts w:ascii="Arial" w:cs="Arial" w:eastAsia="Arial" w:hAnsi="Arial"/>
          <w:sz w:val="21"/>
          <w:szCs w:val="21"/>
          <w:color w:val="auto"/>
        </w:rPr>
      </w:pPr>
      <w:r>
        <w:rPr>
          <w:rFonts w:ascii="Arial" w:cs="Arial" w:eastAsia="Arial" w:hAnsi="Arial"/>
          <w:sz w:val="21"/>
          <w:szCs w:val="21"/>
          <w:color w:val="auto"/>
        </w:rPr>
        <w:t>Each Performance Period during which the Business Combination occurs will be truncated so that it ends on the date the Business Combination is consummated (each, an “Adjusted Performance Period”).</w:t>
      </w:r>
    </w:p>
    <w:p>
      <w:pPr>
        <w:spacing w:after="0" w:line="181" w:lineRule="exact"/>
        <w:rPr>
          <w:rFonts w:ascii="Arial" w:cs="Arial" w:eastAsia="Arial" w:hAnsi="Arial"/>
          <w:sz w:val="21"/>
          <w:szCs w:val="21"/>
          <w:color w:val="auto"/>
        </w:rPr>
      </w:pPr>
    </w:p>
    <w:p>
      <w:pPr>
        <w:jc w:val="both"/>
        <w:ind w:left="640" w:firstLine="433"/>
        <w:spacing w:after="0" w:line="228" w:lineRule="auto"/>
        <w:tabs>
          <w:tab w:leader="none" w:pos="1551" w:val="left"/>
        </w:tabs>
        <w:numPr>
          <w:ilvl w:val="4"/>
          <w:numId w:val="87"/>
        </w:numPr>
        <w:rPr>
          <w:rFonts w:ascii="Arial" w:cs="Arial" w:eastAsia="Arial" w:hAnsi="Arial"/>
          <w:sz w:val="21"/>
          <w:szCs w:val="21"/>
          <w:color w:val="auto"/>
        </w:rPr>
      </w:pPr>
      <w:r>
        <w:rPr>
          <w:rFonts w:ascii="Arial" w:cs="Arial" w:eastAsia="Arial" w:hAnsi="Arial"/>
          <w:sz w:val="21"/>
          <w:szCs w:val="21"/>
          <w:color w:val="auto"/>
        </w:rPr>
        <w:t xml:space="preserve">The number of Units deemed earned at the conclusion of each Adjusted Performance Period (the “Adjusted Period Earned Units”) will be calculated as specified in Section 3(a), (b), or (c) of this Agreement, as applicable, using the modified calculation of the Relative Return Factor set forth in </w:t>
      </w:r>
      <w:r>
        <w:rPr>
          <w:rFonts w:ascii="Arial" w:cs="Arial" w:eastAsia="Arial" w:hAnsi="Arial"/>
          <w:sz w:val="21"/>
          <w:szCs w:val="21"/>
          <w:u w:val="single" w:color="auto"/>
          <w:color w:val="auto"/>
        </w:rPr>
        <w:t>Appendix A</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640" w:firstLine="527"/>
        <w:spacing w:after="0" w:line="285" w:lineRule="auto"/>
        <w:tabs>
          <w:tab w:leader="none" w:pos="1751" w:val="left"/>
        </w:tabs>
        <w:numPr>
          <w:ilvl w:val="6"/>
          <w:numId w:val="87"/>
        </w:numPr>
        <w:rPr>
          <w:rFonts w:ascii="Arial" w:cs="Arial" w:eastAsia="Arial" w:hAnsi="Arial"/>
          <w:sz w:val="19"/>
          <w:szCs w:val="19"/>
          <w:color w:val="auto"/>
        </w:rPr>
      </w:pPr>
      <w:r>
        <w:rPr>
          <w:rFonts w:ascii="Arial" w:cs="Arial" w:eastAsia="Arial" w:hAnsi="Arial"/>
          <w:sz w:val="19"/>
          <w:szCs w:val="19"/>
          <w:color w:val="auto"/>
        </w:rPr>
        <w:t>A portion of the Adjusted Period Earned Units for each Adjusted Performance Period will vest in full upon or immediately before, and conditioned upon, the consummation of the Business Combination, with such portion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68" w:right="339" w:bottom="1440" w:gutter="0" w:footer="0" w:header="0"/>
        </w:sectPr>
      </w:pPr>
    </w:p>
    <w:bookmarkStart w:id="113" w:name="page114"/>
    <w:bookmarkEnd w:id="113"/>
    <w:p>
      <w:pPr>
        <w:jc w:val="both"/>
        <w:spacing w:after="0" w:line="239" w:lineRule="auto"/>
        <w:rPr>
          <w:sz w:val="20"/>
          <w:szCs w:val="20"/>
          <w:color w:val="auto"/>
        </w:rPr>
      </w:pPr>
      <w:r>
        <w:rPr>
          <w:rFonts w:ascii="Arial" w:cs="Arial" w:eastAsia="Arial" w:hAnsi="Arial"/>
          <w:sz w:val="20"/>
          <w:szCs w:val="20"/>
          <w:color w:val="auto"/>
        </w:rPr>
        <w:t>multiplying the number of Adjusted Period Earned Units for that Adjusted Performance Period by a fraction, the numerator of which equals the number of days contained in the Adjusted Performance Period and the denominator of which equals the number of days contained in the Performance Period without adjustment (the “Accelerated Units”).</w:t>
      </w:r>
    </w:p>
    <w:p>
      <w:pPr>
        <w:spacing w:after="0" w:line="181" w:lineRule="exact"/>
        <w:rPr>
          <w:sz w:val="20"/>
          <w:szCs w:val="20"/>
          <w:color w:val="auto"/>
        </w:rPr>
      </w:pPr>
    </w:p>
    <w:p>
      <w:pPr>
        <w:jc w:val="both"/>
        <w:ind w:firstLine="541"/>
        <w:spacing w:after="0" w:line="218" w:lineRule="auto"/>
        <w:tabs>
          <w:tab w:leader="none" w:pos="1121" w:val="left"/>
        </w:tabs>
        <w:numPr>
          <w:ilvl w:val="3"/>
          <w:numId w:val="88"/>
        </w:numPr>
        <w:rPr>
          <w:rFonts w:ascii="Arial" w:cs="Arial" w:eastAsia="Arial" w:hAnsi="Arial"/>
          <w:sz w:val="20"/>
          <w:szCs w:val="20"/>
          <w:color w:val="auto"/>
        </w:rPr>
      </w:pPr>
      <w:r>
        <w:rPr>
          <w:rFonts w:ascii="Arial" w:cs="Arial" w:eastAsia="Arial" w:hAnsi="Arial"/>
          <w:sz w:val="20"/>
          <w:szCs w:val="20"/>
          <w:color w:val="auto"/>
        </w:rPr>
        <w:t>The number of Adjusted Period Earned Units in excess of the number of Accelerated Units for each Adjusted Performance Period (the “Time-Based Units”) will vest ratably on the X</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month during the period beginning with the consummation of the Business Combination and ending on December X, 20XX, provided the Participant’s Service as an employee with the acquiring or surviving entity in the Business Combination (or with any of its affiliated entities) continues without interruption. If the Participant experiences an involuntary termination of Service for reasons other than Cause during such vesting period, the Time-Based Units will vest in full.</w:t>
      </w:r>
    </w:p>
    <w:p>
      <w:pPr>
        <w:spacing w:after="0" w:line="184" w:lineRule="exact"/>
        <w:rPr>
          <w:rFonts w:ascii="Arial" w:cs="Arial" w:eastAsia="Arial" w:hAnsi="Arial"/>
          <w:sz w:val="20"/>
          <w:szCs w:val="20"/>
          <w:color w:val="auto"/>
        </w:rPr>
      </w:pPr>
    </w:p>
    <w:p>
      <w:pPr>
        <w:jc w:val="both"/>
        <w:ind w:firstLine="207"/>
        <w:spacing w:after="0" w:line="249" w:lineRule="auto"/>
        <w:tabs>
          <w:tab w:leader="none" w:pos="655"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connection with a Change in Control that is not a Business Combination and that is consummated before the end of Performance Period 3, the Committee may provide in its discretion that some or all of the unearned and unvested Units subject to this Award will be deemed earned and will vest in full upon the occurrence of the Change in Control or upon the termination of the Participant’s Service as an employee within 12 months following the Change in Control.</w:t>
      </w:r>
    </w:p>
    <w:p>
      <w:pPr>
        <w:spacing w:after="0" w:line="172" w:lineRule="exact"/>
        <w:rPr>
          <w:rFonts w:ascii="Arial" w:cs="Arial" w:eastAsia="Arial" w:hAnsi="Arial"/>
          <w:sz w:val="19"/>
          <w:szCs w:val="19"/>
          <w:color w:val="auto"/>
        </w:rPr>
      </w:pPr>
    </w:p>
    <w:p>
      <w:pPr>
        <w:ind w:firstLine="313"/>
        <w:spacing w:after="0" w:line="258" w:lineRule="auto"/>
        <w:tabs>
          <w:tab w:leader="none" w:pos="877" w:val="left"/>
        </w:tabs>
        <w:numPr>
          <w:ilvl w:val="2"/>
          <w:numId w:val="89"/>
        </w:numPr>
        <w:rPr>
          <w:rFonts w:ascii="Arial" w:cs="Arial" w:eastAsia="Arial" w:hAnsi="Arial"/>
          <w:sz w:val="20"/>
          <w:szCs w:val="20"/>
          <w:color w:val="auto"/>
        </w:rPr>
      </w:pPr>
      <w:r>
        <w:rPr>
          <w:rFonts w:ascii="Arial" w:cs="Arial" w:eastAsia="Arial" w:hAnsi="Arial"/>
          <w:sz w:val="20"/>
          <w:szCs w:val="20"/>
          <w:color w:val="auto"/>
        </w:rPr>
        <w:t>In connection with a Change in Control that is consummated after the end of Performance Period 3 but before December X, 20XX, the Period 3 Earned Units will vest in full upon the consummation of such a Change in Control.</w:t>
      </w:r>
    </w:p>
    <w:p>
      <w:pPr>
        <w:spacing w:after="0" w:line="163" w:lineRule="exact"/>
        <w:rPr>
          <w:rFonts w:ascii="Arial" w:cs="Arial" w:eastAsia="Arial" w:hAnsi="Arial"/>
          <w:sz w:val="20"/>
          <w:szCs w:val="20"/>
          <w:color w:val="auto"/>
        </w:rPr>
      </w:pPr>
    </w:p>
    <w:p>
      <w:pPr>
        <w:jc w:val="both"/>
        <w:ind w:firstLine="285"/>
        <w:spacing w:after="0" w:line="220" w:lineRule="auto"/>
        <w:tabs>
          <w:tab w:leader="none" w:pos="811" w:val="left"/>
        </w:tabs>
        <w:numPr>
          <w:ilvl w:val="1"/>
          <w:numId w:val="89"/>
        </w:numPr>
        <w:rPr>
          <w:rFonts w:ascii="Arial" w:cs="Arial" w:eastAsia="Arial" w:hAnsi="Arial"/>
          <w:sz w:val="21"/>
          <w:szCs w:val="21"/>
          <w:color w:val="auto"/>
        </w:rPr>
      </w:pPr>
      <w:r>
        <w:rPr>
          <w:rFonts w:ascii="Arial" w:cs="Arial" w:eastAsia="Arial" w:hAnsi="Arial"/>
          <w:sz w:val="21"/>
          <w:szCs w:val="21"/>
          <w:color w:val="auto"/>
        </w:rPr>
        <w:t>In connection with a termination of Service due to death or Disability before the end of Performance Period 3, a number of Units equal to the Target Units minus the sum of any vested Period 1 Earned Units and vested Period 2 Earned Units will vest in full upon such termination. In connection with a termination of Service due to death or Disability after the end of Performance Period 3 but before December X, 20XX, the Period 3 Earned Units will vest in full upon such termination.</w:t>
      </w:r>
    </w:p>
    <w:p>
      <w:pPr>
        <w:spacing w:after="0" w:line="182" w:lineRule="exact"/>
        <w:rPr>
          <w:rFonts w:ascii="Arial" w:cs="Arial" w:eastAsia="Arial" w:hAnsi="Arial"/>
          <w:sz w:val="21"/>
          <w:szCs w:val="21"/>
          <w:color w:val="auto"/>
        </w:rPr>
      </w:pPr>
    </w:p>
    <w:p>
      <w:pPr>
        <w:jc w:val="both"/>
        <w:ind w:firstLine="344"/>
        <w:spacing w:after="0" w:line="225" w:lineRule="auto"/>
        <w:tabs>
          <w:tab w:leader="none" w:pos="905" w:val="left"/>
        </w:tabs>
        <w:numPr>
          <w:ilvl w:val="2"/>
          <w:numId w:val="9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the Units will continue to be earned and vest in accordance with Sections 3 and 4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periods set forth in Section 4 of this Agreement,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6(f), you will forfeit all unvested Earned Units.</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For purposes of this Agreement, “Retirement” means the termination of your employment when (a) you (I) are age 55 or older, (II) have at least five years of continuous Service as an employee (which must be immediately preceding the date of termination) and (III) have served at least five cumulative years as an Executive 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960" w:top="1368" w:right="339" w:bottom="1440" w:gutter="0" w:footer="0" w:header="0"/>
        </w:sectPr>
      </w:pPr>
    </w:p>
    <w:bookmarkStart w:id="114" w:name="page115"/>
    <w:bookmarkEnd w:id="114"/>
    <w:p>
      <w:pPr>
        <w:jc w:val="both"/>
        <w:ind w:left="640"/>
        <w:spacing w:after="0" w:line="220" w:lineRule="auto"/>
        <w:rPr>
          <w:sz w:val="20"/>
          <w:szCs w:val="20"/>
          <w:color w:val="auto"/>
        </w:rPr>
      </w:pPr>
      <w:r>
        <w:rPr>
          <w:rFonts w:ascii="Arial" w:cs="Arial" w:eastAsia="Arial" w:hAnsi="Arial"/>
          <w:sz w:val="21"/>
          <w:szCs w:val="21"/>
          <w:color w:val="auto"/>
        </w:rPr>
        <w:t>President (or higher level) of the Company (while both (II) and (III) must be satisfied, periods of time served as an Executive Vice President (or higher level) under (III) may also be counted toward the five years of continuous Service requirement under (II)), and (b) the sum of your age as of the date of your termination plus your years of Service as an employee equals at least 75. Any Units that vest pursuant to this Section 6(f) shall be paid to you not later than 74 days after the applicable vesting date of the Units as specified in Section 4 of this Agreement.</w:t>
      </w:r>
    </w:p>
    <w:p>
      <w:pPr>
        <w:spacing w:after="0" w:line="177" w:lineRule="exact"/>
        <w:rPr>
          <w:sz w:val="20"/>
          <w:szCs w:val="20"/>
          <w:color w:val="auto"/>
        </w:rPr>
      </w:pPr>
    </w:p>
    <w:p>
      <w:pPr>
        <w:ind w:left="640" w:hanging="635"/>
        <w:spacing w:after="0" w:line="234" w:lineRule="auto"/>
        <w:tabs>
          <w:tab w:leader="none" w:pos="403" w:val="left"/>
        </w:tabs>
        <w:numPr>
          <w:ilvl w:val="0"/>
          <w:numId w:val="91"/>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Units</w:t>
      </w:r>
      <w:r>
        <w:rPr>
          <w:rFonts w:ascii="Arial" w:cs="Arial" w:eastAsia="Arial" w:hAnsi="Arial"/>
          <w:sz w:val="19"/>
          <w:szCs w:val="19"/>
          <w:color w:val="auto"/>
        </w:rPr>
        <w:t>. After any Units vest pursuant to Section 4 or Section 6 of this Agreement, the Company shall, as soon as</w:t>
      </w:r>
      <w:r>
        <w:rPr>
          <w:rFonts w:ascii="Arial" w:cs="Arial" w:eastAsia="Arial" w:hAnsi="Arial"/>
          <w:sz w:val="19"/>
          <w:szCs w:val="19"/>
          <w:b w:val="1"/>
          <w:bCs w:val="1"/>
          <w:color w:val="auto"/>
        </w:rPr>
        <w:t xml:space="preserve"> </w:t>
      </w:r>
      <w:r>
        <w:rPr>
          <w:rFonts w:ascii="Arial" w:cs="Arial" w:eastAsia="Arial" w:hAnsi="Arial"/>
          <w:sz w:val="19"/>
          <w:szCs w:val="19"/>
          <w:color w:val="auto"/>
        </w:rPr>
        <w:t>practicable (but in any event within the period specified in Treas. Reg. § 1.409A-1(b)(4) to 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vested pursuant to Section 6(f)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(i) the settlement of each Time-Based Unit that vests in accordance with Section 6(b)(iv)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 and (ii) the Committee may provide for the settlement of Adjusted Period Earned Units that vest in accordance with Section 6(b)(iii) of this Agreement or for the settlement of Period 3 Earned Units that vest under the circumstances specified in Section 6(d) of this Agreement on the same basis as described in the preceding clause (i).</w:t>
      </w:r>
    </w:p>
    <w:p>
      <w:pPr>
        <w:spacing w:after="0" w:line="189" w:lineRule="exact"/>
        <w:rPr>
          <w:rFonts w:ascii="Arial" w:cs="Arial" w:eastAsia="Arial" w:hAnsi="Arial"/>
          <w:sz w:val="19"/>
          <w:szCs w:val="19"/>
          <w:color w:val="auto"/>
        </w:rPr>
      </w:pPr>
    </w:p>
    <w:p>
      <w:pPr>
        <w:ind w:left="640" w:hanging="635"/>
        <w:spacing w:after="0" w:line="224" w:lineRule="auto"/>
        <w:tabs>
          <w:tab w:leader="none" w:pos="508"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Tax Consequences and Withholding</w:t>
      </w:r>
      <w:r>
        <w:rPr>
          <w:rFonts w:ascii="Arial" w:cs="Arial" w:eastAsia="Arial" w:hAnsi="Arial"/>
          <w:sz w:val="21"/>
          <w:szCs w:val="21"/>
          <w:color w:val="auto"/>
        </w:rPr>
        <w:t>. As a condition precedent to the delivery of Shares in settlement of the Units,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is required to make arrangements acceptable to the Company for payment of any federal, state or local withholding taxes that may be due as a result of the settlement of the Units (“Withholding Taxes”), in accordance with Section 14 of the Plan.</w:t>
      </w:r>
    </w:p>
    <w:p>
      <w:pPr>
        <w:spacing w:after="0" w:line="183" w:lineRule="exact"/>
        <w:rPr>
          <w:sz w:val="20"/>
          <w:szCs w:val="20"/>
          <w:color w:val="auto"/>
        </w:rPr>
      </w:pPr>
    </w:p>
    <w:p>
      <w:pPr>
        <w:jc w:val="both"/>
        <w:ind w:left="640" w:hanging="394"/>
        <w:spacing w:after="0" w:line="228" w:lineRule="auto"/>
        <w:rPr>
          <w:sz w:val="20"/>
          <w:szCs w:val="20"/>
          <w:color w:val="auto"/>
        </w:rPr>
      </w:pPr>
      <w:r>
        <w:rPr>
          <w:rFonts w:ascii="Arial" w:cs="Arial" w:eastAsia="Arial" w:hAnsi="Arial"/>
          <w:sz w:val="20"/>
          <w:szCs w:val="20"/>
          <w:color w:val="auto"/>
        </w:rPr>
        <w:t>Until such time as the Company provides notice to the contrary, it will collect the Withholding Taxes through an automatic Share withholding procedure (the “Share Withholding Method”), unless other arrangements acceptable to the Company have been made. Under such procedure, the Company or its agent will withhold, upon the tax 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applicable minimum statutory withholding rate or such other rate as may be permitted under the Plan up to the maximum rate applicable in your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8" w:right="339" w:bottom="1440" w:gutter="0" w:footer="0" w:header="0"/>
        </w:sectPr>
      </w:pPr>
    </w:p>
    <w:bookmarkStart w:id="115" w:name="page116"/>
    <w:bookmarkEnd w:id="115"/>
    <w:p>
      <w:pPr>
        <w:jc w:val="both"/>
        <w:ind w:left="640" w:hanging="331"/>
        <w:spacing w:after="0" w:line="228" w:lineRule="auto"/>
        <w:rPr>
          <w:sz w:val="20"/>
          <w:szCs w:val="20"/>
          <w:color w:val="auto"/>
        </w:rPr>
      </w:pPr>
      <w:r>
        <w:rPr>
          <w:rFonts w:ascii="Arial" w:cs="Arial" w:eastAsia="Arial" w:hAnsi="Arial"/>
          <w:sz w:val="21"/>
          <w:szCs w:val="21"/>
          <w:color w:val="auto"/>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spacing w:after="0" w:line="180" w:lineRule="exact"/>
        <w:rPr>
          <w:sz w:val="20"/>
          <w:szCs w:val="20"/>
          <w:color w:val="auto"/>
        </w:rPr>
      </w:pPr>
    </w:p>
    <w:p>
      <w:pPr>
        <w:ind w:left="640" w:firstLine="333"/>
        <w:spacing w:after="0" w:line="285" w:lineRule="auto"/>
        <w:tabs>
          <w:tab w:leader="none" w:pos="1547" w:val="left"/>
        </w:tabs>
        <w:numPr>
          <w:ilvl w:val="3"/>
          <w:numId w:val="92"/>
        </w:numPr>
        <w:rPr>
          <w:rFonts w:ascii="Arial" w:cs="Arial" w:eastAsia="Arial" w:hAnsi="Arial"/>
          <w:sz w:val="19"/>
          <w:szCs w:val="19"/>
          <w:color w:val="auto"/>
        </w:rPr>
      </w:pPr>
      <w:r>
        <w:rPr>
          <w:rFonts w:ascii="Arial" w:cs="Arial" w:eastAsia="Arial" w:hAnsi="Arial"/>
          <w:sz w:val="19"/>
          <w:szCs w:val="19"/>
          <w:color w:val="auto"/>
        </w:rPr>
        <w:t>delivery of the Participant’s authorization to E*TRADE (or another broker designated by the Company or the Participant) to transfer to the Company from the Participant’s account at such broker the amount of such Withholding Taxes;</w:t>
      </w:r>
    </w:p>
    <w:p>
      <w:pPr>
        <w:spacing w:after="0" w:line="139" w:lineRule="exact"/>
        <w:rPr>
          <w:rFonts w:ascii="Arial" w:cs="Arial" w:eastAsia="Arial" w:hAnsi="Arial"/>
          <w:sz w:val="19"/>
          <w:szCs w:val="19"/>
          <w:color w:val="auto"/>
        </w:rPr>
      </w:pPr>
    </w:p>
    <w:p>
      <w:pPr>
        <w:jc w:val="both"/>
        <w:ind w:left="640" w:firstLine="280"/>
        <w:spacing w:after="0" w:line="234" w:lineRule="auto"/>
        <w:tabs>
          <w:tab w:leader="none" w:pos="1452" w:val="left"/>
        </w:tabs>
        <w:numPr>
          <w:ilvl w:val="2"/>
          <w:numId w:val="93"/>
        </w:numPr>
        <w:rPr>
          <w:rFonts w:ascii="Arial" w:cs="Arial" w:eastAsia="Arial" w:hAnsi="Arial"/>
          <w:sz w:val="20"/>
          <w:szCs w:val="20"/>
          <w:color w:val="auto"/>
        </w:rPr>
      </w:pPr>
      <w:r>
        <w:rPr>
          <w:rFonts w:ascii="Arial" w:cs="Arial" w:eastAsia="Arial" w:hAnsi="Arial"/>
          <w:sz w:val="20"/>
          <w:szCs w:val="20"/>
          <w:color w:val="auto"/>
        </w:rPr>
        <w:t>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spacing w:after="0" w:line="182" w:lineRule="exact"/>
        <w:rPr>
          <w:rFonts w:ascii="Arial" w:cs="Arial" w:eastAsia="Arial" w:hAnsi="Arial"/>
          <w:sz w:val="20"/>
          <w:szCs w:val="20"/>
          <w:color w:val="auto"/>
        </w:rPr>
      </w:pPr>
    </w:p>
    <w:p>
      <w:pPr>
        <w:ind w:left="1300" w:hanging="453"/>
        <w:spacing w:after="0"/>
        <w:tabs>
          <w:tab w:leader="none" w:pos="1300" w:val="left"/>
        </w:tabs>
        <w:numPr>
          <w:ilvl w:val="1"/>
          <w:numId w:val="94"/>
        </w:numPr>
        <w:rPr>
          <w:rFonts w:ascii="Arial" w:cs="Arial" w:eastAsia="Arial" w:hAnsi="Arial"/>
          <w:sz w:val="21"/>
          <w:szCs w:val="21"/>
          <w:color w:val="auto"/>
        </w:rPr>
      </w:pPr>
      <w:r>
        <w:rPr>
          <w:rFonts w:ascii="Arial" w:cs="Arial" w:eastAsia="Arial" w:hAnsi="Arial"/>
          <w:sz w:val="21"/>
          <w:szCs w:val="21"/>
          <w:color w:val="auto"/>
        </w:rPr>
        <w:t>any other method approved by the Company.</w:t>
      </w:r>
    </w:p>
    <w:p>
      <w:pPr>
        <w:spacing w:after="0" w:line="199" w:lineRule="exact"/>
        <w:rPr>
          <w:rFonts w:ascii="Arial" w:cs="Arial" w:eastAsia="Arial" w:hAnsi="Arial"/>
          <w:sz w:val="21"/>
          <w:szCs w:val="21"/>
          <w:color w:val="auto"/>
        </w:rPr>
      </w:pPr>
    </w:p>
    <w:p>
      <w:pPr>
        <w:ind w:left="640" w:hanging="635"/>
        <w:spacing w:after="0" w:line="224" w:lineRule="auto"/>
        <w:tabs>
          <w:tab w:leader="none" w:pos="456"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No Shareholder Rights</w:t>
      </w:r>
      <w:r>
        <w:rPr>
          <w:rFonts w:ascii="Arial" w:cs="Arial" w:eastAsia="Arial" w:hAnsi="Arial"/>
          <w:sz w:val="21"/>
          <w:szCs w:val="21"/>
          <w:color w:val="auto"/>
        </w:rPr>
        <w:t>. The Units subject to this Award do not entitle the Participant to any rights of a shareholder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w:t>
      </w:r>
    </w:p>
    <w:p>
      <w:pPr>
        <w:spacing w:after="0" w:line="177" w:lineRule="exact"/>
        <w:rPr>
          <w:rFonts w:ascii="Arial" w:cs="Arial" w:eastAsia="Arial" w:hAnsi="Arial"/>
          <w:sz w:val="21"/>
          <w:szCs w:val="21"/>
          <w:color w:val="auto"/>
        </w:rPr>
      </w:pPr>
    </w:p>
    <w:p>
      <w:pPr>
        <w:jc w:val="both"/>
        <w:ind w:left="640" w:hanging="635"/>
        <w:spacing w:after="0" w:line="224" w:lineRule="auto"/>
        <w:tabs>
          <w:tab w:leader="none" w:pos="666"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Plan Document</w:t>
      </w:r>
      <w:r>
        <w:rPr>
          <w:rFonts w:ascii="Arial" w:cs="Arial" w:eastAsia="Arial" w:hAnsi="Arial"/>
          <w:sz w:val="21"/>
          <w:szCs w:val="21"/>
          <w:color w:val="auto"/>
        </w:rPr>
        <w:t>. This Agreement and the Award are subject to all the provisions of the Plan, and to all</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77" w:lineRule="exact"/>
        <w:rPr>
          <w:rFonts w:ascii="Arial" w:cs="Arial" w:eastAsia="Arial" w:hAnsi="Arial"/>
          <w:sz w:val="21"/>
          <w:szCs w:val="21"/>
          <w:color w:val="auto"/>
        </w:rPr>
      </w:pPr>
    </w:p>
    <w:p>
      <w:pPr>
        <w:ind w:left="640" w:hanging="635"/>
        <w:spacing w:after="0" w:line="241" w:lineRule="auto"/>
        <w:tabs>
          <w:tab w:leader="none" w:pos="474"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Choice of Law</w:t>
      </w:r>
      <w:r>
        <w:rPr>
          <w:rFonts w:ascii="Arial" w:cs="Arial" w:eastAsia="Arial" w:hAnsi="Arial"/>
          <w:sz w:val="21"/>
          <w:szCs w:val="21"/>
          <w:color w:val="auto"/>
        </w:rPr>
        <w:t>. This Agreement will be interpreted and enforced under the laws of the state of Minnesota (without regard to its</w:t>
      </w:r>
      <w:r>
        <w:rPr>
          <w:rFonts w:ascii="Arial" w:cs="Arial" w:eastAsia="Arial" w:hAnsi="Arial"/>
          <w:sz w:val="21"/>
          <w:szCs w:val="21"/>
          <w:b w:val="1"/>
          <w:bCs w:val="1"/>
          <w:color w:val="auto"/>
        </w:rPr>
        <w:t xml:space="preserve"> </w:t>
      </w:r>
      <w:r>
        <w:rPr>
          <w:rFonts w:ascii="Arial" w:cs="Arial" w:eastAsia="Arial" w:hAnsi="Arial"/>
          <w:sz w:val="21"/>
          <w:szCs w:val="21"/>
          <w:color w:val="auto"/>
        </w:rPr>
        <w:t>conflicts or choice of law principles).</w:t>
      </w:r>
    </w:p>
    <w:p>
      <w:pPr>
        <w:spacing w:after="0" w:line="172" w:lineRule="exact"/>
        <w:rPr>
          <w:rFonts w:ascii="Arial" w:cs="Arial" w:eastAsia="Arial" w:hAnsi="Arial"/>
          <w:sz w:val="21"/>
          <w:szCs w:val="21"/>
          <w:color w:val="auto"/>
        </w:rPr>
      </w:pPr>
    </w:p>
    <w:p>
      <w:pPr>
        <w:ind w:left="640" w:hanging="635"/>
        <w:spacing w:after="0" w:line="241" w:lineRule="auto"/>
        <w:tabs>
          <w:tab w:leader="none" w:pos="601"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Binding Effect</w:t>
      </w:r>
      <w:r>
        <w:rPr>
          <w:rFonts w:ascii="Arial" w:cs="Arial" w:eastAsia="Arial" w:hAnsi="Arial"/>
          <w:sz w:val="21"/>
          <w:szCs w:val="21"/>
          <w:color w:val="auto"/>
        </w:rPr>
        <w:t>. This Agreement will be binding in all respects on the Participant’s heirs, representatives, successors and</w:t>
      </w:r>
      <w:r>
        <w:rPr>
          <w:rFonts w:ascii="Arial" w:cs="Arial" w:eastAsia="Arial" w:hAnsi="Arial"/>
          <w:sz w:val="21"/>
          <w:szCs w:val="21"/>
          <w:b w:val="1"/>
          <w:bCs w:val="1"/>
          <w:color w:val="auto"/>
        </w:rPr>
        <w:t xml:space="preserve"> </w:t>
      </w:r>
      <w:r>
        <w:rPr>
          <w:rFonts w:ascii="Arial" w:cs="Arial" w:eastAsia="Arial" w:hAnsi="Arial"/>
          <w:sz w:val="21"/>
          <w:szCs w:val="21"/>
          <w:color w:val="auto"/>
        </w:rPr>
        <w:t>assigns, and on the successors and assigns of the Company.</w:t>
      </w:r>
    </w:p>
    <w:p>
      <w:pPr>
        <w:spacing w:after="0" w:line="172" w:lineRule="exact"/>
        <w:rPr>
          <w:rFonts w:ascii="Arial" w:cs="Arial" w:eastAsia="Arial" w:hAnsi="Arial"/>
          <w:sz w:val="21"/>
          <w:szCs w:val="21"/>
          <w:color w:val="auto"/>
        </w:rPr>
      </w:pPr>
    </w:p>
    <w:p>
      <w:pPr>
        <w:ind w:left="640" w:hanging="635"/>
        <w:spacing w:after="0" w:line="261" w:lineRule="auto"/>
        <w:tabs>
          <w:tab w:leader="none" w:pos="535" w:val="left"/>
        </w:tabs>
        <w:numPr>
          <w:ilvl w:val="0"/>
          <w:numId w:val="95"/>
        </w:numPr>
        <w:rPr>
          <w:rFonts w:ascii="Arial" w:cs="Arial" w:eastAsia="Arial" w:hAnsi="Arial"/>
          <w:sz w:val="19"/>
          <w:szCs w:val="19"/>
          <w:color w:val="auto"/>
        </w:rPr>
      </w:pPr>
      <w:r>
        <w:rPr>
          <w:rFonts w:ascii="Arial" w:cs="Arial" w:eastAsia="Arial" w:hAnsi="Arial"/>
          <w:sz w:val="19"/>
          <w:szCs w:val="19"/>
          <w:b w:val="1"/>
          <w:bCs w:val="1"/>
          <w:u w:val="single" w:color="auto"/>
          <w:color w:val="auto"/>
        </w:rPr>
        <w:t>Discontinuance of Service</w:t>
      </w:r>
      <w:r>
        <w:rPr>
          <w:rFonts w:ascii="Arial" w:cs="Arial" w:eastAsia="Arial" w:hAnsi="Arial"/>
          <w:sz w:val="19"/>
          <w:szCs w:val="19"/>
          <w:color w:val="auto"/>
        </w:rPr>
        <w:t>. This Agreement does not give the Participant a right to continued Service with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any Affiliate, and the Company or any such Affiliate may terminate the Participant’s Service at any time and otherwise deal with the Participant without regard to the effect it may have upon the Participant under this Agreement.</w:t>
      </w:r>
    </w:p>
    <w:p>
      <w:pPr>
        <w:spacing w:after="0" w:line="155" w:lineRule="exact"/>
        <w:rPr>
          <w:rFonts w:ascii="Arial" w:cs="Arial" w:eastAsia="Arial" w:hAnsi="Arial"/>
          <w:sz w:val="19"/>
          <w:szCs w:val="19"/>
          <w:color w:val="auto"/>
        </w:rPr>
      </w:pPr>
    </w:p>
    <w:p>
      <w:pPr>
        <w:ind w:left="640" w:hanging="635"/>
        <w:spacing w:after="0" w:line="246" w:lineRule="auto"/>
        <w:tabs>
          <w:tab w:leader="none" w:pos="522" w:val="left"/>
        </w:tabs>
        <w:numPr>
          <w:ilvl w:val="0"/>
          <w:numId w:val="95"/>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of the Code</w:t>
      </w:r>
      <w:r>
        <w:rPr>
          <w:rFonts w:ascii="Arial" w:cs="Arial" w:eastAsia="Arial" w:hAnsi="Arial"/>
          <w:sz w:val="19"/>
          <w:szCs w:val="19"/>
          <w:color w:val="auto"/>
        </w:rPr>
        <w:t>. The Units as provided in this Agreement and any issuance of Shares or payment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intended to either be exempt from or comply with Section 409A of the Code so as not to subject you to payment of any additional tax, penalty or interest imposed under Section 409A of the Code. The provisions of this Agreement shall be construed and interpreted to avoid the imputation of any such additional tax, penalty or interest under Section 409A of the Code yet preserve (to the nearest extent reasonably possible) the intended benefit payable to you.</w:t>
      </w:r>
    </w:p>
    <w:p>
      <w:pPr>
        <w:spacing w:after="0" w:line="169" w:lineRule="exact"/>
        <w:rPr>
          <w:rFonts w:ascii="Arial" w:cs="Arial" w:eastAsia="Arial" w:hAnsi="Arial"/>
          <w:sz w:val="19"/>
          <w:szCs w:val="19"/>
          <w:color w:val="auto"/>
        </w:rPr>
      </w:pPr>
    </w:p>
    <w:p>
      <w:pPr>
        <w:ind w:left="640" w:hanging="635"/>
        <w:spacing w:after="0" w:line="230" w:lineRule="auto"/>
        <w:tabs>
          <w:tab w:leader="none" w:pos="535"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Compensation Recovery Policy</w:t>
      </w:r>
      <w:r>
        <w:rPr>
          <w:rFonts w:ascii="Arial" w:cs="Arial" w:eastAsia="Arial" w:hAnsi="Arial"/>
          <w:sz w:val="21"/>
          <w:szCs w:val="21"/>
          <w:color w:val="auto"/>
        </w:rPr>
        <w:t>. To the extent that this Award is subject to recovery under any law, government regulation,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exchange listing requirement or recoupment policy adopted by the Company, it will be subject to such deductions and clawback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8" w:right="339" w:bottom="1440" w:gutter="0" w:footer="0" w:header="0"/>
        </w:sectPr>
      </w:pPr>
    </w:p>
    <w:bookmarkStart w:id="116" w:name="page117"/>
    <w:bookmarkEnd w:id="116"/>
    <w:p>
      <w:pPr>
        <w:jc w:val="both"/>
        <w:ind w:left="640"/>
        <w:spacing w:after="0" w:line="228" w:lineRule="auto"/>
        <w:rPr>
          <w:sz w:val="20"/>
          <w:szCs w:val="20"/>
          <w:color w:val="auto"/>
        </w:rPr>
      </w:pPr>
      <w:r>
        <w:rPr>
          <w:rFonts w:ascii="Arial" w:cs="Arial" w:eastAsia="Arial" w:hAnsi="Arial"/>
          <w:sz w:val="21"/>
          <w:szCs w:val="21"/>
          <w:color w:val="auto"/>
        </w:rPr>
        <w:t>may be required to be made pursuant to such law, government regulation, stock exchange listing requirement or recoupment policy adopted by the Company (including, but not limited to, a policy adopted by the Company in response to any such law, government regulation or stock exchange listing requirement).</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21"/>
          <w:szCs w:val="21"/>
          <w:b w:val="1"/>
          <w:bCs w:val="1"/>
          <w:i w:val="1"/>
          <w:iCs w:val="1"/>
          <w:color w:val="auto"/>
        </w:rPr>
        <w:t>By executing this Agreement, the Participant accepts this Award and agrees to all the terms and conditions described in this Agreement and in the Plan document.</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FAIR ISAAC CORPORATION</w:t>
      </w:r>
    </w:p>
    <w:p>
      <w:pPr>
        <w:spacing w:after="0" w:line="328"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1354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1"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Title: Executive Vice President,</w:t>
      </w:r>
    </w:p>
    <w:p>
      <w:pPr>
        <w:spacing w:after="0" w:line="48" w:lineRule="exact"/>
        <w:rPr>
          <w:sz w:val="20"/>
          <w:szCs w:val="20"/>
          <w:color w:val="auto"/>
        </w:rPr>
      </w:pPr>
    </w:p>
    <w:p>
      <w:pPr>
        <w:ind w:left="6260"/>
        <w:spacing w:after="0"/>
        <w:rPr>
          <w:sz w:val="20"/>
          <w:szCs w:val="20"/>
          <w:color w:val="auto"/>
        </w:rPr>
      </w:pPr>
      <w:r>
        <w:rPr>
          <w:rFonts w:ascii="Arial" w:cs="Arial" w:eastAsia="Arial" w:hAnsi="Arial"/>
          <w:sz w:val="21"/>
          <w:szCs w:val="2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68" w:right="339" w:bottom="1440" w:gutter="0" w:footer="0" w:header="0"/>
        </w:sectPr>
      </w:pPr>
    </w:p>
    <w:bookmarkStart w:id="117" w:name="page118"/>
    <w:bookmarkEnd w:id="117"/>
    <w:p>
      <w:pPr>
        <w:spacing w:after="0" w:line="16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1127760" cy="4845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2">
                      <a:extLst>
                        <a:ext uri="{28A0092B-C50C-407E-A947-70E740481C1C}"/>
                      </a:extLst>
                    </a:blip>
                    <a:srcRect/>
                    <a:stretch>
                      <a:fillRect/>
                    </a:stretch>
                  </pic:blipFill>
                  <pic:spPr bwMode="auto">
                    <a:xfrm>
                      <a:off x="0" y="0"/>
                      <a:ext cx="1127760"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August 22,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Nikhil Behl</w:t>
      </w:r>
    </w:p>
    <w:p>
      <w:pPr>
        <w:spacing w:after="0" w:line="202" w:lineRule="auto"/>
        <w:rPr>
          <w:sz w:val="20"/>
          <w:szCs w:val="20"/>
          <w:color w:val="auto"/>
        </w:rPr>
      </w:pPr>
      <w:r>
        <w:rPr>
          <w:rFonts w:ascii="Arial" w:cs="Arial" w:eastAsia="Arial" w:hAnsi="Arial"/>
          <w:sz w:val="19"/>
          <w:szCs w:val="19"/>
          <w:color w:val="auto"/>
        </w:rPr>
        <w:t>1115 N Lemon Ave</w:t>
      </w:r>
    </w:p>
    <w:p>
      <w:pPr>
        <w:spacing w:after="0"/>
        <w:rPr>
          <w:sz w:val="20"/>
          <w:szCs w:val="20"/>
          <w:color w:val="auto"/>
        </w:rPr>
      </w:pPr>
      <w:r>
        <w:rPr>
          <w:rFonts w:ascii="Arial" w:cs="Arial" w:eastAsia="Arial" w:hAnsi="Arial"/>
          <w:sz w:val="19"/>
          <w:szCs w:val="19"/>
          <w:color w:val="auto"/>
        </w:rPr>
        <w:t>Menlo Park, CA 94025</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Dear Nikhil:</w:t>
      </w:r>
    </w:p>
    <w:p>
      <w:pPr>
        <w:spacing w:after="0" w:line="21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This letter agreement (the “Agreement”) confirms our desire to appoint you to the position of Executive Vice President-Chief Marketing Officer of Fair Isaac Corporation (the “Company”), and sets out the terms and conditions of your employment with the Company, as follows:</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You will serve as the Company’s Executive Vice President-Chief Marketing Officer.</w:t>
      </w:r>
    </w:p>
    <w:p>
      <w:pPr>
        <w:spacing w:after="0" w:line="216" w:lineRule="exact"/>
        <w:rPr>
          <w:sz w:val="20"/>
          <w:szCs w:val="20"/>
          <w:color w:val="auto"/>
        </w:rPr>
      </w:pPr>
    </w:p>
    <w:p>
      <w:pPr>
        <w:ind w:left="660" w:hanging="1894"/>
        <w:spacing w:after="0" w:line="230" w:lineRule="auto"/>
        <w:tabs>
          <w:tab w:leader="none" w:pos="640" w:val="left"/>
        </w:tabs>
        <w:rPr>
          <w:sz w:val="20"/>
          <w:szCs w:val="20"/>
          <w:color w:val="auto"/>
        </w:rPr>
      </w:pPr>
      <w:r>
        <w:rPr>
          <w:rFonts w:ascii="Arial" w:cs="Arial" w:eastAsia="Arial" w:hAnsi="Arial"/>
          <w:sz w:val="19"/>
          <w:szCs w:val="19"/>
          <w:color w:val="auto"/>
        </w:rPr>
        <w:t>Term:</w:t>
      </w:r>
      <w:r>
        <w:rPr>
          <w:sz w:val="20"/>
          <w:szCs w:val="20"/>
          <w:color w:val="auto"/>
        </w:rPr>
        <w:tab/>
      </w:r>
      <w:r>
        <w:rPr>
          <w:rFonts w:ascii="Arial" w:cs="Arial" w:eastAsia="Arial" w:hAnsi="Arial"/>
          <w:sz w:val="18"/>
          <w:szCs w:val="18"/>
          <w:color w:val="auto"/>
        </w:rPr>
        <w:t>The term of your employment as the Company’s Executive Vice President-Chief Marketing Officer, under the terms and conditions of this Agreement shall be for a period commencing on August 22, 2023 (the “Appointment Effective Date”) and ending on</w:t>
      </w:r>
    </w:p>
    <w:p>
      <w:pPr>
        <w:ind w:left="1900"/>
        <w:spacing w:after="0" w:line="217" w:lineRule="auto"/>
        <w:rPr>
          <w:sz w:val="20"/>
          <w:szCs w:val="20"/>
          <w:color w:val="auto"/>
        </w:rPr>
      </w:pPr>
      <w:r>
        <w:rPr>
          <w:rFonts w:ascii="Arial" w:cs="Arial" w:eastAsia="Arial" w:hAnsi="Arial"/>
          <w:sz w:val="19"/>
          <w:szCs w:val="19"/>
          <w:color w:val="auto"/>
        </w:rPr>
        <w:t>December 31, 2026 (the “Initial Term”), unless earlier terminated by either party as provided in this Agreement.</w:t>
      </w:r>
    </w:p>
    <w:p>
      <w:pPr>
        <w:spacing w:after="0" w:line="1" w:lineRule="exact"/>
        <w:rPr>
          <w:sz w:val="20"/>
          <w:szCs w:val="20"/>
          <w:color w:val="auto"/>
        </w:rPr>
      </w:pPr>
    </w:p>
    <w:p>
      <w:pPr>
        <w:ind w:left="1900" w:right="80"/>
        <w:spacing w:after="0" w:line="234" w:lineRule="auto"/>
        <w:rPr>
          <w:sz w:val="20"/>
          <w:szCs w:val="20"/>
          <w:color w:val="auto"/>
        </w:rPr>
      </w:pPr>
      <w:r>
        <w:rPr>
          <w:rFonts w:ascii="Arial" w:cs="Arial" w:eastAsia="Arial" w:hAnsi="Arial"/>
          <w:sz w:val="17"/>
          <w:szCs w:val="17"/>
          <w:color w:val="auto"/>
        </w:rPr>
        <w:t>Following the Initial Term, your employment with the Company under the terms and conditions of this Agreement shall automatically be renewed for successive one-year periods (each a “Renewal Term”) on January 1 of each year, unless</w:t>
      </w:r>
    </w:p>
    <w:p>
      <w:pPr>
        <w:ind w:left="1900"/>
        <w:spacing w:after="0"/>
        <w:rPr>
          <w:sz w:val="20"/>
          <w:szCs w:val="20"/>
          <w:color w:val="auto"/>
        </w:rPr>
      </w:pPr>
      <w:r>
        <w:rPr>
          <w:rFonts w:ascii="Arial" w:cs="Arial" w:eastAsia="Arial" w:hAnsi="Arial"/>
          <w:sz w:val="17"/>
          <w:szCs w:val="17"/>
          <w:color w:val="auto"/>
        </w:rPr>
        <w:t>the Company elects not to extend the Term providing you with written notice at least one hundred and eighty (180) days’</w:t>
      </w:r>
    </w:p>
    <w:p>
      <w:pPr>
        <w:spacing w:after="0" w:line="2" w:lineRule="exact"/>
        <w:rPr>
          <w:sz w:val="20"/>
          <w:szCs w:val="20"/>
          <w:color w:val="auto"/>
        </w:rPr>
      </w:pPr>
    </w:p>
    <w:p>
      <w:pPr>
        <w:ind w:left="1900" w:right="160"/>
        <w:spacing w:after="0" w:line="234" w:lineRule="auto"/>
        <w:rPr>
          <w:sz w:val="20"/>
          <w:szCs w:val="20"/>
          <w:color w:val="auto"/>
        </w:rPr>
      </w:pPr>
      <w:r>
        <w:rPr>
          <w:rFonts w:ascii="Arial" w:cs="Arial" w:eastAsia="Arial" w:hAnsi="Arial"/>
          <w:sz w:val="17"/>
          <w:szCs w:val="17"/>
          <w:color w:val="auto"/>
        </w:rPr>
        <w:t>prior to the end of the Initial Term or any Renewal Term thereof. The period of your employment with the Company under the terms and conditions of this Agreement (including during the Initial Term and any Renewal Term) is referred</w:t>
      </w:r>
    </w:p>
    <w:p>
      <w:pPr>
        <w:ind w:left="1900"/>
        <w:spacing w:after="0"/>
        <w:rPr>
          <w:sz w:val="20"/>
          <w:szCs w:val="20"/>
          <w:color w:val="auto"/>
        </w:rPr>
      </w:pPr>
      <w:r>
        <w:rPr>
          <w:rFonts w:ascii="Arial" w:cs="Arial" w:eastAsia="Arial" w:hAnsi="Arial"/>
          <w:sz w:val="19"/>
          <w:szCs w:val="19"/>
          <w:color w:val="auto"/>
        </w:rPr>
        <w:t>to as the “Term.”</w:t>
      </w:r>
    </w:p>
    <w:p>
      <w:pPr>
        <w:spacing w:after="0" w:line="187" w:lineRule="exact"/>
        <w:rPr>
          <w:sz w:val="20"/>
          <w:szCs w:val="20"/>
          <w:color w:val="auto"/>
        </w:rPr>
      </w:pPr>
    </w:p>
    <w:p>
      <w:pPr>
        <w:ind w:left="1480" w:right="120" w:hanging="1894"/>
        <w:spacing w:after="0" w:line="252" w:lineRule="auto"/>
        <w:tabs>
          <w:tab w:leader="none" w:pos="1460" w:val="left"/>
        </w:tabs>
        <w:rPr>
          <w:sz w:val="20"/>
          <w:szCs w:val="20"/>
          <w:color w:val="auto"/>
        </w:rPr>
      </w:pPr>
      <w:r>
        <w:rPr>
          <w:rFonts w:ascii="Arial" w:cs="Arial" w:eastAsia="Arial" w:hAnsi="Arial"/>
          <w:sz w:val="19"/>
          <w:szCs w:val="19"/>
          <w:color w:val="auto"/>
        </w:rPr>
        <w:t>Responsibilities:</w:t>
      </w:r>
      <w:r>
        <w:rPr>
          <w:sz w:val="20"/>
          <w:szCs w:val="20"/>
          <w:color w:val="auto"/>
        </w:rPr>
        <w:tab/>
      </w:r>
      <w:r>
        <w:rPr>
          <w:rFonts w:ascii="Arial" w:cs="Arial" w:eastAsia="Arial" w:hAnsi="Arial"/>
          <w:sz w:val="17"/>
          <w:szCs w:val="17"/>
          <w:color w:val="auto"/>
        </w:rPr>
        <w:t>During your employment hereunder with the Company as Executive Vice President-Chief Marketing Officer, you will report to the Company’s Chief Executive Officer and will be responsible for overseeing corporate branding, customer lead</w:t>
      </w:r>
    </w:p>
    <w:p>
      <w:pPr>
        <w:ind w:left="1900" w:right="40"/>
        <w:spacing w:after="0" w:line="234" w:lineRule="auto"/>
        <w:rPr>
          <w:sz w:val="20"/>
          <w:szCs w:val="20"/>
          <w:color w:val="auto"/>
        </w:rPr>
      </w:pPr>
      <w:r>
        <w:rPr>
          <w:rFonts w:ascii="Arial" w:cs="Arial" w:eastAsia="Arial" w:hAnsi="Arial"/>
          <w:sz w:val="17"/>
          <w:szCs w:val="17"/>
          <w:color w:val="auto"/>
        </w:rPr>
        <w:t>generation and qualification, portfolio marketing, digital website development and maintenance, corporate and customer events planning, public and government relations, corporate communications and other functions to which you may be</w:t>
      </w:r>
    </w:p>
    <w:p>
      <w:pPr>
        <w:ind w:left="1900"/>
        <w:spacing w:after="0" w:line="229" w:lineRule="auto"/>
        <w:rPr>
          <w:sz w:val="20"/>
          <w:szCs w:val="20"/>
          <w:color w:val="auto"/>
        </w:rPr>
      </w:pPr>
      <w:r>
        <w:rPr>
          <w:rFonts w:ascii="Arial" w:cs="Arial" w:eastAsia="Arial" w:hAnsi="Arial"/>
          <w:sz w:val="18"/>
          <w:szCs w:val="18"/>
          <w:color w:val="auto"/>
        </w:rPr>
        <w:t>assigned from time to time by the Chief Executive Officer or his or her designee. You agree to serve the Company</w:t>
      </w:r>
    </w:p>
    <w:p>
      <w:pPr>
        <w:ind w:left="1900" w:right="60"/>
        <w:spacing w:after="0" w:line="234" w:lineRule="auto"/>
        <w:rPr>
          <w:sz w:val="20"/>
          <w:szCs w:val="20"/>
          <w:color w:val="auto"/>
        </w:rPr>
      </w:pPr>
      <w:r>
        <w:rPr>
          <w:rFonts w:ascii="Arial" w:cs="Arial" w:eastAsia="Arial" w:hAnsi="Arial"/>
          <w:sz w:val="17"/>
          <w:szCs w:val="17"/>
          <w:color w:val="auto"/>
        </w:rPr>
        <w:t>faithfully and to the best of your ability, and to devote your full working time, attention and efforts to the business of the Company. You may participate in charitable activities and personal investment activities to a reasonable extent, and you</w:t>
      </w:r>
    </w:p>
    <w:p>
      <w:pPr>
        <w:ind w:left="1900"/>
        <w:spacing w:after="0" w:line="229" w:lineRule="auto"/>
        <w:rPr>
          <w:sz w:val="20"/>
          <w:szCs w:val="20"/>
          <w:color w:val="auto"/>
        </w:rPr>
      </w:pPr>
      <w:r>
        <w:rPr>
          <w:rFonts w:ascii="Arial" w:cs="Arial" w:eastAsia="Arial" w:hAnsi="Arial"/>
          <w:sz w:val="18"/>
          <w:szCs w:val="18"/>
          <w:color w:val="auto"/>
        </w:rPr>
        <w:t>may serve as a director of business and civic organizations (and retain compensation from same) as approved by the</w:t>
      </w:r>
    </w:p>
    <w:p>
      <w:pPr>
        <w:ind w:left="1900" w:right="560"/>
        <w:spacing w:after="0" w:line="227" w:lineRule="auto"/>
        <w:rPr>
          <w:sz w:val="20"/>
          <w:szCs w:val="20"/>
          <w:color w:val="auto"/>
        </w:rPr>
      </w:pPr>
      <w:r>
        <w:rPr>
          <w:rFonts w:ascii="Arial" w:cs="Arial" w:eastAsia="Arial" w:hAnsi="Arial"/>
          <w:sz w:val="19"/>
          <w:szCs w:val="19"/>
          <w:color w:val="auto"/>
        </w:rPr>
        <w:t>Company’s Board of Directors (the “Board”), so long as such activities and directorships do not interfere with the performance of your duties and responsibilities to the Company.</w:t>
      </w:r>
    </w:p>
    <w:p>
      <w:pPr>
        <w:sectPr>
          <w:pgSz w:w="11900" w:h="16838" w:orient="portrait"/>
          <w:cols w:equalWidth="0" w:num="1">
            <w:col w:w="11240"/>
          </w:cols>
          <w:pgMar w:left="320" w:top="1440" w:right="339" w:bottom="1440" w:gutter="0" w:footer="0" w:header="0"/>
        </w:sectPr>
      </w:pPr>
    </w:p>
    <w:bookmarkStart w:id="118" w:name="page119"/>
    <w:bookmarkEnd w:id="118"/>
    <w:p>
      <w:pPr>
        <w:spacing w:after="0"/>
        <w:tabs>
          <w:tab w:leader="none" w:pos="1380" w:val="left"/>
        </w:tabs>
        <w:rPr>
          <w:sz w:val="20"/>
          <w:szCs w:val="20"/>
          <w:color w:val="auto"/>
        </w:rPr>
      </w:pPr>
      <w:r>
        <w:rPr>
          <w:rFonts w:ascii="Arial" w:cs="Arial" w:eastAsia="Arial" w:hAnsi="Arial"/>
          <w:sz w:val="19"/>
          <w:szCs w:val="19"/>
          <w:color w:val="auto"/>
        </w:rPr>
        <w:t>Representation:</w:t>
      </w:r>
      <w:r>
        <w:rPr>
          <w:sz w:val="20"/>
          <w:szCs w:val="20"/>
          <w:color w:val="auto"/>
        </w:rPr>
        <w:tab/>
      </w:r>
      <w:r>
        <w:rPr>
          <w:rFonts w:ascii="Arial" w:cs="Arial" w:eastAsia="Arial" w:hAnsi="Arial"/>
          <w:sz w:val="17"/>
          <w:szCs w:val="17"/>
          <w:color w:val="auto"/>
        </w:rPr>
        <w:t>By accepting your continued employment with the Company under this Agreement and signing below, you represent and</w:t>
      </w:r>
    </w:p>
    <w:p>
      <w:pPr>
        <w:ind w:left="1900" w:right="180"/>
        <w:spacing w:after="0" w:line="227" w:lineRule="auto"/>
        <w:rPr>
          <w:sz w:val="20"/>
          <w:szCs w:val="20"/>
          <w:color w:val="auto"/>
        </w:rPr>
      </w:pPr>
      <w:r>
        <w:rPr>
          <w:rFonts w:ascii="Arial" w:cs="Arial" w:eastAsia="Arial" w:hAnsi="Arial"/>
          <w:sz w:val="19"/>
          <w:szCs w:val="19"/>
          <w:color w:val="auto"/>
        </w:rPr>
        <w:t>confirm that you are under no contractual or legal commitments that would prevent you from fulfilling your duties and responsibilities to the Company as Executive Vice President-Chief Marketing Officer.</w:t>
      </w:r>
    </w:p>
    <w:p>
      <w:pPr>
        <w:spacing w:after="0" w:line="184" w:lineRule="exact"/>
        <w:rPr>
          <w:sz w:val="20"/>
          <w:szCs w:val="20"/>
          <w:color w:val="auto"/>
        </w:rPr>
      </w:pPr>
    </w:p>
    <w:p>
      <w:pPr>
        <w:spacing w:after="0"/>
        <w:tabs>
          <w:tab w:leader="none" w:pos="1660" w:val="left"/>
        </w:tabs>
        <w:rPr>
          <w:sz w:val="20"/>
          <w:szCs w:val="20"/>
          <w:color w:val="auto"/>
        </w:rPr>
      </w:pPr>
      <w:r>
        <w:rPr>
          <w:rFonts w:ascii="Arial" w:cs="Arial" w:eastAsia="Arial" w:hAnsi="Arial"/>
          <w:sz w:val="19"/>
          <w:szCs w:val="19"/>
          <w:color w:val="auto"/>
        </w:rPr>
        <w:t>Initial Base Salary:</w:t>
      </w:r>
      <w:r>
        <w:rPr>
          <w:sz w:val="20"/>
          <w:szCs w:val="20"/>
          <w:color w:val="auto"/>
        </w:rPr>
        <w:tab/>
      </w:r>
      <w:r>
        <w:rPr>
          <w:rFonts w:ascii="Arial" w:cs="Arial" w:eastAsia="Arial" w:hAnsi="Arial"/>
          <w:sz w:val="17"/>
          <w:szCs w:val="17"/>
          <w:color w:val="auto"/>
        </w:rPr>
        <w:t>During the Term, you will be paid a base salary at the rate of $330,000 per year for services performed, in accordance with</w:t>
      </w:r>
    </w:p>
    <w:p>
      <w:pPr>
        <w:ind w:left="1900" w:right="340"/>
        <w:spacing w:after="0" w:line="234" w:lineRule="auto"/>
        <w:rPr>
          <w:sz w:val="20"/>
          <w:szCs w:val="20"/>
          <w:color w:val="auto"/>
        </w:rPr>
      </w:pPr>
      <w:r>
        <w:rPr>
          <w:rFonts w:ascii="Arial" w:cs="Arial" w:eastAsia="Arial" w:hAnsi="Arial"/>
          <w:sz w:val="17"/>
          <w:szCs w:val="17"/>
          <w:color w:val="auto"/>
        </w:rPr>
        <w:t>the regular payroll practices of the Company with annual review by the Board’s Leadership Development and Compensation Committee (the “Committee”). Your performance and base salary will be reviewed by the Committee</w:t>
      </w:r>
    </w:p>
    <w:p>
      <w:pPr>
        <w:jc w:val="right"/>
        <w:spacing w:after="0" w:line="217" w:lineRule="auto"/>
        <w:rPr>
          <w:sz w:val="20"/>
          <w:szCs w:val="20"/>
          <w:color w:val="auto"/>
        </w:rPr>
      </w:pPr>
      <w:r>
        <w:rPr>
          <w:rFonts w:ascii="Arial" w:cs="Arial" w:eastAsia="Arial" w:hAnsi="Arial"/>
          <w:sz w:val="19"/>
          <w:szCs w:val="19"/>
          <w:color w:val="auto"/>
        </w:rPr>
        <w:t>annually during the first quarter of each fiscal year and may be adjusted upward from time to time at the discretion of the</w:t>
      </w:r>
    </w:p>
    <w:p>
      <w:pPr>
        <w:ind w:left="1900" w:right="40"/>
        <w:spacing w:after="0" w:line="227" w:lineRule="auto"/>
        <w:rPr>
          <w:sz w:val="20"/>
          <w:szCs w:val="20"/>
          <w:color w:val="auto"/>
        </w:rPr>
      </w:pPr>
      <w:r>
        <w:rPr>
          <w:rFonts w:ascii="Arial" w:cs="Arial" w:eastAsia="Arial" w:hAnsi="Arial"/>
          <w:sz w:val="19"/>
          <w:szCs w:val="19"/>
          <w:color w:val="auto"/>
        </w:rPr>
        <w:t>Committee, but will not be reduced without your consent during the Term. After any such increase, the reference to base salary in this Agreement shall mean such increased amount.</w:t>
      </w:r>
    </w:p>
    <w:p>
      <w:pPr>
        <w:spacing w:after="0" w:line="184"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color w:val="auto"/>
        </w:rPr>
        <w:t>Incentive Bonus:</w:t>
      </w:r>
      <w:r>
        <w:rPr>
          <w:sz w:val="20"/>
          <w:szCs w:val="20"/>
          <w:color w:val="auto"/>
        </w:rPr>
        <w:tab/>
      </w:r>
      <w:r>
        <w:rPr>
          <w:rFonts w:ascii="Arial" w:cs="Arial" w:eastAsia="Arial" w:hAnsi="Arial"/>
          <w:sz w:val="17"/>
          <w:szCs w:val="17"/>
          <w:color w:val="auto"/>
        </w:rPr>
        <w:t>You will continue to participate in the Company’s Management Incentive Plan, as may be amended by the Committee from</w:t>
      </w:r>
    </w:p>
    <w:p>
      <w:pPr>
        <w:ind w:left="1900" w:right="400"/>
        <w:spacing w:after="0" w:line="234" w:lineRule="auto"/>
        <w:rPr>
          <w:sz w:val="20"/>
          <w:szCs w:val="20"/>
          <w:color w:val="auto"/>
        </w:rPr>
      </w:pPr>
      <w:r>
        <w:rPr>
          <w:rFonts w:ascii="Arial" w:cs="Arial" w:eastAsia="Arial" w:hAnsi="Arial"/>
          <w:sz w:val="17"/>
          <w:szCs w:val="17"/>
          <w:color w:val="auto"/>
        </w:rPr>
        <w:t>time to time (the “MIP”). Under the MIP, for each full fiscal year of the Company that you are employed during the Term, you will be eligible for an annual incentive award opportunity payable from 0% to 100%, with a target award</w:t>
      </w:r>
    </w:p>
    <w:p>
      <w:pPr>
        <w:ind w:left="1900"/>
        <w:spacing w:after="0" w:line="229" w:lineRule="auto"/>
        <w:rPr>
          <w:sz w:val="20"/>
          <w:szCs w:val="20"/>
          <w:color w:val="auto"/>
        </w:rPr>
      </w:pPr>
      <w:r>
        <w:rPr>
          <w:rFonts w:ascii="Arial" w:cs="Arial" w:eastAsia="Arial" w:hAnsi="Arial"/>
          <w:sz w:val="18"/>
          <w:szCs w:val="18"/>
          <w:color w:val="auto"/>
        </w:rPr>
        <w:t>equal to 50%, of your annual base salary at the rate in effect at the end of such fiscal year, pursuant to the terms and</w:t>
      </w:r>
    </w:p>
    <w:p>
      <w:pPr>
        <w:ind w:left="1900" w:right="220"/>
        <w:spacing w:after="0" w:line="234" w:lineRule="auto"/>
        <w:rPr>
          <w:sz w:val="20"/>
          <w:szCs w:val="20"/>
          <w:color w:val="auto"/>
        </w:rPr>
      </w:pPr>
      <w:r>
        <w:rPr>
          <w:rFonts w:ascii="Arial" w:cs="Arial" w:eastAsia="Arial" w:hAnsi="Arial"/>
          <w:sz w:val="17"/>
          <w:szCs w:val="17"/>
          <w:color w:val="auto"/>
        </w:rPr>
        <w:t>conditions established by the Committee from time to time. Objectives will be established during the first quarter of each annual performance period. Any annual incentive bonus earned for a fiscal year will be paid to you by December</w:t>
      </w:r>
    </w:p>
    <w:p>
      <w:pPr>
        <w:ind w:left="1900"/>
        <w:spacing w:after="0"/>
        <w:rPr>
          <w:sz w:val="20"/>
          <w:szCs w:val="20"/>
          <w:color w:val="auto"/>
        </w:rPr>
      </w:pPr>
      <w:r>
        <w:rPr>
          <w:rFonts w:ascii="Arial" w:cs="Arial" w:eastAsia="Arial" w:hAnsi="Arial"/>
          <w:sz w:val="19"/>
          <w:szCs w:val="19"/>
          <w:color w:val="auto"/>
        </w:rPr>
        <w:t>31 of the calendar year in which such fiscal year ends.</w:t>
      </w:r>
    </w:p>
    <w:p>
      <w:pPr>
        <w:spacing w:after="0" w:line="200" w:lineRule="exact"/>
        <w:rPr>
          <w:sz w:val="20"/>
          <w:szCs w:val="20"/>
          <w:color w:val="auto"/>
        </w:rPr>
      </w:pPr>
    </w:p>
    <w:p>
      <w:pPr>
        <w:ind w:left="1380" w:right="360" w:hanging="1894"/>
        <w:spacing w:after="0" w:line="230" w:lineRule="auto"/>
        <w:tabs>
          <w:tab w:leader="none" w:pos="1360" w:val="left"/>
        </w:tabs>
        <w:rPr>
          <w:sz w:val="20"/>
          <w:szCs w:val="20"/>
          <w:color w:val="auto"/>
        </w:rPr>
      </w:pPr>
      <w:r>
        <w:rPr>
          <w:rFonts w:ascii="Arial" w:cs="Arial" w:eastAsia="Arial" w:hAnsi="Arial"/>
          <w:sz w:val="19"/>
          <w:szCs w:val="19"/>
          <w:color w:val="auto"/>
        </w:rPr>
        <w:t>Annual Equity:</w:t>
      </w:r>
      <w:r>
        <w:rPr>
          <w:sz w:val="20"/>
          <w:szCs w:val="20"/>
          <w:color w:val="auto"/>
        </w:rPr>
        <w:tab/>
      </w:r>
      <w:r>
        <w:rPr>
          <w:rFonts w:ascii="Arial" w:cs="Arial" w:eastAsia="Arial" w:hAnsi="Arial"/>
          <w:sz w:val="18"/>
          <w:szCs w:val="18"/>
          <w:color w:val="auto"/>
        </w:rPr>
        <w:t>For each fiscal year of the Company that you are employed during the Term, you will be eligible for an annual equity grant based on achievement of objectives established by the Committee, and on such other terms established by the</w:t>
      </w:r>
    </w:p>
    <w:p>
      <w:pPr>
        <w:spacing w:after="0" w:line="1" w:lineRule="exact"/>
        <w:rPr>
          <w:sz w:val="20"/>
          <w:szCs w:val="20"/>
          <w:color w:val="auto"/>
        </w:rPr>
      </w:pPr>
    </w:p>
    <w:p>
      <w:pPr>
        <w:ind w:left="1900" w:right="360"/>
        <w:spacing w:after="0" w:line="234" w:lineRule="auto"/>
        <w:rPr>
          <w:sz w:val="20"/>
          <w:szCs w:val="20"/>
          <w:color w:val="auto"/>
        </w:rPr>
      </w:pPr>
      <w:r>
        <w:rPr>
          <w:rFonts w:ascii="Arial" w:cs="Arial" w:eastAsia="Arial" w:hAnsi="Arial"/>
          <w:sz w:val="17"/>
          <w:szCs w:val="17"/>
          <w:color w:val="auto"/>
        </w:rPr>
        <w:t>Committee in its sole discretion. In accordance with the policies and practices of the Company, some or all of such annual equity grant may be in the form of restricted stock units, performance share units, market share units or other</w:t>
      </w:r>
    </w:p>
    <w:p>
      <w:pPr>
        <w:ind w:left="1900" w:right="260"/>
        <w:spacing w:after="0" w:line="234" w:lineRule="auto"/>
        <w:rPr>
          <w:sz w:val="20"/>
          <w:szCs w:val="20"/>
          <w:color w:val="auto"/>
        </w:rPr>
      </w:pPr>
      <w:r>
        <w:rPr>
          <w:rFonts w:ascii="Arial" w:cs="Arial" w:eastAsia="Arial" w:hAnsi="Arial"/>
          <w:sz w:val="19"/>
          <w:szCs w:val="19"/>
          <w:color w:val="auto"/>
        </w:rPr>
        <w:t>equity that is an economic equivalent to an option award. Such equivalency will be determined by the Company in its sole discretion.</w:t>
      </w:r>
    </w:p>
    <w:p>
      <w:pPr>
        <w:spacing w:after="0" w:line="176" w:lineRule="exact"/>
        <w:rPr>
          <w:sz w:val="20"/>
          <w:szCs w:val="20"/>
          <w:color w:val="auto"/>
        </w:rPr>
      </w:pPr>
    </w:p>
    <w:p>
      <w:pPr>
        <w:ind w:left="900" w:right="60" w:hanging="1894"/>
        <w:spacing w:after="0" w:line="238" w:lineRule="auto"/>
        <w:tabs>
          <w:tab w:leader="none" w:pos="880" w:val="left"/>
        </w:tabs>
        <w:rPr>
          <w:sz w:val="20"/>
          <w:szCs w:val="20"/>
          <w:color w:val="auto"/>
        </w:rPr>
      </w:pPr>
      <w:r>
        <w:rPr>
          <w:rFonts w:ascii="Arial" w:cs="Arial" w:eastAsia="Arial" w:hAnsi="Arial"/>
          <w:sz w:val="19"/>
          <w:szCs w:val="19"/>
          <w:color w:val="auto"/>
        </w:rPr>
        <w:t>Benefits:</w:t>
      </w:r>
      <w:r>
        <w:rPr>
          <w:sz w:val="20"/>
          <w:szCs w:val="20"/>
          <w:color w:val="auto"/>
        </w:rPr>
        <w:tab/>
      </w:r>
      <w:r>
        <w:rPr>
          <w:rFonts w:ascii="Arial" w:cs="Arial" w:eastAsia="Arial" w:hAnsi="Arial"/>
          <w:sz w:val="18"/>
          <w:szCs w:val="18"/>
          <w:color w:val="auto"/>
        </w:rPr>
        <w:t>While employed by the Company during the Term, you (and your eligible dependents) will be continue to be eligible to participate in the employee benefit plans and programs generally available to other executive officers of the Company, and in such</w:t>
      </w:r>
    </w:p>
    <w:p>
      <w:pPr>
        <w:ind w:left="1900" w:right="120"/>
        <w:spacing w:after="0" w:line="234" w:lineRule="auto"/>
        <w:rPr>
          <w:sz w:val="20"/>
          <w:szCs w:val="20"/>
          <w:color w:val="auto"/>
        </w:rPr>
      </w:pPr>
      <w:r>
        <w:rPr>
          <w:rFonts w:ascii="Arial" w:cs="Arial" w:eastAsia="Arial" w:hAnsi="Arial"/>
          <w:sz w:val="17"/>
          <w:szCs w:val="17"/>
          <w:color w:val="auto"/>
        </w:rPr>
        <w:t>other employee benefit plans and programs to the extent that you meet the eligibility requirements for each individual plan or program and subject to the provisions, rules and regulations applicable to each such plan or program as in effect</w:t>
      </w:r>
    </w:p>
    <w:p>
      <w:pPr>
        <w:ind w:left="1900" w:right="560"/>
        <w:spacing w:after="0" w:line="234" w:lineRule="auto"/>
        <w:rPr>
          <w:sz w:val="20"/>
          <w:szCs w:val="20"/>
          <w:color w:val="auto"/>
        </w:rPr>
      </w:pPr>
      <w:r>
        <w:rPr>
          <w:rFonts w:ascii="Arial" w:cs="Arial" w:eastAsia="Arial" w:hAnsi="Arial"/>
          <w:sz w:val="19"/>
          <w:szCs w:val="19"/>
          <w:color w:val="auto"/>
        </w:rPr>
        <w:t>from time to time. The plans and programs of the Company may be modified or terminated by the Company in its discretion.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Travel and Other</w:t>
      </w:r>
    </w:p>
    <w:p>
      <w:pPr>
        <w:spacing w:after="0"/>
        <w:tabs>
          <w:tab w:leader="none" w:pos="1700" w:val="left"/>
        </w:tabs>
        <w:rPr>
          <w:sz w:val="20"/>
          <w:szCs w:val="20"/>
          <w:color w:val="auto"/>
        </w:rPr>
      </w:pPr>
      <w:r>
        <w:rPr>
          <w:rFonts w:ascii="Arial" w:cs="Arial" w:eastAsia="Arial" w:hAnsi="Arial"/>
          <w:sz w:val="19"/>
          <w:szCs w:val="19"/>
          <w:color w:val="auto"/>
        </w:rPr>
        <w:t>Business Expenses:</w:t>
      </w:r>
      <w:r>
        <w:rPr>
          <w:sz w:val="20"/>
          <w:szCs w:val="20"/>
          <w:color w:val="auto"/>
        </w:rPr>
        <w:tab/>
      </w:r>
      <w:r>
        <w:rPr>
          <w:rFonts w:ascii="Arial" w:cs="Arial" w:eastAsia="Arial" w:hAnsi="Arial"/>
          <w:sz w:val="17"/>
          <w:szCs w:val="17"/>
          <w:color w:val="auto"/>
        </w:rPr>
        <w:t>In performing your responsibilities as Executive Vice President-Chief Marketing Officer, you will be required to travel</w:t>
      </w:r>
    </w:p>
    <w:p>
      <w:pPr>
        <w:spacing w:after="0" w:line="1" w:lineRule="exact"/>
        <w:rPr>
          <w:sz w:val="20"/>
          <w:szCs w:val="20"/>
          <w:color w:val="auto"/>
        </w:rPr>
      </w:pPr>
    </w:p>
    <w:p>
      <w:pPr>
        <w:ind w:left="1900"/>
        <w:spacing w:after="0" w:line="234" w:lineRule="auto"/>
        <w:rPr>
          <w:sz w:val="20"/>
          <w:szCs w:val="20"/>
          <w:color w:val="auto"/>
        </w:rPr>
      </w:pPr>
      <w:r>
        <w:rPr>
          <w:rFonts w:ascii="Arial" w:cs="Arial" w:eastAsia="Arial" w:hAnsi="Arial"/>
          <w:sz w:val="17"/>
          <w:szCs w:val="17"/>
          <w:color w:val="auto"/>
        </w:rPr>
        <w:t>extensively, both within the United States and internationally. The Company will reimburse you promptly for all travel and other business expenses incurred by you in connection with the performance of your duties for the Company, subject</w:t>
      </w:r>
    </w:p>
    <w:p>
      <w:pPr>
        <w:ind w:left="1900"/>
        <w:spacing w:after="0"/>
        <w:rPr>
          <w:sz w:val="20"/>
          <w:szCs w:val="20"/>
          <w:color w:val="auto"/>
        </w:rPr>
      </w:pPr>
      <w:r>
        <w:rPr>
          <w:rFonts w:ascii="Arial" w:cs="Arial" w:eastAsia="Arial" w:hAnsi="Arial"/>
          <w:sz w:val="19"/>
          <w:szCs w:val="19"/>
          <w:color w:val="auto"/>
        </w:rPr>
        <w:t>to the Company’s normal business expense and travel policies and procedures.</w:t>
      </w:r>
    </w:p>
    <w:p>
      <w:pPr>
        <w:spacing w:after="0" w:line="200" w:lineRule="exact"/>
        <w:rPr>
          <w:sz w:val="20"/>
          <w:szCs w:val="20"/>
          <w:color w:val="auto"/>
        </w:rPr>
      </w:pPr>
    </w:p>
    <w:p>
      <w:pPr>
        <w:ind w:left="920" w:right="200" w:hanging="1894"/>
        <w:spacing w:after="0" w:line="258" w:lineRule="auto"/>
        <w:tabs>
          <w:tab w:leader="none" w:pos="900" w:val="left"/>
        </w:tabs>
        <w:rPr>
          <w:sz w:val="20"/>
          <w:szCs w:val="20"/>
          <w:color w:val="auto"/>
        </w:rPr>
      </w:pPr>
      <w:r>
        <w:rPr>
          <w:rFonts w:ascii="Arial" w:cs="Arial" w:eastAsia="Arial" w:hAnsi="Arial"/>
          <w:sz w:val="19"/>
          <w:szCs w:val="19"/>
          <w:color w:val="auto"/>
        </w:rPr>
        <w:t>Vacation:</w:t>
      </w:r>
      <w:r>
        <w:rPr>
          <w:sz w:val="20"/>
          <w:szCs w:val="20"/>
          <w:color w:val="auto"/>
        </w:rPr>
        <w:tab/>
      </w:r>
      <w:r>
        <w:rPr>
          <w:rFonts w:ascii="Arial" w:cs="Arial" w:eastAsia="Arial" w:hAnsi="Arial"/>
          <w:sz w:val="18"/>
          <w:szCs w:val="18"/>
          <w:color w:val="auto"/>
        </w:rPr>
        <w:t>During your employment with the Company, you will receive vacation time off in accordance with the policies and practices of the Company. Vacation time shall be taken at such times so as not to unduly disrupt the operations of the Company.</w:t>
      </w:r>
    </w:p>
    <w:p>
      <w:pPr>
        <w:sectPr>
          <w:pgSz w:w="11900" w:h="16838" w:orient="portrait"/>
          <w:cols w:equalWidth="0" w:num="1">
            <w:col w:w="11240"/>
          </w:cols>
          <w:pgMar w:left="320" w:top="1368" w:right="339" w:bottom="1440" w:gutter="0" w:footer="0" w:header="0"/>
        </w:sectPr>
      </w:pPr>
    </w:p>
    <w:bookmarkStart w:id="119" w:name="page120"/>
    <w:bookmarkEnd w:id="119"/>
    <w:p>
      <w:pPr>
        <w:ind w:left="1480" w:right="80" w:hanging="1894"/>
        <w:spacing w:after="0" w:line="246" w:lineRule="auto"/>
        <w:tabs>
          <w:tab w:leader="none" w:pos="1460" w:val="left"/>
        </w:tabs>
        <w:rPr>
          <w:sz w:val="20"/>
          <w:szCs w:val="20"/>
          <w:color w:val="auto"/>
        </w:rPr>
      </w:pPr>
      <w:r>
        <w:rPr>
          <w:rFonts w:ascii="Arial" w:cs="Arial" w:eastAsia="Arial" w:hAnsi="Arial"/>
          <w:sz w:val="19"/>
          <w:szCs w:val="19"/>
          <w:color w:val="auto"/>
        </w:rPr>
        <w:t>Office Location:</w:t>
        <w:tab/>
        <w:t>Your employment will be based at the Company’s offices located in San Jose, California, and you will continue to participate in the Company’s Remote Work Policy or other policies governing work location flexibility.</w:t>
      </w:r>
    </w:p>
    <w:p>
      <w:pPr>
        <w:spacing w:after="0" w:line="171" w:lineRule="exact"/>
        <w:rPr>
          <w:sz w:val="20"/>
          <w:szCs w:val="20"/>
          <w:color w:val="auto"/>
        </w:rPr>
      </w:pPr>
    </w:p>
    <w:p>
      <w:pPr>
        <w:ind w:left="1900" w:hanging="1894"/>
        <w:spacing w:after="0" w:line="252" w:lineRule="auto"/>
        <w:tabs>
          <w:tab w:leader="none" w:pos="1880" w:val="left"/>
        </w:tabs>
        <w:rPr>
          <w:sz w:val="20"/>
          <w:szCs w:val="20"/>
          <w:color w:val="auto"/>
        </w:rPr>
      </w:pPr>
      <w:r>
        <w:rPr>
          <w:rFonts w:ascii="Arial" w:cs="Arial" w:eastAsia="Arial" w:hAnsi="Arial"/>
          <w:sz w:val="19"/>
          <w:szCs w:val="19"/>
          <w:color w:val="auto"/>
        </w:rPr>
        <w:t>Inventions Agreement:</w:t>
      </w:r>
      <w:r>
        <w:rPr>
          <w:sz w:val="20"/>
          <w:szCs w:val="20"/>
          <w:color w:val="auto"/>
        </w:rPr>
        <w:tab/>
      </w:r>
      <w:r>
        <w:rPr>
          <w:rFonts w:ascii="Arial" w:cs="Arial" w:eastAsia="Arial" w:hAnsi="Arial"/>
          <w:sz w:val="17"/>
          <w:szCs w:val="17"/>
          <w:color w:val="auto"/>
        </w:rPr>
        <w:t>You acknowledge and agree to be bound by the terms and conditions of the enclosed Proprietary Information and Inventions Agreement (“PIIA”), to be separately signed by you, the terms of which are incorporated herein by reference.</w:t>
      </w:r>
    </w:p>
    <w:p>
      <w:pPr>
        <w:ind w:left="1900" w:right="360"/>
        <w:spacing w:after="0" w:line="227" w:lineRule="auto"/>
        <w:rPr>
          <w:sz w:val="20"/>
          <w:szCs w:val="20"/>
          <w:color w:val="auto"/>
        </w:rPr>
      </w:pPr>
      <w:r>
        <w:rPr>
          <w:rFonts w:ascii="Arial" w:cs="Arial" w:eastAsia="Arial" w:hAnsi="Arial"/>
          <w:sz w:val="19"/>
          <w:szCs w:val="19"/>
          <w:color w:val="auto"/>
        </w:rPr>
        <w:t>This PIIA will replace the Fair Isaac Proprietary Information and Inventions Agreement which you signed April 25, 2014.</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Post-Employment</w:t>
      </w:r>
    </w:p>
    <w:p>
      <w:pPr>
        <w:spacing w:after="0" w:line="202" w:lineRule="auto"/>
        <w:rPr>
          <w:sz w:val="20"/>
          <w:szCs w:val="20"/>
          <w:color w:val="auto"/>
        </w:rPr>
      </w:pPr>
      <w:r>
        <w:rPr>
          <w:rFonts w:ascii="Arial" w:cs="Arial" w:eastAsia="Arial" w:hAnsi="Arial"/>
          <w:sz w:val="19"/>
          <w:szCs w:val="19"/>
          <w:color w:val="auto"/>
        </w:rPr>
        <w:t>Restrictions</w:t>
      </w:r>
    </w:p>
    <w:p>
      <w:pPr>
        <w:ind w:left="1100" w:right="260" w:hanging="1894"/>
        <w:spacing w:after="0" w:line="228" w:lineRule="auto"/>
        <w:tabs>
          <w:tab w:leader="none" w:pos="1080" w:val="left"/>
        </w:tabs>
        <w:rPr>
          <w:sz w:val="20"/>
          <w:szCs w:val="20"/>
          <w:color w:val="auto"/>
        </w:rPr>
      </w:pPr>
      <w:r>
        <w:rPr>
          <w:rFonts w:ascii="Arial" w:cs="Arial" w:eastAsia="Arial" w:hAnsi="Arial"/>
          <w:sz w:val="19"/>
          <w:szCs w:val="19"/>
          <w:color w:val="auto"/>
        </w:rPr>
        <w:t>Agreement</w:t>
        <w:tab/>
        <w:t>You acknowledge and agree to be bound by the terms and conditions of the enclosed Post-Employment Restrictions Agreement (“PERA”), to be separately signed by you, the terms of which are incorporated herein by reference. This PERA will replace the prior FICO Post-Employment Restrictions Agreement which you signed April 25, 2014.</w:t>
      </w:r>
    </w:p>
    <w:p>
      <w:pPr>
        <w:spacing w:after="0" w:line="177" w:lineRule="exact"/>
        <w:rPr>
          <w:sz w:val="20"/>
          <w:szCs w:val="20"/>
          <w:color w:val="auto"/>
        </w:rPr>
      </w:pPr>
    </w:p>
    <w:p>
      <w:pPr>
        <w:ind w:left="1680" w:right="460" w:hanging="1894"/>
        <w:spacing w:after="0" w:line="252" w:lineRule="auto"/>
        <w:tabs>
          <w:tab w:leader="none" w:pos="1660" w:val="left"/>
        </w:tabs>
        <w:rPr>
          <w:sz w:val="20"/>
          <w:szCs w:val="20"/>
          <w:color w:val="auto"/>
        </w:rPr>
      </w:pPr>
      <w:r>
        <w:rPr>
          <w:rFonts w:ascii="Arial" w:cs="Arial" w:eastAsia="Arial" w:hAnsi="Arial"/>
          <w:sz w:val="19"/>
          <w:szCs w:val="19"/>
          <w:color w:val="auto"/>
        </w:rPr>
        <w:t>Change in Control:</w:t>
      </w:r>
      <w:r>
        <w:rPr>
          <w:sz w:val="20"/>
          <w:szCs w:val="20"/>
          <w:color w:val="auto"/>
        </w:rPr>
        <w:tab/>
      </w:r>
      <w:r>
        <w:rPr>
          <w:rFonts w:ascii="Arial" w:cs="Arial" w:eastAsia="Arial" w:hAnsi="Arial"/>
          <w:sz w:val="17"/>
          <w:szCs w:val="17"/>
          <w:color w:val="auto"/>
        </w:rPr>
        <w:t>You and the Company will enter into the enclosed Management Agreement (the “Management Agreement”), to be separately signed by you, the terms of which are incorporated herein by reference (except that terms defined in the</w:t>
      </w:r>
    </w:p>
    <w:p>
      <w:pPr>
        <w:ind w:left="1900" w:right="200"/>
        <w:spacing w:after="0" w:line="234" w:lineRule="auto"/>
        <w:rPr>
          <w:sz w:val="20"/>
          <w:szCs w:val="20"/>
          <w:color w:val="auto"/>
        </w:rPr>
      </w:pPr>
      <w:r>
        <w:rPr>
          <w:rFonts w:ascii="Arial" w:cs="Arial" w:eastAsia="Arial" w:hAnsi="Arial"/>
          <w:sz w:val="17"/>
          <w:szCs w:val="17"/>
          <w:color w:val="auto"/>
        </w:rPr>
        <w:t>Management Agreement apply only to the use of such terms in the Management Agreement, and terms defined in this Agreement apply only to the use of such terms in this Agreement). This Management Agreement will replace the</w:t>
      </w:r>
    </w:p>
    <w:p>
      <w:pPr>
        <w:ind w:left="1900"/>
        <w:spacing w:after="0"/>
        <w:rPr>
          <w:sz w:val="20"/>
          <w:szCs w:val="20"/>
          <w:color w:val="auto"/>
        </w:rPr>
      </w:pPr>
      <w:r>
        <w:rPr>
          <w:rFonts w:ascii="Arial" w:cs="Arial" w:eastAsia="Arial" w:hAnsi="Arial"/>
          <w:sz w:val="19"/>
          <w:szCs w:val="19"/>
          <w:color w:val="auto"/>
        </w:rPr>
        <w:t>Management Agreement dated May 2, 2023.</w:t>
      </w:r>
    </w:p>
    <w:p>
      <w:pPr>
        <w:spacing w:after="0" w:line="200" w:lineRule="exact"/>
        <w:rPr>
          <w:sz w:val="20"/>
          <w:szCs w:val="20"/>
          <w:color w:val="auto"/>
        </w:rPr>
      </w:pPr>
    </w:p>
    <w:p>
      <w:pPr>
        <w:ind w:left="1200" w:right="40" w:hanging="1894"/>
        <w:spacing w:after="0" w:line="230" w:lineRule="auto"/>
        <w:tabs>
          <w:tab w:leader="none" w:pos="1180" w:val="left"/>
        </w:tabs>
        <w:rPr>
          <w:sz w:val="20"/>
          <w:szCs w:val="20"/>
          <w:color w:val="auto"/>
        </w:rPr>
      </w:pPr>
      <w:r>
        <w:rPr>
          <w:rFonts w:ascii="Arial" w:cs="Arial" w:eastAsia="Arial" w:hAnsi="Arial"/>
          <w:sz w:val="19"/>
          <w:szCs w:val="19"/>
          <w:color w:val="auto"/>
        </w:rPr>
        <w:t>Termination:</w:t>
      </w:r>
      <w:r>
        <w:rPr>
          <w:sz w:val="20"/>
          <w:szCs w:val="20"/>
          <w:color w:val="auto"/>
        </w:rPr>
        <w:tab/>
      </w:r>
      <w:r>
        <w:rPr>
          <w:rFonts w:ascii="Arial" w:cs="Arial" w:eastAsia="Arial" w:hAnsi="Arial"/>
          <w:sz w:val="18"/>
          <w:szCs w:val="18"/>
          <w:color w:val="auto"/>
        </w:rPr>
        <w:t>Either you or the Company may terminate the employment relationship during the Term or after the Term at any time and for any reason. Upon termination of your employment by either party for any reason, you will promptly resign any and all</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9"/>
          <w:szCs w:val="19"/>
          <w:color w:val="auto"/>
        </w:rPr>
        <w:t>positions you then hold as officer or director of the Company or any of its affiliates.</w:t>
      </w:r>
    </w:p>
    <w:p>
      <w:pPr>
        <w:spacing w:after="0" w:line="160" w:lineRule="exact"/>
        <w:rPr>
          <w:sz w:val="20"/>
          <w:szCs w:val="20"/>
          <w:color w:val="auto"/>
        </w:rPr>
      </w:pPr>
    </w:p>
    <w:p>
      <w:pPr>
        <w:ind w:left="1040" w:right="120" w:hanging="1894"/>
        <w:spacing w:after="0" w:line="238" w:lineRule="auto"/>
        <w:tabs>
          <w:tab w:leader="none" w:pos="1020" w:val="left"/>
        </w:tabs>
        <w:rPr>
          <w:sz w:val="20"/>
          <w:szCs w:val="20"/>
          <w:color w:val="auto"/>
        </w:rPr>
      </w:pPr>
      <w:r>
        <w:rPr>
          <w:rFonts w:ascii="Arial" w:cs="Arial" w:eastAsia="Arial" w:hAnsi="Arial"/>
          <w:sz w:val="19"/>
          <w:szCs w:val="19"/>
          <w:color w:val="auto"/>
        </w:rPr>
        <w:t>Severance:</w:t>
      </w:r>
      <w:r>
        <w:rPr>
          <w:sz w:val="20"/>
          <w:szCs w:val="20"/>
          <w:color w:val="auto"/>
        </w:rPr>
        <w:tab/>
      </w:r>
      <w:r>
        <w:rPr>
          <w:rFonts w:ascii="Arial" w:cs="Arial" w:eastAsia="Arial" w:hAnsi="Arial"/>
          <w:sz w:val="18"/>
          <w:szCs w:val="18"/>
          <w:color w:val="auto"/>
        </w:rPr>
        <w:t>In case of involuntary termination of your employment by the Company without Cause prior to the end of the Initial Term or prior to the end of any Renewal Term then in effect or in the case of voluntary resignation of your employment for Good</w:t>
      </w:r>
    </w:p>
    <w:p>
      <w:pPr>
        <w:ind w:left="1900" w:right="40"/>
        <w:spacing w:after="0" w:line="234" w:lineRule="auto"/>
        <w:rPr>
          <w:sz w:val="20"/>
          <w:szCs w:val="20"/>
          <w:color w:val="auto"/>
        </w:rPr>
      </w:pPr>
      <w:r>
        <w:rPr>
          <w:rFonts w:ascii="Arial" w:cs="Arial" w:eastAsia="Arial" w:hAnsi="Arial"/>
          <w:sz w:val="17"/>
          <w:szCs w:val="17"/>
          <w:color w:val="auto"/>
        </w:rPr>
        <w:t>Reason prior to the end of the Initial Term or prior to the end of any Renewal Term then in effect (each a “Qualifying Termination”), the Company will pay you as severance pay an amount equal to one (1) times the sum of (a) your annual</w:t>
      </w:r>
    </w:p>
    <w:p>
      <w:pPr>
        <w:ind w:left="1900"/>
        <w:spacing w:after="0" w:line="229" w:lineRule="auto"/>
        <w:rPr>
          <w:sz w:val="20"/>
          <w:szCs w:val="20"/>
          <w:color w:val="auto"/>
        </w:rPr>
      </w:pPr>
      <w:r>
        <w:rPr>
          <w:rFonts w:ascii="Arial" w:cs="Arial" w:eastAsia="Arial" w:hAnsi="Arial"/>
          <w:sz w:val="18"/>
          <w:szCs w:val="18"/>
          <w:color w:val="auto"/>
        </w:rPr>
        <w:t>base salary at the rate in effect on your last day of employment plus (b) the annual incentive bonus last paid to you</w:t>
      </w:r>
    </w:p>
    <w:p>
      <w:pPr>
        <w:ind w:left="1900" w:right="240"/>
        <w:spacing w:after="0" w:line="234" w:lineRule="auto"/>
        <w:rPr>
          <w:sz w:val="20"/>
          <w:szCs w:val="20"/>
          <w:color w:val="auto"/>
        </w:rPr>
      </w:pPr>
      <w:r>
        <w:rPr>
          <w:rFonts w:ascii="Arial" w:cs="Arial" w:eastAsia="Arial" w:hAnsi="Arial"/>
          <w:sz w:val="17"/>
          <w:szCs w:val="17"/>
          <w:color w:val="auto"/>
        </w:rPr>
        <w:t>preceding the Qualifying Termination. In addition, upon a Qualifying Termination, if you (and, if applicable, your eligible dependents), complete and return the forms necessary to elect COBRA continuation coverage to the COBRA</w:t>
      </w:r>
    </w:p>
    <w:p>
      <w:pPr>
        <w:ind w:left="1900"/>
        <w:spacing w:after="0" w:line="229" w:lineRule="auto"/>
        <w:rPr>
          <w:sz w:val="20"/>
          <w:szCs w:val="20"/>
          <w:color w:val="auto"/>
        </w:rPr>
      </w:pPr>
      <w:r>
        <w:rPr>
          <w:rFonts w:ascii="Arial" w:cs="Arial" w:eastAsia="Arial" w:hAnsi="Arial"/>
          <w:sz w:val="18"/>
          <w:szCs w:val="18"/>
          <w:color w:val="auto"/>
        </w:rPr>
        <w:t>administrator for the group health plan in which you participate at the time of your Qualifying Termination, then the</w:t>
      </w:r>
    </w:p>
    <w:p>
      <w:pPr>
        <w:ind w:left="1900" w:right="320"/>
        <w:spacing w:after="0" w:line="234" w:lineRule="auto"/>
        <w:rPr>
          <w:sz w:val="20"/>
          <w:szCs w:val="20"/>
          <w:color w:val="auto"/>
        </w:rPr>
      </w:pPr>
      <w:r>
        <w:rPr>
          <w:rFonts w:ascii="Arial" w:cs="Arial" w:eastAsia="Arial" w:hAnsi="Arial"/>
          <w:sz w:val="17"/>
          <w:szCs w:val="17"/>
          <w:color w:val="auto"/>
        </w:rPr>
        <w:t>Company will provide you and your eligible dependents with COBRA continuation coverage at no cost to you, for a period of twelve (12) months following the effective date of termination of your employment, provided you remain</w:t>
      </w:r>
    </w:p>
    <w:p>
      <w:pPr>
        <w:ind w:left="1900"/>
        <w:spacing w:after="0"/>
        <w:rPr>
          <w:sz w:val="20"/>
          <w:szCs w:val="20"/>
          <w:color w:val="auto"/>
        </w:rPr>
      </w:pPr>
      <w:r>
        <w:rPr>
          <w:rFonts w:ascii="Arial" w:cs="Arial" w:eastAsia="Arial" w:hAnsi="Arial"/>
          <w:sz w:val="17"/>
          <w:szCs w:val="17"/>
          <w:color w:val="auto"/>
        </w:rPr>
        <w:t>eligible for COBRA. This continuation coverage will be provided only with respect to your base medical, dental, vision</w:t>
      </w:r>
    </w:p>
    <w:p>
      <w:pPr>
        <w:spacing w:after="0" w:line="2" w:lineRule="exact"/>
        <w:rPr>
          <w:sz w:val="20"/>
          <w:szCs w:val="20"/>
          <w:color w:val="auto"/>
        </w:rPr>
      </w:pPr>
    </w:p>
    <w:p>
      <w:pPr>
        <w:ind w:left="1900" w:right="300"/>
        <w:spacing w:after="0" w:line="234" w:lineRule="auto"/>
        <w:rPr>
          <w:sz w:val="20"/>
          <w:szCs w:val="20"/>
          <w:color w:val="auto"/>
        </w:rPr>
      </w:pPr>
      <w:r>
        <w:rPr>
          <w:rFonts w:ascii="Arial" w:cs="Arial" w:eastAsia="Arial" w:hAnsi="Arial"/>
          <w:sz w:val="17"/>
          <w:szCs w:val="17"/>
          <w:color w:val="auto"/>
        </w:rPr>
        <w:t>and Employee Assistance Program coverage under the group health plan in which you receive COBRA continuation coverage (and in Minnesota only, this applies to basic life insurance coverage), and shall not apply to any medical</w:t>
      </w:r>
    </w:p>
    <w:p>
      <w:pPr>
        <w:ind w:left="1900"/>
        <w:spacing w:after="0"/>
        <w:rPr>
          <w:sz w:val="20"/>
          <w:szCs w:val="20"/>
          <w:color w:val="auto"/>
        </w:rPr>
      </w:pPr>
      <w:r>
        <w:rPr>
          <w:rFonts w:ascii="Arial" w:cs="Arial" w:eastAsia="Arial" w:hAnsi="Arial"/>
          <w:sz w:val="17"/>
          <w:szCs w:val="17"/>
          <w:color w:val="auto"/>
        </w:rPr>
        <w:t>expense reimbursement account, dental care plan, vision care plan, or other arrangement for which you may be entitled</w:t>
      </w:r>
    </w:p>
    <w:p>
      <w:pPr>
        <w:spacing w:after="0" w:line="2" w:lineRule="exact"/>
        <w:rPr>
          <w:sz w:val="20"/>
          <w:szCs w:val="20"/>
          <w:color w:val="auto"/>
        </w:rPr>
      </w:pPr>
    </w:p>
    <w:p>
      <w:pPr>
        <w:ind w:left="1900" w:right="60"/>
        <w:spacing w:after="0" w:line="234" w:lineRule="auto"/>
        <w:rPr>
          <w:sz w:val="20"/>
          <w:szCs w:val="20"/>
          <w:color w:val="auto"/>
        </w:rPr>
      </w:pPr>
      <w:r>
        <w:rPr>
          <w:rFonts w:ascii="Arial" w:cs="Arial" w:eastAsia="Arial" w:hAnsi="Arial"/>
          <w:sz w:val="17"/>
          <w:szCs w:val="17"/>
          <w:color w:val="auto"/>
        </w:rPr>
        <w:t>to COBRA continuation coverage. To the extent necessary in order for you to avoid being subject to tax under section 105(h) of the Code (as defined below) on any payment or reimbursement of group medical, dental or other group health</w:t>
      </w:r>
    </w:p>
    <w:p>
      <w:pPr>
        <w:ind w:left="1900"/>
        <w:spacing w:after="0"/>
        <w:rPr>
          <w:sz w:val="20"/>
          <w:szCs w:val="20"/>
          <w:color w:val="auto"/>
        </w:rPr>
      </w:pPr>
      <w:r>
        <w:rPr>
          <w:rFonts w:ascii="Arial" w:cs="Arial" w:eastAsia="Arial" w:hAnsi="Arial"/>
          <w:sz w:val="19"/>
          <w:szCs w:val="19"/>
          <w:color w:val="auto"/>
        </w:rPr>
        <w:t>care expenses made to you or for your benefit pursuant to this</w:t>
      </w:r>
    </w:p>
    <w:p>
      <w:pPr>
        <w:sectPr>
          <w:pgSz w:w="11900" w:h="16838" w:orient="portrait"/>
          <w:cols w:equalWidth="0" w:num="1">
            <w:col w:w="11200"/>
          </w:cols>
          <w:pgMar w:left="320" w:top="1373" w:right="379" w:bottom="1440" w:gutter="0" w:footer="0" w:header="0"/>
        </w:sectPr>
      </w:pPr>
    </w:p>
    <w:bookmarkStart w:id="120" w:name="page121"/>
    <w:bookmarkEnd w:id="120"/>
    <w:p>
      <w:pPr>
        <w:spacing w:after="0" w:line="144" w:lineRule="exact"/>
        <w:rPr>
          <w:sz w:val="20"/>
          <w:szCs w:val="20"/>
          <w:color w:val="auto"/>
        </w:rPr>
      </w:pPr>
    </w:p>
    <w:p>
      <w:pPr>
        <w:ind w:left="780" w:right="180"/>
        <w:spacing w:after="0" w:line="246" w:lineRule="auto"/>
        <w:rPr>
          <w:sz w:val="20"/>
          <w:szCs w:val="20"/>
          <w:color w:val="auto"/>
        </w:rPr>
      </w:pPr>
      <w:r>
        <w:rPr>
          <w:rFonts w:ascii="Arial" w:cs="Arial" w:eastAsia="Arial" w:hAnsi="Arial"/>
          <w:sz w:val="19"/>
          <w:szCs w:val="19"/>
          <w:color w:val="auto"/>
        </w:rPr>
        <w:t>paragraph, the Company shall impute as taxable income to you an amount equal to the COBRA continuation coverage cost described above.</w:t>
      </w:r>
    </w:p>
    <w:p>
      <w:pPr>
        <w:spacing w:after="0" w:line="171" w:lineRule="exact"/>
        <w:rPr>
          <w:sz w:val="20"/>
          <w:szCs w:val="20"/>
          <w:color w:val="auto"/>
        </w:rPr>
      </w:pPr>
    </w:p>
    <w:p>
      <w:pPr>
        <w:ind w:left="780" w:right="20" w:hanging="1701"/>
        <w:spacing w:after="0" w:line="252" w:lineRule="auto"/>
        <w:rPr>
          <w:sz w:val="20"/>
          <w:szCs w:val="20"/>
          <w:color w:val="auto"/>
        </w:rPr>
      </w:pPr>
      <w:r>
        <w:rPr>
          <w:rFonts w:ascii="Arial" w:cs="Arial" w:eastAsia="Arial" w:hAnsi="Arial"/>
          <w:sz w:val="17"/>
          <w:szCs w:val="17"/>
          <w:color w:val="auto"/>
        </w:rPr>
        <w:t>Payment by the Company of any severance pay or premium reimbursements under this paragraph will be conditioned upon you (1) signing and not revoking a full release of all claims against the Company, its affiliates, officers, directors, employees, agents and</w:t>
      </w:r>
    </w:p>
    <w:p>
      <w:pPr>
        <w:ind w:left="780" w:right="220"/>
        <w:spacing w:after="0" w:line="234" w:lineRule="auto"/>
        <w:rPr>
          <w:sz w:val="20"/>
          <w:szCs w:val="20"/>
          <w:color w:val="auto"/>
        </w:rPr>
      </w:pPr>
      <w:r>
        <w:rPr>
          <w:rFonts w:ascii="Arial" w:cs="Arial" w:eastAsia="Arial" w:hAnsi="Arial"/>
          <w:sz w:val="17"/>
          <w:szCs w:val="17"/>
          <w:color w:val="auto"/>
        </w:rPr>
        <w:t xml:space="preserve">assigns, substantially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delivering such signed release to the Company within the period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(2) complying with your obligations under the PIIA, the PERA and</w:t>
      </w:r>
    </w:p>
    <w:p>
      <w:pPr>
        <w:ind w:left="780"/>
        <w:spacing w:after="0"/>
        <w:rPr>
          <w:sz w:val="20"/>
          <w:szCs w:val="20"/>
          <w:color w:val="auto"/>
        </w:rPr>
      </w:pPr>
      <w:r>
        <w:rPr>
          <w:rFonts w:ascii="Arial" w:cs="Arial" w:eastAsia="Arial" w:hAnsi="Arial"/>
          <w:sz w:val="17"/>
          <w:szCs w:val="17"/>
          <w:color w:val="auto"/>
        </w:rPr>
        <w:t>any other agreement between you and the Company then in effect, (3) cooperating with the Company in the transition of</w:t>
      </w:r>
    </w:p>
    <w:p>
      <w:pPr>
        <w:spacing w:after="0" w:line="2" w:lineRule="exact"/>
        <w:rPr>
          <w:sz w:val="20"/>
          <w:szCs w:val="20"/>
          <w:color w:val="auto"/>
        </w:rPr>
      </w:pPr>
    </w:p>
    <w:p>
      <w:pPr>
        <w:ind w:left="780" w:right="500"/>
        <w:spacing w:after="0" w:line="234" w:lineRule="auto"/>
        <w:rPr>
          <w:sz w:val="20"/>
          <w:szCs w:val="20"/>
          <w:color w:val="auto"/>
        </w:rPr>
      </w:pPr>
      <w:r>
        <w:rPr>
          <w:rFonts w:ascii="Arial" w:cs="Arial" w:eastAsia="Arial" w:hAnsi="Arial"/>
          <w:sz w:val="17"/>
          <w:szCs w:val="17"/>
          <w:color w:val="auto"/>
        </w:rPr>
        <w:t xml:space="preserve">your duties, and (4) agreeing not to disparage or defame the Company, its affiliates, officers, directors, employees, agents, assigns, products or services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Subject to your execution and non-revocation of the</w:t>
      </w:r>
    </w:p>
    <w:p>
      <w:pPr>
        <w:ind w:left="780"/>
        <w:spacing w:after="0"/>
        <w:rPr>
          <w:sz w:val="20"/>
          <w:szCs w:val="20"/>
          <w:color w:val="auto"/>
        </w:rPr>
      </w:pPr>
      <w:r>
        <w:rPr>
          <w:rFonts w:ascii="Arial" w:cs="Arial" w:eastAsia="Arial" w:hAnsi="Arial"/>
          <w:sz w:val="17"/>
          <w:szCs w:val="17"/>
          <w:color w:val="auto"/>
        </w:rPr>
        <w:t>release in the form attached hereto as Exhibit A and delivery of such signed release within forty-five (45) days after your</w:t>
      </w:r>
    </w:p>
    <w:p>
      <w:pPr>
        <w:spacing w:after="0" w:line="2" w:lineRule="exact"/>
        <w:rPr>
          <w:sz w:val="20"/>
          <w:szCs w:val="20"/>
          <w:color w:val="auto"/>
        </w:rPr>
      </w:pPr>
    </w:p>
    <w:p>
      <w:pPr>
        <w:ind w:left="780" w:right="320"/>
        <w:spacing w:after="0" w:line="234" w:lineRule="auto"/>
        <w:rPr>
          <w:sz w:val="20"/>
          <w:szCs w:val="20"/>
          <w:color w:val="auto"/>
        </w:rPr>
      </w:pPr>
      <w:r>
        <w:rPr>
          <w:rFonts w:ascii="Arial" w:cs="Arial" w:eastAsia="Arial" w:hAnsi="Arial"/>
          <w:sz w:val="17"/>
          <w:szCs w:val="17"/>
          <w:color w:val="auto"/>
        </w:rPr>
        <w:t>“separation from service” as determined under Section 409A of the Internal Revenue Code of 1986, as amended (the “Code”) and the regulations and all notices, rulings and other guidance issued by the Internal Revenue Service</w:t>
      </w:r>
    </w:p>
    <w:p>
      <w:pPr>
        <w:ind w:left="780"/>
        <w:spacing w:after="0" w:line="207" w:lineRule="auto"/>
        <w:rPr>
          <w:sz w:val="20"/>
          <w:szCs w:val="20"/>
          <w:color w:val="auto"/>
        </w:rPr>
      </w:pPr>
      <w:r>
        <w:rPr>
          <w:rFonts w:ascii="Arial" w:cs="Arial" w:eastAsia="Arial" w:hAnsi="Arial"/>
          <w:sz w:val="18"/>
          <w:szCs w:val="18"/>
          <w:color w:val="auto"/>
        </w:rPr>
        <w:t>interpreting same (“Section 409A”) and your compliance with the other conditions identified above, any severance</w:t>
      </w:r>
    </w:p>
    <w:p>
      <w:pPr>
        <w:ind w:left="780" w:right="80"/>
        <w:spacing w:after="0" w:line="205" w:lineRule="auto"/>
        <w:rPr>
          <w:sz w:val="20"/>
          <w:szCs w:val="20"/>
          <w:color w:val="auto"/>
        </w:rPr>
      </w:pPr>
      <w:r>
        <w:rPr>
          <w:rFonts w:ascii="Arial" w:cs="Arial" w:eastAsia="Arial" w:hAnsi="Arial"/>
          <w:sz w:val="19"/>
          <w:szCs w:val="19"/>
          <w:color w:val="auto"/>
        </w:rPr>
        <w:t>payable to you under this Agreement will be paid to you in a lump sum on the 70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your “separation from service” as determined under Section 409A.</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9"/>
          <w:szCs w:val="19"/>
          <w:color w:val="auto"/>
        </w:rPr>
        <w:t>For purposes of this Agreement, “Cause” and “Good Reason” have the following definitions:</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“Cause” means a determination in good faith by the Company of the existence of one or more of the following:</w:t>
      </w:r>
    </w:p>
    <w:p>
      <w:pPr>
        <w:ind w:left="780"/>
        <w:spacing w:after="0" w:line="215" w:lineRule="auto"/>
        <w:tabs>
          <w:tab w:leader="none" w:pos="101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commission by you of any act constituting a felony; (ii) any intentional and/or willful act of fraud or material dishonesty by you related to, connected with or otherwise affecting your employment with the Company, or otherwise likely to cause material harm to the Company or its reputation; (iii) the willful and/or continued failure, neglect, or refusal by you to perform in all material respects your duties with the Company as an employee, officer or director, or to fulfill your fiduciary responsibilities to the Company, which failure, neglect or refusal has not been cured within fifteen (15) days after written notice thereof to you from the Company; or (iv) a material breach by you of the Company’s material policies or codes of conduct or of your material obligations under the PIIA, the PERA or any other written agreement signed by you and the Company, which breach has not been cured within fifteen (15) days after written notice thereof to you from the Company.</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“Good Reason” means any one or more of the following conditions occur without your prior written consent: (i) a</w:t>
      </w:r>
    </w:p>
    <w:p>
      <w:pPr>
        <w:spacing w:after="0" w:line="6" w:lineRule="exact"/>
        <w:rPr>
          <w:sz w:val="20"/>
          <w:szCs w:val="20"/>
          <w:color w:val="auto"/>
        </w:rPr>
      </w:pPr>
    </w:p>
    <w:p>
      <w:pPr>
        <w:ind w:left="780" w:right="160"/>
        <w:spacing w:after="0" w:line="234" w:lineRule="auto"/>
        <w:rPr>
          <w:sz w:val="20"/>
          <w:szCs w:val="20"/>
          <w:color w:val="auto"/>
        </w:rPr>
      </w:pPr>
      <w:r>
        <w:rPr>
          <w:rFonts w:ascii="Arial" w:cs="Arial" w:eastAsia="Arial" w:hAnsi="Arial"/>
          <w:sz w:val="17"/>
          <w:szCs w:val="17"/>
          <w:color w:val="auto"/>
        </w:rPr>
        <w:t>material reduction in your base salary, unless such reduction is part of an across-the-board uniformly applied reduction affecting all senior executives of the Company; (ii) a material reduction in your annual cash incentive bonus target</w:t>
      </w:r>
    </w:p>
    <w:p>
      <w:pPr>
        <w:ind w:left="780" w:right="200"/>
        <w:spacing w:after="0" w:line="234" w:lineRule="auto"/>
        <w:rPr>
          <w:sz w:val="20"/>
          <w:szCs w:val="20"/>
          <w:color w:val="auto"/>
        </w:rPr>
      </w:pPr>
      <w:r>
        <w:rPr>
          <w:rFonts w:ascii="Arial" w:cs="Arial" w:eastAsia="Arial" w:hAnsi="Arial"/>
          <w:sz w:val="17"/>
          <w:szCs w:val="17"/>
          <w:color w:val="auto"/>
        </w:rPr>
        <w:t>expressed as a percentage of base salary, unless such reduction is part of an across-the-board uniformly applied reduction affecting all senior executives of the Company; (iii) a requirement that you relocate to an office located fifty</w:t>
      </w:r>
    </w:p>
    <w:p>
      <w:pPr>
        <w:ind w:left="780" w:right="60"/>
        <w:spacing w:after="0" w:line="217" w:lineRule="auto"/>
        <w:tabs>
          <w:tab w:leader="none" w:pos="1149" w:val="left"/>
        </w:tabs>
        <w:numPr>
          <w:ilvl w:val="0"/>
          <w:numId w:val="97"/>
        </w:numPr>
        <w:rPr>
          <w:rFonts w:ascii="Arial" w:cs="Arial" w:eastAsia="Arial" w:hAnsi="Arial"/>
          <w:sz w:val="19"/>
          <w:szCs w:val="19"/>
          <w:color w:val="auto"/>
        </w:rPr>
      </w:pPr>
      <w:r>
        <w:rPr>
          <w:rFonts w:ascii="Arial" w:cs="Arial" w:eastAsia="Arial" w:hAnsi="Arial"/>
          <w:sz w:val="19"/>
          <w:szCs w:val="19"/>
          <w:color w:val="auto"/>
        </w:rPr>
        <w:t>or more miles from your current office location; (iv) material breach by the Company of any terms or conditions of this Agreement; or (iv) the failure of the Company to obtain agreement from any successor to assume and agree to perform this Agreement, unless this Agreement is otherwise assumed by any successor by operation of law. A termination for Good Reason shall not take effect unless the following provisions are satisfied. You shall notify the Company within ninety (90) days after the later of the occurrence of the event giving rise to Good Reason or your learning of such event, specifying such act or acts. The Company shall have thirty (30) days after such notice has been given to cure such conduct. If the Company fails to cure</w:t>
      </w:r>
    </w:p>
    <w:p>
      <w:pPr>
        <w:sectPr>
          <w:pgSz w:w="11900" w:h="16838" w:orient="portrait"/>
          <w:cols w:equalWidth="0" w:num="1">
            <w:col w:w="10100"/>
          </w:cols>
          <w:pgMar w:left="1440" w:top="1440" w:right="359" w:bottom="1440" w:gutter="0" w:footer="0" w:header="0"/>
        </w:sectPr>
      </w:pPr>
    </w:p>
    <w:bookmarkStart w:id="121" w:name="page122"/>
    <w:bookmarkEnd w:id="121"/>
    <w:p>
      <w:pPr>
        <w:ind w:left="1900"/>
        <w:spacing w:after="0" w:line="246" w:lineRule="auto"/>
        <w:rPr>
          <w:sz w:val="20"/>
          <w:szCs w:val="20"/>
          <w:color w:val="auto"/>
        </w:rPr>
      </w:pPr>
      <w:r>
        <w:rPr>
          <w:rFonts w:ascii="Arial" w:cs="Arial" w:eastAsia="Arial" w:hAnsi="Arial"/>
          <w:sz w:val="19"/>
          <w:szCs w:val="19"/>
          <w:color w:val="auto"/>
        </w:rPr>
        <w:t>such condition, then you shall be entitled to resign for Good Reason, provided such resignation shall be no later than 180 days after the occurrence of the event giving rise to your right to so resign.</w:t>
      </w:r>
    </w:p>
    <w:p>
      <w:pPr>
        <w:spacing w:after="0" w:line="171" w:lineRule="exact"/>
        <w:rPr>
          <w:sz w:val="20"/>
          <w:szCs w:val="20"/>
          <w:color w:val="auto"/>
        </w:rPr>
      </w:pPr>
    </w:p>
    <w:p>
      <w:pPr>
        <w:ind w:left="1900" w:right="100"/>
        <w:spacing w:after="0" w:line="252" w:lineRule="auto"/>
        <w:rPr>
          <w:sz w:val="20"/>
          <w:szCs w:val="20"/>
          <w:color w:val="auto"/>
        </w:rPr>
      </w:pPr>
      <w:r>
        <w:rPr>
          <w:rFonts w:ascii="Arial" w:cs="Arial" w:eastAsia="Arial" w:hAnsi="Arial"/>
          <w:sz w:val="17"/>
          <w:szCs w:val="17"/>
          <w:color w:val="auto"/>
        </w:rPr>
        <w:t>In the event of termination of your employment by the Company for Cause, resignation by you other than for Good Reason, or termination due to your death or any disability for which you are qualified for benefits under the Company’s</w:t>
      </w:r>
    </w:p>
    <w:p>
      <w:pPr>
        <w:ind w:left="1900" w:right="560"/>
        <w:spacing w:after="0" w:line="234" w:lineRule="auto"/>
        <w:rPr>
          <w:sz w:val="20"/>
          <w:szCs w:val="20"/>
          <w:color w:val="auto"/>
        </w:rPr>
      </w:pPr>
      <w:r>
        <w:rPr>
          <w:rFonts w:ascii="Arial" w:cs="Arial" w:eastAsia="Arial" w:hAnsi="Arial"/>
          <w:sz w:val="17"/>
          <w:szCs w:val="17"/>
          <w:color w:val="auto"/>
        </w:rPr>
        <w:t>group long-term disability program, the Company’s only obligations hereunder shall be those obligations set forth immediately below in this paragraph. For any termination of your employment, you shall be entitled to (i) such</w:t>
      </w:r>
    </w:p>
    <w:p>
      <w:pPr>
        <w:ind w:left="1900"/>
        <w:spacing w:after="0"/>
        <w:rPr>
          <w:sz w:val="20"/>
          <w:szCs w:val="20"/>
          <w:color w:val="auto"/>
        </w:rPr>
      </w:pPr>
      <w:r>
        <w:rPr>
          <w:rFonts w:ascii="Arial" w:cs="Arial" w:eastAsia="Arial" w:hAnsi="Arial"/>
          <w:sz w:val="17"/>
          <w:szCs w:val="17"/>
          <w:color w:val="auto"/>
        </w:rPr>
        <w:t>compensation and any benefits (including any vested equity awards) as are earned by you or accrued or vested through</w:t>
      </w:r>
    </w:p>
    <w:p>
      <w:pPr>
        <w:spacing w:after="0" w:line="2" w:lineRule="exact"/>
        <w:rPr>
          <w:sz w:val="20"/>
          <w:szCs w:val="20"/>
          <w:color w:val="auto"/>
        </w:rPr>
      </w:pPr>
    </w:p>
    <w:p>
      <w:pPr>
        <w:ind w:left="1900" w:right="360"/>
        <w:spacing w:after="0" w:line="234" w:lineRule="auto"/>
        <w:rPr>
          <w:sz w:val="20"/>
          <w:szCs w:val="20"/>
          <w:color w:val="auto"/>
        </w:rPr>
      </w:pPr>
      <w:r>
        <w:rPr>
          <w:rFonts w:ascii="Arial" w:cs="Arial" w:eastAsia="Arial" w:hAnsi="Arial"/>
          <w:sz w:val="17"/>
          <w:szCs w:val="17"/>
          <w:color w:val="auto"/>
        </w:rPr>
        <w:t>the date of termination of employment, (ii) reimbursement of your business expenses incurred through the date of termination, subject to the Company’s normal business expense and travel policies and procedures; (iii) payments or</w:t>
      </w:r>
    </w:p>
    <w:p>
      <w:pPr>
        <w:ind w:left="1900"/>
        <w:spacing w:after="0"/>
        <w:rPr>
          <w:sz w:val="20"/>
          <w:szCs w:val="20"/>
          <w:color w:val="auto"/>
        </w:rPr>
      </w:pPr>
      <w:r>
        <w:rPr>
          <w:rFonts w:ascii="Arial" w:cs="Arial" w:eastAsia="Arial" w:hAnsi="Arial"/>
          <w:sz w:val="17"/>
          <w:szCs w:val="17"/>
          <w:color w:val="auto"/>
        </w:rPr>
        <w:t>benefits due to you pursuant to any applicable plan, policy, arrangement of, or agreement with, the Company or any of</w:t>
      </w:r>
    </w:p>
    <w:p>
      <w:pPr>
        <w:spacing w:after="0" w:line="2" w:lineRule="exact"/>
        <w:rPr>
          <w:sz w:val="20"/>
          <w:szCs w:val="20"/>
          <w:color w:val="auto"/>
        </w:rPr>
      </w:pPr>
    </w:p>
    <w:p>
      <w:pPr>
        <w:ind w:left="1900" w:right="460"/>
        <w:spacing w:after="0" w:line="234" w:lineRule="auto"/>
        <w:rPr>
          <w:sz w:val="20"/>
          <w:szCs w:val="20"/>
          <w:color w:val="auto"/>
        </w:rPr>
      </w:pPr>
      <w:r>
        <w:rPr>
          <w:rFonts w:ascii="Arial" w:cs="Arial" w:eastAsia="Arial" w:hAnsi="Arial"/>
          <w:sz w:val="17"/>
          <w:szCs w:val="17"/>
          <w:color w:val="auto"/>
        </w:rPr>
        <w:t>its affiliates; and (iv) your rights under the Indemnification Agreement, the Company’s (or any successor’s) charter documents or pursuant to applicable law or to be covered under any applicable directors’ and officers’ insurance</w:t>
      </w:r>
    </w:p>
    <w:p>
      <w:pPr>
        <w:ind w:left="1900"/>
        <w:spacing w:after="0"/>
        <w:rPr>
          <w:sz w:val="20"/>
          <w:szCs w:val="20"/>
          <w:color w:val="auto"/>
        </w:rPr>
      </w:pPr>
      <w:r>
        <w:rPr>
          <w:rFonts w:ascii="Arial" w:cs="Arial" w:eastAsia="Arial" w:hAnsi="Arial"/>
          <w:sz w:val="19"/>
          <w:szCs w:val="19"/>
          <w:color w:val="auto"/>
        </w:rPr>
        <w:t>policies.</w:t>
      </w:r>
    </w:p>
    <w:p>
      <w:pPr>
        <w:spacing w:after="0" w:line="200" w:lineRule="exact"/>
        <w:rPr>
          <w:sz w:val="20"/>
          <w:szCs w:val="20"/>
          <w:color w:val="auto"/>
        </w:rPr>
      </w:pPr>
    </w:p>
    <w:p>
      <w:pPr>
        <w:ind w:left="1900" w:right="60"/>
        <w:spacing w:after="0" w:line="244" w:lineRule="auto"/>
        <w:rPr>
          <w:sz w:val="20"/>
          <w:szCs w:val="20"/>
          <w:color w:val="auto"/>
        </w:rPr>
      </w:pPr>
      <w:r>
        <w:rPr>
          <w:rFonts w:ascii="Arial" w:cs="Arial" w:eastAsia="Arial" w:hAnsi="Arial"/>
          <w:sz w:val="17"/>
          <w:szCs w:val="17"/>
          <w:color w:val="auto"/>
        </w:rPr>
        <w:t>In the event that you receive any payment or benefit under the Management Agreement following termination of your employment, you shall not be entitled to receive a comparable payment or benefit under this Agreement so as to prevent</w:t>
      </w:r>
    </w:p>
    <w:p>
      <w:pPr>
        <w:ind w:left="1900"/>
        <w:spacing w:after="0"/>
        <w:rPr>
          <w:sz w:val="20"/>
          <w:szCs w:val="20"/>
          <w:color w:val="auto"/>
        </w:rPr>
      </w:pPr>
      <w:r>
        <w:rPr>
          <w:rFonts w:ascii="Arial" w:cs="Arial" w:eastAsia="Arial" w:hAnsi="Arial"/>
          <w:sz w:val="19"/>
          <w:szCs w:val="19"/>
          <w:color w:val="auto"/>
        </w:rPr>
        <w:t>any duplication of any payments or benefits under this Agreement and the Management Agreement.</w:t>
      </w:r>
    </w:p>
    <w:p>
      <w:pPr>
        <w:spacing w:after="0" w:line="200" w:lineRule="exact"/>
        <w:rPr>
          <w:sz w:val="20"/>
          <w:szCs w:val="20"/>
          <w:color w:val="auto"/>
        </w:rPr>
      </w:pPr>
    </w:p>
    <w:p>
      <w:pPr>
        <w:ind w:left="1480" w:right="560" w:hanging="1894"/>
        <w:spacing w:after="0" w:line="218" w:lineRule="auto"/>
        <w:tabs>
          <w:tab w:leader="none" w:pos="1460" w:val="left"/>
        </w:tabs>
        <w:rPr>
          <w:sz w:val="20"/>
          <w:szCs w:val="20"/>
          <w:color w:val="auto"/>
        </w:rPr>
      </w:pPr>
      <w:r>
        <w:rPr>
          <w:rFonts w:ascii="Arial" w:cs="Arial" w:eastAsia="Arial" w:hAnsi="Arial"/>
          <w:sz w:val="19"/>
          <w:szCs w:val="19"/>
          <w:color w:val="auto"/>
        </w:rPr>
        <w:t>Indemnification:</w:t>
        <w:tab/>
        <w:t>The Company will indemnify you in connection with your duties and responsibilities for the Company, as set out in the enclosed Indemnification Agreement (the “Indemnification Agreement”).</w:t>
      </w:r>
    </w:p>
    <w:p>
      <w:pPr>
        <w:spacing w:after="0" w:line="1" w:lineRule="exact"/>
        <w:rPr>
          <w:sz w:val="20"/>
          <w:szCs w:val="20"/>
          <w:color w:val="auto"/>
        </w:rPr>
      </w:pPr>
    </w:p>
    <w:p>
      <w:pPr>
        <w:ind w:left="1680" w:right="120" w:hanging="1894"/>
        <w:spacing w:after="0" w:line="234" w:lineRule="auto"/>
        <w:tabs>
          <w:tab w:leader="none" w:pos="1660" w:val="left"/>
        </w:tabs>
        <w:rPr>
          <w:sz w:val="20"/>
          <w:szCs w:val="20"/>
          <w:color w:val="auto"/>
        </w:rPr>
      </w:pPr>
      <w:r>
        <w:rPr>
          <w:rFonts w:ascii="Arial" w:cs="Arial" w:eastAsia="Arial" w:hAnsi="Arial"/>
          <w:sz w:val="19"/>
          <w:szCs w:val="19"/>
          <w:color w:val="auto"/>
        </w:rPr>
        <w:t>Prior Employment:</w:t>
      </w:r>
      <w:r>
        <w:rPr>
          <w:sz w:val="20"/>
          <w:szCs w:val="20"/>
          <w:color w:val="auto"/>
        </w:rPr>
        <w:tab/>
      </w:r>
      <w:r>
        <w:rPr>
          <w:rFonts w:ascii="Arial" w:cs="Arial" w:eastAsia="Arial" w:hAnsi="Arial"/>
          <w:sz w:val="17"/>
          <w:szCs w:val="17"/>
          <w:color w:val="auto"/>
        </w:rPr>
        <w:t>The Company understands that you may have other contractual obligations to former employers, but you have represented that no such obligations prevent you from fulfilling your duties and responsibilities to the Company as Executive Vice</w:t>
      </w:r>
    </w:p>
    <w:p>
      <w:pPr>
        <w:ind w:left="1900"/>
        <w:spacing w:after="0"/>
        <w:rPr>
          <w:sz w:val="20"/>
          <w:szCs w:val="20"/>
          <w:color w:val="auto"/>
        </w:rPr>
      </w:pPr>
      <w:r>
        <w:rPr>
          <w:rFonts w:ascii="Arial" w:cs="Arial" w:eastAsia="Arial" w:hAnsi="Arial"/>
          <w:sz w:val="19"/>
          <w:szCs w:val="19"/>
          <w:color w:val="auto"/>
        </w:rPr>
        <w:t>President-Chief Marketing Officer.</w:t>
      </w:r>
    </w:p>
    <w:p>
      <w:pPr>
        <w:spacing w:after="0" w:line="147" w:lineRule="exact"/>
        <w:rPr>
          <w:sz w:val="20"/>
          <w:szCs w:val="20"/>
          <w:color w:val="auto"/>
        </w:rPr>
      </w:pPr>
    </w:p>
    <w:p>
      <w:pPr>
        <w:jc w:val="right"/>
        <w:ind w:right="200"/>
        <w:spacing w:after="0" w:line="225" w:lineRule="auto"/>
        <w:rPr>
          <w:sz w:val="20"/>
          <w:szCs w:val="20"/>
          <w:color w:val="auto"/>
        </w:rPr>
      </w:pPr>
      <w:r>
        <w:rPr>
          <w:rFonts w:ascii="Arial" w:cs="Arial" w:eastAsia="Arial" w:hAnsi="Arial"/>
          <w:sz w:val="19"/>
          <w:szCs w:val="19"/>
          <w:color w:val="auto"/>
        </w:rPr>
        <w:t>Taxes:  The Company may withhold from any compensation payable to you in connection with your employment such federal, state and local income and employment taxes as the Company shall reasonably determine are required to be withheld pursuant to any</w:t>
      </w:r>
    </w:p>
    <w:p>
      <w:pPr>
        <w:spacing w:after="0" w:line="1" w:lineRule="exact"/>
        <w:rPr>
          <w:sz w:val="20"/>
          <w:szCs w:val="20"/>
          <w:color w:val="auto"/>
        </w:rPr>
      </w:pPr>
    </w:p>
    <w:p>
      <w:pPr>
        <w:ind w:left="1900" w:right="180"/>
        <w:spacing w:after="0" w:line="234" w:lineRule="auto"/>
        <w:rPr>
          <w:sz w:val="20"/>
          <w:szCs w:val="20"/>
          <w:color w:val="auto"/>
        </w:rPr>
      </w:pPr>
      <w:r>
        <w:rPr>
          <w:rFonts w:ascii="Arial" w:cs="Arial" w:eastAsia="Arial" w:hAnsi="Arial"/>
          <w:sz w:val="17"/>
          <w:szCs w:val="17"/>
          <w:color w:val="auto"/>
        </w:rPr>
        <w:t>applicable law or regulation. You acknowledge and agree that the Company has made no assurances or representations to you regarding the tax treatment of any consideration provided for in this Agreement and that the Company has</w:t>
      </w:r>
    </w:p>
    <w:p>
      <w:pPr>
        <w:ind w:left="1900"/>
        <w:spacing w:after="0" w:line="229" w:lineRule="auto"/>
        <w:rPr>
          <w:sz w:val="20"/>
          <w:szCs w:val="20"/>
          <w:color w:val="auto"/>
        </w:rPr>
      </w:pPr>
      <w:r>
        <w:rPr>
          <w:rFonts w:ascii="Arial" w:cs="Arial" w:eastAsia="Arial" w:hAnsi="Arial"/>
          <w:sz w:val="18"/>
          <w:szCs w:val="18"/>
          <w:color w:val="auto"/>
        </w:rPr>
        <w:t>advised you to obtain your own personal tax advice. Except for any tax amounts withheld by the Company from the</w:t>
      </w:r>
    </w:p>
    <w:p>
      <w:pPr>
        <w:ind w:left="1900" w:right="280"/>
        <w:spacing w:after="0" w:line="234" w:lineRule="auto"/>
        <w:rPr>
          <w:sz w:val="20"/>
          <w:szCs w:val="20"/>
          <w:color w:val="auto"/>
        </w:rPr>
      </w:pPr>
      <w:r>
        <w:rPr>
          <w:rFonts w:ascii="Arial" w:cs="Arial" w:eastAsia="Arial" w:hAnsi="Arial"/>
          <w:sz w:val="17"/>
          <w:szCs w:val="17"/>
          <w:color w:val="auto"/>
        </w:rPr>
        <w:t>payments or other consideration hereunder and any employment taxes required to be paid by the Company or any tax liabilities for you that are the direct result of the Company failing to make payments or to provide other consideration</w:t>
      </w:r>
    </w:p>
    <w:p>
      <w:pPr>
        <w:ind w:left="1900" w:right="380"/>
        <w:spacing w:after="0" w:line="234" w:lineRule="auto"/>
        <w:rPr>
          <w:sz w:val="20"/>
          <w:szCs w:val="20"/>
          <w:color w:val="auto"/>
        </w:rPr>
      </w:pPr>
      <w:r>
        <w:rPr>
          <w:rFonts w:ascii="Arial" w:cs="Arial" w:eastAsia="Arial" w:hAnsi="Arial"/>
          <w:sz w:val="19"/>
          <w:szCs w:val="19"/>
          <w:color w:val="auto"/>
        </w:rPr>
        <w:t>hereunder in accordance with the terms of this Agreement, you shall be responsible for payment of any and all taxes owed in connection with the consideration provided for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No Mitigation/</w:t>
      </w:r>
    </w:p>
    <w:p>
      <w:pPr>
        <w:spacing w:after="0"/>
        <w:tabs>
          <w:tab w:leader="none" w:pos="1000" w:val="left"/>
        </w:tabs>
        <w:rPr>
          <w:sz w:val="20"/>
          <w:szCs w:val="20"/>
          <w:color w:val="auto"/>
        </w:rPr>
      </w:pPr>
      <w:r>
        <w:rPr>
          <w:rFonts w:ascii="Arial" w:cs="Arial" w:eastAsia="Arial" w:hAnsi="Arial"/>
          <w:sz w:val="19"/>
          <w:szCs w:val="19"/>
          <w:color w:val="auto"/>
        </w:rPr>
        <w:t>No Offset:</w:t>
      </w:r>
      <w:r>
        <w:rPr>
          <w:sz w:val="20"/>
          <w:szCs w:val="20"/>
          <w:color w:val="auto"/>
        </w:rPr>
        <w:tab/>
      </w:r>
      <w:r>
        <w:rPr>
          <w:rFonts w:ascii="Arial" w:cs="Arial" w:eastAsia="Arial" w:hAnsi="Arial"/>
          <w:sz w:val="17"/>
          <w:szCs w:val="17"/>
          <w:color w:val="auto"/>
        </w:rPr>
        <w:t>In the event of any termination of your employment, you shall be under no obligation to seek other employment or otherwise</w:t>
      </w:r>
    </w:p>
    <w:p>
      <w:pPr>
        <w:spacing w:after="0" w:line="1" w:lineRule="exact"/>
        <w:rPr>
          <w:sz w:val="20"/>
          <w:szCs w:val="20"/>
          <w:color w:val="auto"/>
        </w:rPr>
      </w:pPr>
    </w:p>
    <w:p>
      <w:pPr>
        <w:ind w:left="1900" w:right="60"/>
        <w:spacing w:after="0" w:line="268" w:lineRule="auto"/>
        <w:rPr>
          <w:sz w:val="20"/>
          <w:szCs w:val="20"/>
          <w:color w:val="auto"/>
        </w:rPr>
      </w:pPr>
      <w:r>
        <w:rPr>
          <w:rFonts w:ascii="Arial" w:cs="Arial" w:eastAsia="Arial" w:hAnsi="Arial"/>
          <w:sz w:val="17"/>
          <w:szCs w:val="17"/>
          <w:color w:val="auto"/>
        </w:rPr>
        <w:t>mitigate damages. There shall be no offset against, or any recoupment of, any amounts, benefits or entitlements due to you hereunder on account of any remuneration or other benefit earned or received by you from subsequent employment.</w:t>
      </w:r>
    </w:p>
    <w:p>
      <w:pPr>
        <w:spacing w:after="0" w:line="166" w:lineRule="exact"/>
        <w:rPr>
          <w:sz w:val="20"/>
          <w:szCs w:val="20"/>
          <w:color w:val="auto"/>
        </w:rPr>
      </w:pPr>
    </w:p>
    <w:p>
      <w:pPr>
        <w:ind w:left="1440" w:right="40" w:hanging="1894"/>
        <w:spacing w:after="0" w:line="273" w:lineRule="auto"/>
        <w:tabs>
          <w:tab w:leader="none" w:pos="1420" w:val="left"/>
        </w:tabs>
        <w:rPr>
          <w:sz w:val="20"/>
          <w:szCs w:val="20"/>
          <w:color w:val="auto"/>
        </w:rPr>
      </w:pPr>
      <w:r>
        <w:rPr>
          <w:rFonts w:ascii="Arial" w:cs="Arial" w:eastAsia="Arial" w:hAnsi="Arial"/>
          <w:sz w:val="19"/>
          <w:szCs w:val="19"/>
          <w:color w:val="auto"/>
        </w:rPr>
        <w:t>Binding Nature:</w:t>
      </w:r>
      <w:r>
        <w:rPr>
          <w:sz w:val="20"/>
          <w:szCs w:val="20"/>
          <w:color w:val="auto"/>
        </w:rPr>
        <w:tab/>
      </w:r>
      <w:r>
        <w:rPr>
          <w:rFonts w:ascii="Arial" w:cs="Arial" w:eastAsia="Arial" w:hAnsi="Arial"/>
          <w:sz w:val="18"/>
          <w:szCs w:val="18"/>
          <w:color w:val="auto"/>
        </w:rPr>
        <w:t>As of the date first written above, this Agreement is intended to bind and inure to the benefit of and be enforceable by you and the Company and their respective successors, assigns, heirs, executors and administrators, except you may not</w:t>
      </w:r>
    </w:p>
    <w:p>
      <w:pPr>
        <w:sectPr>
          <w:pgSz w:w="11900" w:h="16838" w:orient="portrait"/>
          <w:cols w:equalWidth="0" w:num="1">
            <w:col w:w="11240"/>
          </w:cols>
          <w:pgMar w:left="320" w:top="1373" w:right="339" w:bottom="1440" w:gutter="0" w:footer="0" w:header="0"/>
        </w:sectPr>
      </w:pPr>
    </w:p>
    <w:bookmarkStart w:id="122" w:name="page123"/>
    <w:bookmarkEnd w:id="122"/>
    <w:p>
      <w:pPr>
        <w:ind w:left="1900"/>
        <w:spacing w:after="0"/>
        <w:rPr>
          <w:sz w:val="20"/>
          <w:szCs w:val="20"/>
          <w:color w:val="auto"/>
        </w:rPr>
      </w:pPr>
      <w:r>
        <w:rPr>
          <w:rFonts w:ascii="Arial" w:cs="Arial" w:eastAsia="Arial" w:hAnsi="Arial"/>
          <w:sz w:val="18"/>
          <w:szCs w:val="18"/>
          <w:color w:val="auto"/>
        </w:rPr>
        <w:t>assign your rights or obligations hereunder without the prior written consent of the Company (provided that if you</w:t>
      </w:r>
    </w:p>
    <w:p>
      <w:pPr>
        <w:spacing w:after="0" w:line="6" w:lineRule="exact"/>
        <w:rPr>
          <w:sz w:val="20"/>
          <w:szCs w:val="20"/>
          <w:color w:val="auto"/>
        </w:rPr>
      </w:pPr>
    </w:p>
    <w:p>
      <w:pPr>
        <w:ind w:left="1900" w:right="60"/>
        <w:spacing w:after="0" w:line="234" w:lineRule="auto"/>
        <w:rPr>
          <w:sz w:val="20"/>
          <w:szCs w:val="20"/>
          <w:color w:val="auto"/>
        </w:rPr>
      </w:pPr>
      <w:r>
        <w:rPr>
          <w:rFonts w:ascii="Arial" w:cs="Arial" w:eastAsia="Arial" w:hAnsi="Arial"/>
          <w:sz w:val="17"/>
          <w:szCs w:val="17"/>
          <w:color w:val="auto"/>
        </w:rPr>
        <w:t>should die while any payment, benefit or entitlement is due to you hereunder, such payment, benefit or entitlement shall be paid to your designated beneficiary, or, if there is no designated beneficiary, to your estate). In addition, no rights or</w:t>
      </w:r>
    </w:p>
    <w:p>
      <w:pPr>
        <w:ind w:left="1900"/>
        <w:spacing w:after="0" w:line="229" w:lineRule="auto"/>
        <w:rPr>
          <w:sz w:val="20"/>
          <w:szCs w:val="20"/>
          <w:color w:val="auto"/>
        </w:rPr>
      </w:pPr>
      <w:r>
        <w:rPr>
          <w:rFonts w:ascii="Arial" w:cs="Arial" w:eastAsia="Arial" w:hAnsi="Arial"/>
          <w:sz w:val="18"/>
          <w:szCs w:val="18"/>
          <w:color w:val="auto"/>
        </w:rPr>
        <w:t>obligations of the Company under this Agreement may be assigned or transferred by the Company without your prior</w:t>
      </w:r>
    </w:p>
    <w:p>
      <w:pPr>
        <w:ind w:left="1900" w:right="500"/>
        <w:spacing w:after="0" w:line="234" w:lineRule="auto"/>
        <w:rPr>
          <w:sz w:val="20"/>
          <w:szCs w:val="20"/>
          <w:color w:val="auto"/>
        </w:rPr>
      </w:pPr>
      <w:r>
        <w:rPr>
          <w:rFonts w:ascii="Arial" w:cs="Arial" w:eastAsia="Arial" w:hAnsi="Arial"/>
          <w:sz w:val="17"/>
          <w:szCs w:val="17"/>
          <w:color w:val="auto"/>
        </w:rPr>
        <w:t>written consent, except that such rights or obligations may be assigned or transferred pursuant to a merger or consolidation in which the Company is not the continuing entity, or a sale, liquidation or other disposition of all or</w:t>
      </w:r>
    </w:p>
    <w:p>
      <w:pPr>
        <w:ind w:left="1900"/>
        <w:spacing w:after="0" w:line="229" w:lineRule="auto"/>
        <w:rPr>
          <w:sz w:val="20"/>
          <w:szCs w:val="20"/>
          <w:color w:val="auto"/>
        </w:rPr>
      </w:pPr>
      <w:r>
        <w:rPr>
          <w:rFonts w:ascii="Arial" w:cs="Arial" w:eastAsia="Arial" w:hAnsi="Arial"/>
          <w:sz w:val="18"/>
          <w:szCs w:val="18"/>
          <w:color w:val="auto"/>
        </w:rPr>
        <w:t>substantially all of the assets of the Company, provided that the assignee or transferee is the successor to all or</w:t>
      </w:r>
    </w:p>
    <w:p>
      <w:pPr>
        <w:ind w:left="1900" w:right="180"/>
        <w:spacing w:after="0" w:line="227" w:lineRule="auto"/>
        <w:rPr>
          <w:sz w:val="20"/>
          <w:szCs w:val="20"/>
          <w:color w:val="auto"/>
        </w:rPr>
      </w:pPr>
      <w:r>
        <w:rPr>
          <w:rFonts w:ascii="Arial" w:cs="Arial" w:eastAsia="Arial" w:hAnsi="Arial"/>
          <w:sz w:val="19"/>
          <w:szCs w:val="19"/>
          <w:color w:val="auto"/>
        </w:rPr>
        <w:t>substantially all of the assets of the Company and assumes the liabilities, obligations and duties of the Company under this Agreement, either contractually or as a matter of law.</w:t>
      </w:r>
    </w:p>
    <w:p>
      <w:pPr>
        <w:spacing w:after="0" w:line="189" w:lineRule="exact"/>
        <w:rPr>
          <w:sz w:val="20"/>
          <w:szCs w:val="20"/>
          <w:color w:val="auto"/>
        </w:rPr>
      </w:pPr>
    </w:p>
    <w:p>
      <w:pPr>
        <w:spacing w:after="0"/>
        <w:tabs>
          <w:tab w:leader="none" w:pos="1460" w:val="left"/>
        </w:tabs>
        <w:rPr>
          <w:sz w:val="20"/>
          <w:szCs w:val="20"/>
          <w:color w:val="auto"/>
        </w:rPr>
      </w:pPr>
      <w:r>
        <w:rPr>
          <w:rFonts w:ascii="Arial" w:cs="Arial" w:eastAsia="Arial" w:hAnsi="Arial"/>
          <w:sz w:val="19"/>
          <w:szCs w:val="19"/>
          <w:color w:val="auto"/>
        </w:rPr>
        <w:t>Applicable Law:</w:t>
      </w:r>
      <w:r>
        <w:rPr>
          <w:sz w:val="20"/>
          <w:szCs w:val="20"/>
          <w:color w:val="auto"/>
        </w:rPr>
        <w:tab/>
      </w:r>
      <w:r>
        <w:rPr>
          <w:rFonts w:ascii="Arial" w:cs="Arial" w:eastAsia="Arial" w:hAnsi="Arial"/>
          <w:sz w:val="17"/>
          <w:szCs w:val="17"/>
          <w:color w:val="auto"/>
        </w:rPr>
        <w:t>This Agreement shall be interpreted and construed in accordance with the laws of the State of California.</w:t>
      </w:r>
    </w:p>
    <w:p>
      <w:pPr>
        <w:spacing w:after="0" w:line="216" w:lineRule="exact"/>
        <w:rPr>
          <w:sz w:val="20"/>
          <w:szCs w:val="20"/>
          <w:color w:val="auto"/>
        </w:rPr>
      </w:pPr>
    </w:p>
    <w:p>
      <w:pPr>
        <w:ind w:left="1300" w:right="240" w:hanging="1894"/>
        <w:spacing w:after="0" w:line="244" w:lineRule="auto"/>
        <w:tabs>
          <w:tab w:leader="none" w:pos="1280" w:val="left"/>
        </w:tabs>
        <w:rPr>
          <w:sz w:val="20"/>
          <w:szCs w:val="20"/>
          <w:color w:val="auto"/>
        </w:rPr>
      </w:pPr>
      <w:r>
        <w:rPr>
          <w:rFonts w:ascii="Arial" w:cs="Arial" w:eastAsia="Arial" w:hAnsi="Arial"/>
          <w:sz w:val="19"/>
          <w:szCs w:val="19"/>
          <w:color w:val="auto"/>
        </w:rPr>
        <w:t>Section 409A:</w:t>
      </w:r>
      <w:r>
        <w:rPr>
          <w:sz w:val="20"/>
          <w:szCs w:val="20"/>
          <w:color w:val="auto"/>
        </w:rPr>
        <w:tab/>
      </w:r>
      <w:r>
        <w:rPr>
          <w:rFonts w:ascii="Arial" w:cs="Arial" w:eastAsia="Arial" w:hAnsi="Arial"/>
          <w:sz w:val="17"/>
          <w:szCs w:val="17"/>
          <w:color w:val="auto"/>
        </w:rPr>
        <w:t>The parties hereto intend that all payments and benefits to be made or provided to you will be paid or provided in compliance with all applicable requirements of Section 409A (as defined above), and the provisions of this Agreement shall be</w:t>
      </w:r>
    </w:p>
    <w:p>
      <w:pPr>
        <w:ind w:left="1900" w:right="600"/>
        <w:spacing w:after="0" w:line="255" w:lineRule="auto"/>
        <w:rPr>
          <w:sz w:val="20"/>
          <w:szCs w:val="20"/>
          <w:color w:val="auto"/>
        </w:rPr>
      </w:pPr>
      <w:r>
        <w:rPr>
          <w:rFonts w:ascii="Arial" w:cs="Arial" w:eastAsia="Arial" w:hAnsi="Arial"/>
          <w:sz w:val="18"/>
          <w:szCs w:val="18"/>
          <w:color w:val="auto"/>
        </w:rPr>
        <w:t>construed and administered in accordance with and to implement such intent. In furtherance of the foregoing, the provisions set forth below shall apply notwithstanding any other provision in this Agreement.</w:t>
      </w:r>
    </w:p>
    <w:p>
      <w:pPr>
        <w:spacing w:after="0" w:line="123" w:lineRule="exact"/>
        <w:rPr>
          <w:sz w:val="20"/>
          <w:szCs w:val="20"/>
          <w:color w:val="auto"/>
        </w:rPr>
      </w:pPr>
    </w:p>
    <w:p>
      <w:pPr>
        <w:ind w:left="1900" w:right="220"/>
        <w:spacing w:after="0" w:line="244" w:lineRule="auto"/>
        <w:tabs>
          <w:tab w:leader="none" w:pos="23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All payments to be made to you hereunder, to the extent they constitute a deferral of compensation subject to the requirements of Section 409A (after taking into account all exclusions applicable to such payments under Section</w:t>
      </w:r>
    </w:p>
    <w:p>
      <w:pPr>
        <w:ind w:left="1900" w:right="440"/>
        <w:spacing w:after="0" w:line="284" w:lineRule="auto"/>
        <w:rPr>
          <w:rFonts w:ascii="Arial" w:cs="Arial" w:eastAsia="Arial" w:hAnsi="Arial"/>
          <w:sz w:val="17"/>
          <w:szCs w:val="17"/>
          <w:color w:val="auto"/>
        </w:rPr>
      </w:pPr>
      <w:r>
        <w:rPr>
          <w:rFonts w:ascii="Arial" w:cs="Arial" w:eastAsia="Arial" w:hAnsi="Arial"/>
          <w:sz w:val="17"/>
          <w:szCs w:val="17"/>
          <w:color w:val="auto"/>
        </w:rPr>
        <w:t>409A), shall be made no later, and shall not be made any earlier, than at the time or times specified herein or in any applicable plan for such payments to be made, except as otherwise permitted or required under Section 409A.</w:t>
      </w:r>
    </w:p>
    <w:p>
      <w:pPr>
        <w:spacing w:after="0" w:line="139" w:lineRule="exact"/>
        <w:rPr>
          <w:rFonts w:ascii="Arial" w:cs="Arial" w:eastAsia="Arial" w:hAnsi="Arial"/>
          <w:sz w:val="17"/>
          <w:szCs w:val="17"/>
          <w:color w:val="auto"/>
        </w:rPr>
      </w:pPr>
    </w:p>
    <w:p>
      <w:pPr>
        <w:ind w:left="1900" w:right="80"/>
        <w:spacing w:after="0" w:line="224" w:lineRule="auto"/>
        <w:tabs>
          <w:tab w:leader="none" w:pos="2318"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date of your "separation from service", as defined in Section 409A (and as determined by applying the default presumptions in Treas. Reg. §1.409A-1(h)(1)(ii)), shall be treated as the date of your termination of employment for purposes of determining the time of payment of any amount that becomes payable to you related to your termination of employment and that is properly treated as a deferral of compensation subject to Section 409A after taking into account all exclusions applicable to such payment under Section 409A.</w:t>
      </w:r>
    </w:p>
    <w:p>
      <w:pPr>
        <w:spacing w:after="0" w:line="190" w:lineRule="exact"/>
        <w:rPr>
          <w:rFonts w:ascii="Arial" w:cs="Arial" w:eastAsia="Arial" w:hAnsi="Arial"/>
          <w:sz w:val="19"/>
          <w:szCs w:val="19"/>
          <w:color w:val="auto"/>
        </w:rPr>
      </w:pPr>
    </w:p>
    <w:p>
      <w:pPr>
        <w:ind w:left="1900"/>
        <w:spacing w:after="0" w:line="230" w:lineRule="auto"/>
        <w:tabs>
          <w:tab w:leader="none" w:pos="23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any payment or delivery otherwise required to be made to you hereunder on account of your separation from service is properly treated as a deferral of compensation subject to Section 409A after taking into account all exclusions applicable to such payment and delivery under Section 409A, and if you are a "specified employee" under Section 409A at the time of your separation from service, then such payment and delivery shall not be made prior to the first business day after the earlier of (i) the expiration of six months from the date of your separation from service, or (ii) the date of your death (such first business day, the “Delayed Payment Date”). On the Delayed Payment Date, there shall be paid or delivered to you or, if you have died, to your estate, in a single payment or delivery (as applicable) all entitlements so delayed, and in the case of cash payments, in a single cash lump sum, an amount equal to aggregate amount of all payments delayed pursuant to the preceding sentence.</w:t>
      </w:r>
    </w:p>
    <w:p>
      <w:pPr>
        <w:spacing w:after="0" w:line="56" w:lineRule="exact"/>
        <w:rPr>
          <w:rFonts w:ascii="Arial" w:cs="Arial" w:eastAsia="Arial" w:hAnsi="Arial"/>
          <w:sz w:val="18"/>
          <w:szCs w:val="18"/>
          <w:color w:val="auto"/>
        </w:rPr>
      </w:pPr>
    </w:p>
    <w:p>
      <w:pPr>
        <w:ind w:left="1900"/>
        <w:spacing w:after="0" w:line="243" w:lineRule="auto"/>
        <w:tabs>
          <w:tab w:leader="none" w:pos="23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any amounts payable to you under this Agreement that may be treated as payable in the form of “a series of installment payments”, as defined in Treas. Reg. §1.409A-2(b)(2)(iii), your right to receive such payments shall be treated as a right to receive a series of separate payments for purposes of Treas. Reg. §1.409A-2(b)(2)(iii).</w:t>
      </w:r>
    </w:p>
    <w:p>
      <w:pPr>
        <w:sectPr>
          <w:pgSz w:w="11900" w:h="16838" w:orient="portrait"/>
          <w:cols w:equalWidth="0" w:num="1">
            <w:col w:w="11220"/>
          </w:cols>
          <w:pgMar w:left="320" w:top="1373" w:right="359" w:bottom="1440" w:gutter="0" w:footer="0" w:header="0"/>
        </w:sectPr>
      </w:pPr>
    </w:p>
    <w:bookmarkStart w:id="123" w:name="page124"/>
    <w:bookmarkEnd w:id="123"/>
    <w:p>
      <w:pPr>
        <w:spacing w:after="0" w:line="170" w:lineRule="exact"/>
        <w:rPr>
          <w:sz w:val="20"/>
          <w:szCs w:val="20"/>
          <w:color w:val="auto"/>
        </w:rPr>
      </w:pPr>
    </w:p>
    <w:p>
      <w:pPr>
        <w:ind w:left="1900" w:right="160"/>
        <w:spacing w:after="0" w:line="226" w:lineRule="auto"/>
        <w:tabs>
          <w:tab w:leader="none" w:pos="230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the extent that the reimbursement of any expenses eligible for reimbursement or the provision of any in-kind benefits under any provision of this Agreement would be considered deferred compensation under Section 409A (after taking into account all exclusions applicable to such reimbursements and benefits under Section 409A): (i) reimbursement of any such expense shall be made by the Company as soon as practicable after such expense has been incurred, but in any event no later than December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the year following the year in which you incur such expense;</w:t>
      </w:r>
    </w:p>
    <w:p>
      <w:pPr>
        <w:spacing w:after="0" w:line="2" w:lineRule="exact"/>
        <w:rPr>
          <w:rFonts w:ascii="Arial" w:cs="Arial" w:eastAsia="Arial" w:hAnsi="Arial"/>
          <w:sz w:val="17"/>
          <w:szCs w:val="17"/>
          <w:color w:val="auto"/>
        </w:rPr>
      </w:pPr>
    </w:p>
    <w:p>
      <w:pPr>
        <w:ind w:left="1900" w:right="20"/>
        <w:spacing w:after="0" w:line="222" w:lineRule="auto"/>
        <w:tabs>
          <w:tab w:leader="none" w:pos="218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amount of such expenses eligible for reimbursement, or in-kind benefits to be provided, during any calendar year shall not affect the amount of such expenses eligible for reimbursement, or in-kind benefits to be provided, in any calendar year; and (iii) your right to receive such reimbursements or in-kind benefits shall not be subject to liquidation or exchange for another benefit.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9"/>
          <w:szCs w:val="19"/>
          <w:color w:val="auto"/>
        </w:rPr>
        <w:t>Section 280G:</w:t>
      </w:r>
      <w:r>
        <w:rPr>
          <w:sz w:val="20"/>
          <w:szCs w:val="20"/>
          <w:color w:val="auto"/>
        </w:rPr>
        <w:tab/>
      </w:r>
      <w:r>
        <w:rPr>
          <w:rFonts w:ascii="Arial" w:cs="Arial" w:eastAsia="Arial" w:hAnsi="Arial"/>
          <w:sz w:val="17"/>
          <w:szCs w:val="17"/>
          <w:color w:val="auto"/>
        </w:rPr>
        <w:t>Section 3 of the Management Agreement is incorporated in full into this Agreement and shall apply to any payment, benefit or</w:t>
      </w:r>
    </w:p>
    <w:p>
      <w:pPr>
        <w:ind w:left="1900" w:right="120"/>
        <w:spacing w:after="0" w:line="227" w:lineRule="auto"/>
        <w:rPr>
          <w:sz w:val="20"/>
          <w:szCs w:val="20"/>
          <w:color w:val="auto"/>
        </w:rPr>
      </w:pPr>
      <w:r>
        <w:rPr>
          <w:rFonts w:ascii="Arial" w:cs="Arial" w:eastAsia="Arial" w:hAnsi="Arial"/>
          <w:sz w:val="19"/>
          <w:szCs w:val="19"/>
          <w:color w:val="auto"/>
        </w:rPr>
        <w:t>entitlement paid or provided to you (or to be paid or so provided) hereunder or otherwise as if such payment, benefit or entitlement had been paid under the Management Agreement.</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Notices:</w:t>
      </w:r>
      <w:r>
        <w:rPr>
          <w:sz w:val="20"/>
          <w:szCs w:val="20"/>
          <w:color w:val="auto"/>
        </w:rPr>
        <w:tab/>
      </w:r>
      <w:r>
        <w:rPr>
          <w:rFonts w:ascii="Arial" w:cs="Arial" w:eastAsia="Arial" w:hAnsi="Arial"/>
          <w:sz w:val="17"/>
          <w:szCs w:val="17"/>
          <w:color w:val="auto"/>
        </w:rPr>
        <w:t>Any notice, request or other communication required under this Agreement shall be in writing and shall be deemed to have been given</w:t>
      </w:r>
    </w:p>
    <w:p>
      <w:pPr>
        <w:ind w:left="1900" w:right="200"/>
        <w:spacing w:after="0" w:line="218" w:lineRule="auto"/>
        <w:tabs>
          <w:tab w:leader="none" w:pos="213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when delivered personally, or (ii) two days after having been sent by a recognized courier, provided written acknowledgement of receipt is obtained. Any such notices, requests or other communications shall be given to the Company, at Fair Isaac Corporation, Attn: General Counsel, 181 Metro Drive, Suite 700, San Jose, California, 95110, and to you at your home address in the Company’s files (or to any other address the party provides in accordance with this notice provision).</w:t>
      </w:r>
    </w:p>
    <w:p>
      <w:pPr>
        <w:spacing w:after="0" w:line="189" w:lineRule="exact"/>
        <w:rPr>
          <w:sz w:val="20"/>
          <w:szCs w:val="20"/>
          <w:color w:val="auto"/>
        </w:rPr>
      </w:pPr>
    </w:p>
    <w:p>
      <w:pPr>
        <w:jc w:val="right"/>
        <w:ind w:right="60"/>
        <w:spacing w:after="0" w:line="218" w:lineRule="auto"/>
        <w:rPr>
          <w:sz w:val="20"/>
          <w:szCs w:val="20"/>
          <w:color w:val="auto"/>
        </w:rPr>
      </w:pPr>
      <w:r>
        <w:rPr>
          <w:rFonts w:ascii="Arial" w:cs="Arial" w:eastAsia="Arial" w:hAnsi="Arial"/>
          <w:sz w:val="19"/>
          <w:szCs w:val="19"/>
          <w:color w:val="auto"/>
        </w:rPr>
        <w:t>Entire Agreement:  This Agreement, the PIIA, the PERA, the Indemnification Agreement and the Management Agreement constitute the entire agreement between the parties with respect to the subject matter hereto, and supersede all prior discussions, agreements</w:t>
      </w:r>
    </w:p>
    <w:p>
      <w:pPr>
        <w:ind w:left="1900"/>
        <w:spacing w:after="0" w:line="217" w:lineRule="auto"/>
        <w:rPr>
          <w:sz w:val="20"/>
          <w:szCs w:val="20"/>
          <w:color w:val="auto"/>
        </w:rPr>
      </w:pPr>
      <w:r>
        <w:rPr>
          <w:rFonts w:ascii="Arial" w:cs="Arial" w:eastAsia="Arial" w:hAnsi="Arial"/>
          <w:sz w:val="19"/>
          <w:szCs w:val="19"/>
          <w:color w:val="auto"/>
        </w:rPr>
        <w:t>and negotiations between you and the Company with respect to the subject matter hereof. No amendment or</w:t>
      </w:r>
    </w:p>
    <w:p>
      <w:pPr>
        <w:spacing w:after="0" w:line="1" w:lineRule="exact"/>
        <w:rPr>
          <w:sz w:val="20"/>
          <w:szCs w:val="20"/>
          <w:color w:val="auto"/>
        </w:rPr>
      </w:pPr>
    </w:p>
    <w:p>
      <w:pPr>
        <w:ind w:left="1900" w:right="160"/>
        <w:spacing w:after="0" w:line="234" w:lineRule="auto"/>
        <w:rPr>
          <w:sz w:val="20"/>
          <w:szCs w:val="20"/>
          <w:color w:val="auto"/>
        </w:rPr>
      </w:pPr>
      <w:r>
        <w:rPr>
          <w:rFonts w:ascii="Arial" w:cs="Arial" w:eastAsia="Arial" w:hAnsi="Arial"/>
          <w:sz w:val="17"/>
          <w:szCs w:val="17"/>
          <w:color w:val="auto"/>
        </w:rPr>
        <w:t>modification of this Agreement will be effective unless made in writing and signed by you and an authorized officer or director of the Company. Any waiver of this Agreement will only be effective if signed by the party against whom the</w:t>
      </w:r>
    </w:p>
    <w:p>
      <w:pPr>
        <w:ind w:left="1900"/>
        <w:spacing w:after="0"/>
        <w:rPr>
          <w:sz w:val="20"/>
          <w:szCs w:val="20"/>
          <w:color w:val="auto"/>
        </w:rPr>
      </w:pPr>
      <w:r>
        <w:rPr>
          <w:rFonts w:ascii="Arial" w:cs="Arial" w:eastAsia="Arial" w:hAnsi="Arial"/>
          <w:sz w:val="17"/>
          <w:szCs w:val="17"/>
          <w:color w:val="auto"/>
        </w:rPr>
        <w:t>waiver is being enforced (which in the case of the Company shall be an authorized officer or director). No waiver by any</w:t>
      </w:r>
    </w:p>
    <w:p>
      <w:pPr>
        <w:spacing w:after="0" w:line="2" w:lineRule="exact"/>
        <w:rPr>
          <w:sz w:val="20"/>
          <w:szCs w:val="20"/>
          <w:color w:val="auto"/>
        </w:rPr>
      </w:pPr>
    </w:p>
    <w:p>
      <w:pPr>
        <w:ind w:left="1900" w:right="760"/>
        <w:spacing w:after="0" w:line="227" w:lineRule="auto"/>
        <w:rPr>
          <w:sz w:val="20"/>
          <w:szCs w:val="20"/>
          <w:color w:val="auto"/>
        </w:rPr>
      </w:pPr>
      <w:r>
        <w:rPr>
          <w:rFonts w:ascii="Arial" w:cs="Arial" w:eastAsia="Arial" w:hAnsi="Arial"/>
          <w:sz w:val="19"/>
          <w:szCs w:val="19"/>
          <w:color w:val="auto"/>
        </w:rPr>
        <w:t>party of any breach of any condition or provision of this Agreement shall be deemed a waiver of any similar or dissimilar condition or provision at the same or any prior or subsequent time.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11220"/>
          </w:cols>
          <w:pgMar w:left="320" w:top="1440" w:right="35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If you have any questions about the terms of this Agreement, please contact Richard Deal.</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/s/ William J. Lansing</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William J. Lansing</w:t>
      </w:r>
    </w:p>
    <w:p>
      <w:pPr>
        <w:spacing w:after="0"/>
        <w:rPr>
          <w:sz w:val="20"/>
          <w:szCs w:val="20"/>
          <w:color w:val="auto"/>
        </w:rPr>
      </w:pP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Enclosures</w:t>
      </w:r>
    </w:p>
    <w:p>
      <w:pPr>
        <w:spacing w:after="0" w:line="211" w:lineRule="exact"/>
        <w:rPr>
          <w:sz w:val="20"/>
          <w:szCs w:val="20"/>
          <w:color w:val="auto"/>
        </w:rPr>
      </w:pPr>
    </w:p>
    <w:p>
      <w:pPr>
        <w:ind w:left="620" w:hanging="615"/>
        <w:spacing w:after="0"/>
        <w:tabs>
          <w:tab w:leader="none" w:pos="6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Form of Release attached hereto as Exhibit A</w:t>
      </w:r>
    </w:p>
    <w:p>
      <w:pPr>
        <w:ind w:left="620" w:hanging="615"/>
        <w:spacing w:after="0" w:line="202" w:lineRule="auto"/>
        <w:tabs>
          <w:tab w:leader="none" w:pos="6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Management Agreement</w:t>
      </w:r>
    </w:p>
    <w:p>
      <w:pPr>
        <w:ind w:left="620" w:hanging="615"/>
        <w:spacing w:after="0" w:line="216" w:lineRule="auto"/>
        <w:tabs>
          <w:tab w:leader="none" w:pos="6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Proprietary Information and Inventions Agreement</w:t>
      </w:r>
    </w:p>
    <w:p>
      <w:pPr>
        <w:ind w:left="620" w:hanging="615"/>
        <w:spacing w:after="0" w:line="216" w:lineRule="auto"/>
        <w:tabs>
          <w:tab w:leader="none" w:pos="6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Post-Employment Restrictions Agreement</w:t>
      </w:r>
    </w:p>
    <w:p>
      <w:pPr>
        <w:ind w:left="620" w:hanging="615"/>
        <w:spacing w:after="0"/>
        <w:tabs>
          <w:tab w:leader="none" w:pos="6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Indemnification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accept and agree to the terms and conditions of employment with Fair Isaac Corporation as set forth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7"/>
              </w:rPr>
              <w:t>/s/ Nikhil Behl</w:t>
            </w:r>
          </w:p>
        </w:tc>
        <w:tc>
          <w:tcPr>
            <w:tcW w:w="116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August 22, 2023</w:t>
            </w:r>
          </w:p>
        </w:tc>
      </w:tr>
      <w:tr>
        <w:trPr>
          <w:trHeight w:val="239"/>
        </w:trPr>
        <w:tc>
          <w:tcPr>
            <w:tcW w:w="1140" w:type="dxa"/>
            <w:vAlign w:val="bottom"/>
          </w:tcPr>
          <w:p>
            <w:pPr>
              <w:spacing w:after="0"/>
              <w:rPr>
                <w:sz w:val="20"/>
                <w:szCs w:val="20"/>
                <w:color w:val="auto"/>
              </w:rPr>
            </w:pPr>
            <w:r>
              <w:rPr>
                <w:rFonts w:ascii="Arial" w:cs="Arial" w:eastAsia="Arial" w:hAnsi="Arial"/>
                <w:sz w:val="19"/>
                <w:szCs w:val="19"/>
                <w:color w:val="auto"/>
              </w:rPr>
              <w:t>Nikhil Behl</w:t>
            </w:r>
          </w:p>
        </w:tc>
        <w:tc>
          <w:tcPr>
            <w:tcW w:w="2440" w:type="dxa"/>
            <w:vAlign w:val="bottom"/>
            <w:gridSpan w:val="2"/>
          </w:tcPr>
          <w:p>
            <w:pPr>
              <w:ind w:left="920"/>
              <w:spacing w:after="0"/>
              <w:rPr>
                <w:sz w:val="20"/>
                <w:szCs w:val="20"/>
                <w:color w:val="auto"/>
              </w:rPr>
            </w:pPr>
            <w:r>
              <w:rPr>
                <w:rFonts w:ascii="Arial" w:cs="Arial" w:eastAsia="Arial" w:hAnsi="Arial"/>
                <w:sz w:val="19"/>
                <w:szCs w:val="19"/>
                <w:color w:val="auto"/>
              </w:rPr>
              <w:t>Dated</w:t>
            </w:r>
          </w:p>
        </w:tc>
      </w:tr>
    </w:tbl>
    <w:p>
      <w:pPr>
        <w:sectPr>
          <w:pgSz w:w="11900" w:h="16838" w:orient="portrait"/>
          <w:cols w:equalWidth="0" w:num="1">
            <w:col w:w="10139"/>
          </w:cols>
          <w:pgMar w:left="320" w:top="1373"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1"/>
          <w:szCs w:val="21"/>
          <w:b w:val="1"/>
          <w:bCs w:val="1"/>
          <w:u w:val="single" w:color="auto"/>
          <w:color w:val="auto"/>
        </w:rPr>
        <w:t>EXHIBIT A</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RELEASE BY NIKHIL BEHL</w:t>
      </w:r>
    </w:p>
    <w:p>
      <w:pPr>
        <w:spacing w:after="0" w:line="216" w:lineRule="exact"/>
        <w:rPr>
          <w:sz w:val="20"/>
          <w:szCs w:val="20"/>
          <w:color w:val="auto"/>
        </w:rPr>
      </w:pPr>
    </w:p>
    <w:p>
      <w:pPr>
        <w:ind w:right="400"/>
        <w:spacing w:after="0" w:line="239" w:lineRule="auto"/>
        <w:rPr>
          <w:sz w:val="20"/>
          <w:szCs w:val="20"/>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I intend all words used in this Release to have their plain meanings in ordinary English. Specific terms that I use in this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following meanings:</w:t>
      </w:r>
    </w:p>
    <w:p>
      <w:pPr>
        <w:spacing w:after="0" w:line="189" w:lineRule="exact"/>
        <w:rPr>
          <w:sz w:val="20"/>
          <w:szCs w:val="20"/>
          <w:color w:val="auto"/>
        </w:rPr>
      </w:pPr>
    </w:p>
    <w:p>
      <w:pPr>
        <w:ind w:left="580" w:hanging="382"/>
        <w:spacing w:after="0"/>
        <w:tabs>
          <w:tab w:leader="none" w:pos="58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me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my</w:t>
      </w:r>
      <w:r>
        <w:rPr>
          <w:rFonts w:ascii="Arial" w:cs="Arial" w:eastAsia="Arial" w:hAnsi="Arial"/>
          <w:sz w:val="19"/>
          <w:szCs w:val="19"/>
          <w:color w:val="auto"/>
        </w:rPr>
        <w:t xml:space="preserve"> include both me (Nikhil Behl) and anyone who has or obtains any legal rights or claims through me.</w:t>
      </w:r>
    </w:p>
    <w:p>
      <w:pPr>
        <w:spacing w:after="0" w:line="215" w:lineRule="exact"/>
        <w:rPr>
          <w:rFonts w:ascii="Arial" w:cs="Arial" w:eastAsia="Arial" w:hAnsi="Arial"/>
          <w:sz w:val="19"/>
          <w:szCs w:val="19"/>
          <w:color w:val="auto"/>
        </w:rPr>
      </w:pPr>
    </w:p>
    <w:p>
      <w:pPr>
        <w:jc w:val="right"/>
        <w:ind w:left="1260" w:right="20" w:hanging="1062"/>
        <w:spacing w:after="0" w:line="288" w:lineRule="auto"/>
        <w:tabs>
          <w:tab w:leader="none" w:pos="559"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FICO</w:t>
      </w:r>
      <w:r>
        <w:rPr>
          <w:rFonts w:ascii="Arial" w:cs="Arial" w:eastAsia="Arial" w:hAnsi="Arial"/>
          <w:sz w:val="17"/>
          <w:szCs w:val="17"/>
          <w:color w:val="auto"/>
        </w:rPr>
        <w:t xml:space="preserve"> means Fair Isaac Corporation, any company related to Fair Isaac Corporation in the present or past (including without limitation, its predecessors, parents, subsidiaries, affiliates, joint venture partners, and divisions), and any successors of Fair Isaac Corporation.</w:t>
      </w:r>
    </w:p>
    <w:p>
      <w:pPr>
        <w:spacing w:after="0" w:line="149" w:lineRule="exact"/>
        <w:rPr>
          <w:rFonts w:ascii="Arial" w:cs="Arial" w:eastAsia="Arial" w:hAnsi="Arial"/>
          <w:sz w:val="17"/>
          <w:szCs w:val="17"/>
          <w:color w:val="auto"/>
        </w:rPr>
      </w:pPr>
    </w:p>
    <w:p>
      <w:pPr>
        <w:ind w:left="1260" w:right="40" w:hanging="1062"/>
        <w:spacing w:after="0" w:line="226" w:lineRule="auto"/>
        <w:tabs>
          <w:tab w:leader="none" w:pos="559"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means FICO; the present and past officers, directors, committees, shareholders, and employees of FICO; any company providing insurance to FICO in the present or past; the present and past employee benefit plans sponsored or maintained by FICO (other than multiemployer plans) and the present and past fiduciaries of such plans; the attorneys for FIC; and anyone who acted on behalf of FICO or on instructions from FICO.</w:t>
      </w:r>
    </w:p>
    <w:p>
      <w:pPr>
        <w:spacing w:after="0" w:line="190" w:lineRule="exact"/>
        <w:rPr>
          <w:rFonts w:ascii="Arial" w:cs="Arial" w:eastAsia="Arial" w:hAnsi="Arial"/>
          <w:sz w:val="19"/>
          <w:szCs w:val="19"/>
          <w:color w:val="auto"/>
        </w:rPr>
      </w:pPr>
    </w:p>
    <w:p>
      <w:pPr>
        <w:ind w:left="1260" w:right="360" w:hanging="1062"/>
        <w:spacing w:after="0" w:line="236" w:lineRule="auto"/>
        <w:tabs>
          <w:tab w:leader="none" w:pos="57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means the letter agreement between me and FICO dated August 14, 2023, including all of the documents attached to such agreement.</w:t>
      </w:r>
    </w:p>
    <w:p>
      <w:pPr>
        <w:spacing w:after="0" w:line="188" w:lineRule="exact"/>
        <w:rPr>
          <w:rFonts w:ascii="Arial" w:cs="Arial" w:eastAsia="Arial" w:hAnsi="Arial"/>
          <w:sz w:val="19"/>
          <w:szCs w:val="19"/>
          <w:color w:val="auto"/>
        </w:rPr>
      </w:pPr>
    </w:p>
    <w:p>
      <w:pPr>
        <w:ind w:left="1260" w:right="220" w:hanging="1062"/>
        <w:spacing w:after="0" w:line="246" w:lineRule="auto"/>
        <w:tabs>
          <w:tab w:leader="none" w:pos="549"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My Claims</w:t>
      </w:r>
      <w:r>
        <w:rPr>
          <w:rFonts w:ascii="Arial" w:cs="Arial" w:eastAsia="Arial" w:hAnsi="Arial"/>
          <w:sz w:val="19"/>
          <w:szCs w:val="19"/>
          <w:color w:val="auto"/>
        </w:rPr>
        <w:t xml:space="preserve"> mean all of my rights that I now have to any relief of any kind from the Company, whether I now know about such rights or not, including without limitation:</w:t>
      </w:r>
    </w:p>
    <w:p>
      <w:pPr>
        <w:spacing w:after="0" w:line="170" w:lineRule="exact"/>
        <w:rPr>
          <w:rFonts w:ascii="Arial" w:cs="Arial" w:eastAsia="Arial" w:hAnsi="Arial"/>
          <w:sz w:val="19"/>
          <w:szCs w:val="19"/>
          <w:color w:val="auto"/>
        </w:rPr>
      </w:pPr>
    </w:p>
    <w:p>
      <w:pPr>
        <w:ind w:left="720" w:hanging="329"/>
        <w:spacing w:after="0"/>
        <w:tabs>
          <w:tab w:leader="none" w:pos="72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all claims arising out of or relating to my employment with FICO or the termination of that employment;</w:t>
      </w:r>
    </w:p>
    <w:p>
      <w:pPr>
        <w:spacing w:after="0" w:line="215" w:lineRule="exact"/>
        <w:rPr>
          <w:rFonts w:ascii="Arial" w:cs="Arial" w:eastAsia="Arial" w:hAnsi="Arial"/>
          <w:sz w:val="19"/>
          <w:szCs w:val="19"/>
          <w:color w:val="auto"/>
        </w:rPr>
      </w:pPr>
    </w:p>
    <w:p>
      <w:pPr>
        <w:ind w:left="720" w:hanging="329"/>
        <w:spacing w:after="0"/>
        <w:tabs>
          <w:tab w:leader="none" w:pos="72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all claims arising out of or relating to the statements, actions, or omissions of the Company;</w:t>
      </w:r>
    </w:p>
    <w:p>
      <w:pPr>
        <w:spacing w:after="0" w:line="216" w:lineRule="exact"/>
        <w:rPr>
          <w:sz w:val="20"/>
          <w:szCs w:val="20"/>
          <w:color w:val="auto"/>
        </w:rPr>
      </w:pPr>
    </w:p>
    <w:p>
      <w:pPr>
        <w:ind w:left="1900" w:right="20" w:hanging="1702"/>
        <w:spacing w:after="0" w:line="217" w:lineRule="auto"/>
        <w:tabs>
          <w:tab w:leader="none" w:pos="53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all claims for any alleged unlawful discrimination, harassment, retaliation or reprisal, or other alleged unlawful practices arising under the laws of the United States or any other country or of any state, province, municipality, or other unit of government, including without limitation, claims under Title VII of the Civil Rights Act of 1964, the Age Discrimination in Employment Act, the Americans with Disabilities Act, the Family and Medical Leave Act, 42 U.S.C. § 1981, the Employee Retirement Income Security Act, the Equal Pay Act, the Worker Adjustment and Retraining Notification Act, the Sarbanes-Oxley Act, the Lilly Ledbetter Fair Pay Act of 2009, the Minnesota Human Rights Act, the Genetic Information Nondiscrimination Act, the Fair Credit Reporting Act, the California Fair Employment and Housing Act, the Minneapolis Civil Rights Ordinance, and workers’ compensation non-interference or non-retaliation statutes (such as Minn. Stat. § 176.82);</w:t>
      </w:r>
    </w:p>
    <w:p>
      <w:pPr>
        <w:spacing w:after="0" w:line="182" w:lineRule="exact"/>
        <w:rPr>
          <w:rFonts w:ascii="Arial" w:cs="Arial" w:eastAsia="Arial" w:hAnsi="Arial"/>
          <w:sz w:val="19"/>
          <w:szCs w:val="19"/>
          <w:color w:val="auto"/>
        </w:rPr>
      </w:pPr>
    </w:p>
    <w:p>
      <w:pPr>
        <w:ind w:left="1900" w:hanging="1702"/>
        <w:spacing w:after="0" w:line="237" w:lineRule="auto"/>
        <w:tabs>
          <w:tab w:leader="none" w:pos="5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claims for alleged wrongful discharge; breach of contract; breach of implied contract; failure to keep any promise; breach of a covenant of good faith and fair dealing; breach of fiduciary duty; estoppel; my activities, if any, as a “whistleblower”; defamation; infliction of emotional distress; fraud; misrepresentation; negligence; harassment; retaliation or reprisal; constructive discharge; assault; battery; false imprisonment; invasion of privacy; interference with contractual or business relationships; any other wrongful employment practices; and violation of any other principle of common law;</w:t>
      </w:r>
    </w:p>
    <w:p>
      <w:pPr>
        <w:sectPr>
          <w:pgSz w:w="11900" w:h="16838" w:orient="portrait"/>
          <w:cols w:equalWidth="0" w:num="1">
            <w:col w:w="11240"/>
          </w:cols>
          <w:pgMar w:left="320" w:top="1362" w:right="339" w:bottom="1440" w:gutter="0" w:footer="0" w:header="0"/>
        </w:sectPr>
      </w:pPr>
    </w:p>
    <w:bookmarkStart w:id="126" w:name="page127"/>
    <w:bookmarkEnd w:id="126"/>
    <w:p>
      <w:pPr>
        <w:ind w:left="1900" w:right="100" w:hanging="1702"/>
        <w:spacing w:after="0" w:line="246" w:lineRule="auto"/>
        <w:tabs>
          <w:tab w:leader="none" w:pos="53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claims for compensation of any kind, including without limitation, bonuses, commissions, stock-based compensation or stock options, vacation pay and paid time off, perquisites, and expense reimbursements;</w:t>
      </w:r>
    </w:p>
    <w:p>
      <w:pPr>
        <w:spacing w:after="0" w:line="170" w:lineRule="exact"/>
        <w:rPr>
          <w:rFonts w:ascii="Arial" w:cs="Arial" w:eastAsia="Arial" w:hAnsi="Arial"/>
          <w:sz w:val="19"/>
          <w:szCs w:val="19"/>
          <w:color w:val="auto"/>
        </w:rPr>
      </w:pPr>
    </w:p>
    <w:p>
      <w:pPr>
        <w:ind w:left="1900" w:right="140" w:hanging="1702"/>
        <w:spacing w:after="0" w:line="234" w:lineRule="auto"/>
        <w:tabs>
          <w:tab w:leader="none" w:pos="53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rights I have under California Civil Code section 1542, which states that: “A general release does not extend to claims which the creditor does not know or suspect to exist in his favor at the time of executing the release, which if known by him must have materially affected his settlement with the debtor;”</w:t>
      </w:r>
    </w:p>
    <w:p>
      <w:pPr>
        <w:spacing w:after="0" w:line="176" w:lineRule="exact"/>
        <w:rPr>
          <w:rFonts w:ascii="Arial" w:cs="Arial" w:eastAsia="Arial" w:hAnsi="Arial"/>
          <w:sz w:val="19"/>
          <w:szCs w:val="19"/>
          <w:color w:val="auto"/>
        </w:rPr>
      </w:pPr>
    </w:p>
    <w:p>
      <w:pPr>
        <w:ind w:left="1900" w:right="540" w:hanging="1702"/>
        <w:spacing w:after="0" w:line="246" w:lineRule="auto"/>
        <w:tabs>
          <w:tab w:leader="none" w:pos="53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claims for back pay, front pay, reinstatement, other equitable relief, compensatory damages, damages for alleged personal injury, liquidated damages, and punitive damages; and</w:t>
      </w:r>
    </w:p>
    <w:p>
      <w:pPr>
        <w:spacing w:after="0" w:line="184" w:lineRule="exact"/>
        <w:rPr>
          <w:sz w:val="20"/>
          <w:szCs w:val="20"/>
          <w:color w:val="auto"/>
        </w:rPr>
      </w:pPr>
    </w:p>
    <w:p>
      <w:pPr>
        <w:ind w:left="400"/>
        <w:spacing w:after="0"/>
        <w:tabs>
          <w:tab w:leader="none" w:pos="70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7"/>
          <w:szCs w:val="17"/>
          <w:color w:val="auto"/>
        </w:rPr>
        <w:t>all claims for attorneys' fees, costs, and interest.</w:t>
      </w:r>
    </w:p>
    <w:p>
      <w:pPr>
        <w:spacing w:after="0" w:line="203" w:lineRule="exact"/>
        <w:rPr>
          <w:sz w:val="20"/>
          <w:szCs w:val="20"/>
          <w:color w:val="auto"/>
        </w:rPr>
      </w:pPr>
    </w:p>
    <w:p>
      <w:pPr>
        <w:ind w:left="1260" w:right="20"/>
        <w:spacing w:after="0" w:line="252" w:lineRule="auto"/>
        <w:rPr>
          <w:sz w:val="20"/>
          <w:szCs w:val="20"/>
          <w:color w:val="auto"/>
        </w:rPr>
      </w:pPr>
      <w:r>
        <w:rPr>
          <w:rFonts w:ascii="Arial" w:cs="Arial" w:eastAsia="Arial" w:hAnsi="Arial"/>
          <w:sz w:val="17"/>
          <w:szCs w:val="17"/>
          <w:color w:val="auto"/>
        </w:rPr>
        <w:t xml:space="preserve">However, </w:t>
      </w:r>
      <w:r>
        <w:rPr>
          <w:rFonts w:ascii="Arial" w:cs="Arial" w:eastAsia="Arial" w:hAnsi="Arial"/>
          <w:sz w:val="17"/>
          <w:szCs w:val="17"/>
          <w:u w:val="single" w:color="auto"/>
          <w:color w:val="auto"/>
        </w:rPr>
        <w:t>My Claims</w:t>
      </w:r>
      <w:r>
        <w:rPr>
          <w:rFonts w:ascii="Arial" w:cs="Arial" w:eastAsia="Arial" w:hAnsi="Arial"/>
          <w:sz w:val="17"/>
          <w:szCs w:val="17"/>
          <w:color w:val="auto"/>
        </w:rPr>
        <w:t xml:space="preserve"> do not include any claims that the law does not allow to be waived; any claims that may arise after the date on which I sign this Release; any rights I may have to indemnification from FICO as a current or former officer, director or</w:t>
      </w:r>
    </w:p>
    <w:p>
      <w:pPr>
        <w:ind w:left="1260" w:right="20"/>
        <w:spacing w:after="0" w:line="234" w:lineRule="auto"/>
        <w:rPr>
          <w:sz w:val="20"/>
          <w:szCs w:val="20"/>
          <w:color w:val="auto"/>
        </w:rPr>
      </w:pPr>
      <w:r>
        <w:rPr>
          <w:rFonts w:ascii="Arial" w:cs="Arial" w:eastAsia="Arial" w:hAnsi="Arial"/>
          <w:sz w:val="17"/>
          <w:szCs w:val="17"/>
          <w:color w:val="auto"/>
        </w:rPr>
        <w:t>employee of FICO, including pursuant to the Indemnification Agreement (as defined in the Agreement); any claims for payments, entitlements or benefits due me under the Agreement or the Management Agreement (as defined in the Agreement), if</w:t>
      </w:r>
    </w:p>
    <w:p>
      <w:pPr>
        <w:ind w:left="1260"/>
        <w:spacing w:after="0"/>
        <w:rPr>
          <w:sz w:val="20"/>
          <w:szCs w:val="20"/>
          <w:color w:val="auto"/>
        </w:rPr>
      </w:pPr>
      <w:r>
        <w:rPr>
          <w:rFonts w:ascii="Arial" w:cs="Arial" w:eastAsia="Arial" w:hAnsi="Arial"/>
          <w:sz w:val="17"/>
          <w:szCs w:val="17"/>
          <w:color w:val="auto"/>
        </w:rPr>
        <w:t>applicable, subject to any terms or conditions under the Agreement or the Management Agreement, if applicable; or any claims I</w:t>
      </w:r>
    </w:p>
    <w:p>
      <w:pPr>
        <w:spacing w:after="0" w:line="2" w:lineRule="exact"/>
        <w:rPr>
          <w:sz w:val="20"/>
          <w:szCs w:val="20"/>
          <w:color w:val="auto"/>
        </w:rPr>
      </w:pPr>
    </w:p>
    <w:p>
      <w:pPr>
        <w:ind w:left="1260" w:right="200"/>
        <w:spacing w:after="0" w:line="234" w:lineRule="auto"/>
        <w:rPr>
          <w:sz w:val="20"/>
          <w:szCs w:val="20"/>
          <w:color w:val="auto"/>
        </w:rPr>
      </w:pPr>
      <w:r>
        <w:rPr>
          <w:rFonts w:ascii="Arial" w:cs="Arial" w:eastAsia="Arial" w:hAnsi="Arial"/>
          <w:sz w:val="17"/>
          <w:szCs w:val="17"/>
          <w:color w:val="auto"/>
        </w:rPr>
        <w:t>may have for earned and accrued benefits under any employee benefit plan sponsored by the Company in which I am a participant as of the date of termination of my employment with FICO or pursuant to any long-term incentive or equity plan or</w:t>
      </w:r>
    </w:p>
    <w:p>
      <w:pPr>
        <w:ind w:left="1260"/>
        <w:spacing w:after="0"/>
        <w:rPr>
          <w:sz w:val="20"/>
          <w:szCs w:val="20"/>
          <w:color w:val="auto"/>
        </w:rPr>
      </w:pPr>
      <w:r>
        <w:rPr>
          <w:rFonts w:ascii="Arial" w:cs="Arial" w:eastAsia="Arial" w:hAnsi="Arial"/>
          <w:sz w:val="19"/>
          <w:szCs w:val="19"/>
          <w:color w:val="auto"/>
        </w:rPr>
        <w:t>award agreement</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u w:val="single" w:color="auto"/>
          <w:color w:val="auto"/>
        </w:rPr>
        <w:t>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I am entering into this Release in consideration of FICO’s obligations to provide me certain severance benefits as specified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 will receive consideration from FICO as set forth in the Agreement if I sign and do not rescind this Release as provided below. I</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understand and acknowledge that I would not be entitled to the consideration under the Agreement if I did not sign this Release. The consideration is in addition to anything of value that I would be entitled to receive from FICO if I did not sign this Release or if I rescinded this</w:t>
      </w:r>
    </w:p>
    <w:p>
      <w:pPr>
        <w:ind w:right="200"/>
        <w:spacing w:after="0" w:line="234" w:lineRule="auto"/>
        <w:rPr>
          <w:sz w:val="20"/>
          <w:szCs w:val="20"/>
          <w:color w:val="auto"/>
        </w:rPr>
      </w:pPr>
      <w:r>
        <w:rPr>
          <w:rFonts w:ascii="Arial" w:cs="Arial" w:eastAsia="Arial" w:hAnsi="Arial"/>
          <w:sz w:val="19"/>
          <w:szCs w:val="19"/>
          <w:color w:val="auto"/>
        </w:rPr>
        <w:t>Release. I acknowledge and represent that I have received all payments and benefits that I am entitled to receive (as of the date of this Release) by virtue of any employment by the Company.</w:t>
      </w:r>
    </w:p>
    <w:p>
      <w:pPr>
        <w:spacing w:after="0" w:line="170" w:lineRule="exact"/>
        <w:rPr>
          <w:sz w:val="20"/>
          <w:szCs w:val="20"/>
          <w:color w:val="auto"/>
        </w:rPr>
      </w:pPr>
    </w:p>
    <w:p>
      <w:pPr>
        <w:ind w:right="80"/>
        <w:spacing w:after="0" w:line="236" w:lineRule="auto"/>
        <w:rPr>
          <w:sz w:val="20"/>
          <w:szCs w:val="20"/>
          <w:color w:val="auto"/>
        </w:rPr>
      </w:pPr>
      <w:r>
        <w:rPr>
          <w:rFonts w:ascii="Arial" w:cs="Arial" w:eastAsia="Arial" w:hAnsi="Arial"/>
          <w:sz w:val="19"/>
          <w:szCs w:val="19"/>
          <w:b w:val="1"/>
          <w:bCs w:val="1"/>
          <w:u w:val="single" w:color="auto"/>
          <w:color w:val="auto"/>
        </w:rPr>
        <w:t>Agreement to Release My Claims</w:t>
      </w:r>
      <w:r>
        <w:rPr>
          <w:rFonts w:ascii="Arial" w:cs="Arial" w:eastAsia="Arial" w:hAnsi="Arial"/>
          <w:sz w:val="19"/>
          <w:szCs w:val="19"/>
          <w:b w:val="1"/>
          <w:bCs w:val="1"/>
          <w:color w:val="auto"/>
        </w:rPr>
        <w:t>. In exchange for the consideration described in the Agreement, I give up and release all of My Claims. I will not make any demands or claims against the Company for compensation or damages relating to My Claims. The consideration that I am receiving is a fair compromise for the release of My Claims.</w:t>
      </w:r>
    </w:p>
    <w:p>
      <w:pPr>
        <w:spacing w:after="0" w:line="171"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b w:val="1"/>
          <w:bCs w:val="1"/>
          <w:u w:val="single" w:color="auto"/>
          <w:color w:val="auto"/>
        </w:rPr>
        <w:t>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reasonable request of the Company, I agree that I will (i) timely execute and deliver such acknowledgements,</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certificates, and other ministerial documents (including without limitation, certification as to specific actions performed by me in</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my capacity as an officer of the Company) as may be necessary or appropriate to formalize and complete the applicable corporate records; (ii) reasonably consult with the Company regarding business matters that I was involved with while employed by the Company; and (iii) be</w:t>
      </w:r>
    </w:p>
    <w:p>
      <w:pPr>
        <w:spacing w:after="0" w:line="229" w:lineRule="auto"/>
        <w:rPr>
          <w:sz w:val="20"/>
          <w:szCs w:val="20"/>
          <w:color w:val="auto"/>
        </w:rPr>
      </w:pPr>
      <w:r>
        <w:rPr>
          <w:rFonts w:ascii="Arial" w:cs="Arial" w:eastAsia="Arial" w:hAnsi="Arial"/>
          <w:sz w:val="18"/>
          <w:szCs w:val="18"/>
          <w:color w:val="auto"/>
        </w:rPr>
        <w:t>reasonably available, with or without subpoena, to be interviewed, review documents or things, give depositions, testify, or engage in other</w:t>
      </w:r>
    </w:p>
    <w:p>
      <w:pPr>
        <w:ind w:right="120"/>
        <w:spacing w:after="0" w:line="234" w:lineRule="auto"/>
        <w:rPr>
          <w:sz w:val="20"/>
          <w:szCs w:val="20"/>
          <w:color w:val="auto"/>
        </w:rPr>
      </w:pPr>
      <w:r>
        <w:rPr>
          <w:rFonts w:ascii="Arial" w:cs="Arial" w:eastAsia="Arial" w:hAnsi="Arial"/>
          <w:sz w:val="17"/>
          <w:szCs w:val="17"/>
          <w:color w:val="auto"/>
        </w:rPr>
        <w:t>reasonable activities in connection with any litigation or investigation, with respect to matters that I may have knowledge of by virtue of my employment by or service to the Company. In performing my obligations under this paragraph to testify or otherwise provide information, I will</w:t>
      </w:r>
    </w:p>
    <w:p>
      <w:pPr>
        <w:ind w:right="780"/>
        <w:spacing w:after="0" w:line="234" w:lineRule="auto"/>
        <w:rPr>
          <w:sz w:val="20"/>
          <w:szCs w:val="20"/>
          <w:color w:val="auto"/>
        </w:rPr>
      </w:pPr>
      <w:r>
        <w:rPr>
          <w:rFonts w:ascii="Arial" w:cs="Arial" w:eastAsia="Arial" w:hAnsi="Arial"/>
          <w:sz w:val="19"/>
          <w:szCs w:val="19"/>
          <w:color w:val="auto"/>
        </w:rPr>
        <w:t>honestly, truthfully, forthrightly, and completely provide the information requested, volunteer pertinent information and turn over to the Company all relevant documents which are or may come into my possession.</w:t>
      </w:r>
    </w:p>
    <w:p>
      <w:pPr>
        <w:spacing w:after="0" w:line="170" w:lineRule="exact"/>
        <w:rPr>
          <w:sz w:val="20"/>
          <w:szCs w:val="20"/>
          <w:color w:val="auto"/>
        </w:rPr>
      </w:pPr>
    </w:p>
    <w:p>
      <w:pPr>
        <w:ind w:right="460"/>
        <w:spacing w:after="0" w:line="255" w:lineRule="auto"/>
        <w:rPr>
          <w:sz w:val="20"/>
          <w:szCs w:val="20"/>
          <w:color w:val="auto"/>
        </w:rPr>
      </w:pPr>
      <w:r>
        <w:rPr>
          <w:rFonts w:ascii="Arial" w:cs="Arial" w:eastAsia="Arial" w:hAnsi="Arial"/>
          <w:sz w:val="17"/>
          <w:szCs w:val="17"/>
          <w:b w:val="1"/>
          <w:bCs w:val="1"/>
          <w:u w:val="single" w:color="auto"/>
          <w:color w:val="auto"/>
        </w:rPr>
        <w:t>My Continuing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and acknowledge that I must comply with all of my post-employment obligations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Proprietary Information and Inventions Agreement, and the Post-Employment Restrictions Agreement. I will not defame or</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9"/>
          <w:szCs w:val="19"/>
          <w:color w:val="auto"/>
        </w:rPr>
        <w:t>disparage the reputation, character, image, products, or services of FICO, or the reputation or character of FICO’s directors, officers, employees and agents, and I will refrain from making public comment about the Company</w:t>
      </w:r>
    </w:p>
    <w:p>
      <w:pPr>
        <w:sectPr>
          <w:pgSz w:w="11900" w:h="16838" w:orient="portrait"/>
          <w:cols w:equalWidth="0" w:num="1">
            <w:col w:w="11240"/>
          </w:cols>
          <w:pgMar w:left="320" w:top="1373" w:right="339" w:bottom="1440" w:gutter="0" w:footer="0" w:header="0"/>
        </w:sectPr>
      </w:pPr>
    </w:p>
    <w:bookmarkStart w:id="127" w:name="page128"/>
    <w:bookmarkEnd w:id="127"/>
    <w:p>
      <w:pPr>
        <w:spacing w:after="0"/>
        <w:rPr>
          <w:sz w:val="20"/>
          <w:szCs w:val="20"/>
          <w:color w:val="auto"/>
        </w:rPr>
      </w:pPr>
      <w:r>
        <w:rPr>
          <w:rFonts w:ascii="Arial" w:cs="Arial" w:eastAsia="Arial" w:hAnsi="Arial"/>
          <w:sz w:val="19"/>
          <w:szCs w:val="19"/>
          <w:color w:val="auto"/>
        </w:rPr>
        <w:t>except upon the express written consent of an officer of FICO or if required by law or by any court with actual or apparent jurisdiction.</w:t>
      </w:r>
    </w:p>
    <w:p>
      <w:pPr>
        <w:spacing w:after="0" w:line="21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b w:val="1"/>
          <w:bCs w:val="1"/>
          <w:u w:val="single" w:color="auto"/>
          <w:color w:val="auto"/>
        </w:rPr>
        <w:t>Additional Agreements and Understandings</w:t>
      </w:r>
      <w:r>
        <w:rPr>
          <w:rFonts w:ascii="Arial" w:cs="Arial" w:eastAsia="Arial" w:hAnsi="Arial"/>
          <w:sz w:val="17"/>
          <w:szCs w:val="17"/>
          <w:b w:val="1"/>
          <w:bCs w:val="1"/>
          <w:color w:val="auto"/>
        </w:rPr>
        <w:t xml:space="preserve">. </w:t>
      </w:r>
      <w:r>
        <w:rPr>
          <w:rFonts w:ascii="Arial" w:cs="Arial" w:eastAsia="Arial" w:hAnsi="Arial"/>
          <w:sz w:val="17"/>
          <w:szCs w:val="17"/>
          <w:color w:val="auto"/>
        </w:rPr>
        <w:t>Even though FICO will provide consideration for me to settle and release My Claims,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does not admit that it is responsible or legally obligated to me. In fact, the Company denies that it is responsible or legally obligated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 for My Claims, denies that it engaged in any unlawful or improper conduct toward me, and denies that it treated me unfairly.</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b w:val="1"/>
          <w:bCs w:val="1"/>
          <w:u w:val="single" w:color="auto"/>
          <w:color w:val="auto"/>
        </w:rPr>
        <w:t>Advice to Consult with an Attorney</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and acknowledge that I am hereby being advised by the Company to consult with an attorney</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signing this Release and I have done so (or waived my right to do so). My decision whether to sign this Release is my own voluntary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decision made with full knowledge that the Company has advised me to consult with an attorney.</w:t>
      </w:r>
    </w:p>
    <w:p>
      <w:pPr>
        <w:spacing w:after="0" w:line="194"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b w:val="1"/>
          <w:bCs w:val="1"/>
          <w:u w:val="single" w:color="auto"/>
          <w:color w:val="auto"/>
        </w:rPr>
        <w:t>Period to Consider the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I have at least 21 days from the date I received this Release (or at least 21 days after the last</w:t>
      </w:r>
      <w:r>
        <w:rPr>
          <w:rFonts w:ascii="Arial" w:cs="Arial" w:eastAsia="Arial" w:hAnsi="Arial"/>
          <w:sz w:val="17"/>
          <w:szCs w:val="17"/>
          <w:b w:val="1"/>
          <w:bCs w:val="1"/>
          <w:color w:val="auto"/>
        </w:rPr>
        <w:t xml:space="preserve"> </w:t>
      </w:r>
      <w:r>
        <w:rPr>
          <w:rFonts w:ascii="Arial" w:cs="Arial" w:eastAsia="Arial" w:hAnsi="Arial"/>
          <w:sz w:val="17"/>
          <w:szCs w:val="17"/>
          <w:color w:val="auto"/>
        </w:rPr>
        <w:t>day of my employment with FICO, if later) to consider whether I wish to sign this Release. If I sign this Release before the end of the 21-day</w:t>
      </w:r>
    </w:p>
    <w:p>
      <w:pPr>
        <w:spacing w:after="0" w:line="230" w:lineRule="auto"/>
        <w:rPr>
          <w:sz w:val="20"/>
          <w:szCs w:val="20"/>
          <w:color w:val="auto"/>
        </w:rPr>
      </w:pPr>
      <w:r>
        <w:rPr>
          <w:rFonts w:ascii="Arial" w:cs="Arial" w:eastAsia="Arial" w:hAnsi="Arial"/>
          <w:sz w:val="18"/>
          <w:szCs w:val="18"/>
          <w:color w:val="auto"/>
        </w:rPr>
        <w:t>period, it will be my voluntary decision to do so because I have decided that I do not need any additional time to decide whether to sign this</w:t>
      </w:r>
    </w:p>
    <w:p>
      <w:pPr>
        <w:ind w:right="20"/>
        <w:spacing w:after="0" w:line="227" w:lineRule="auto"/>
        <w:rPr>
          <w:sz w:val="20"/>
          <w:szCs w:val="20"/>
          <w:color w:val="auto"/>
        </w:rPr>
      </w:pPr>
      <w:r>
        <w:rPr>
          <w:rFonts w:ascii="Arial" w:cs="Arial" w:eastAsia="Arial" w:hAnsi="Arial"/>
          <w:sz w:val="19"/>
          <w:szCs w:val="19"/>
          <w:color w:val="auto"/>
        </w:rPr>
        <w:t>Release. I understand and agree that if I sign this Release prior to my last day of employment with FICO it will not be valid and FICO will not be obligated to provide the consideration described in the Release.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My Right to Rescind this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I may rescind this Release at any time within 15 days after I sign it, not counting the day</w:t>
      </w:r>
    </w:p>
    <w:p>
      <w:pPr>
        <w:spacing w:after="0" w:line="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upon which I sign it. This Release will not become effective or enforceable unless and until the 15-day rescission period has expired without my rescinding it. I understand that if I rescind this Release FICO will not be obligated to provide the consideration described in the Release.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Procedure for Accepting or Rescinding the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To accept the terms of this Release, I must deliver the Release, after I have signed and</w:t>
      </w:r>
    </w:p>
    <w:p>
      <w:pPr>
        <w:spacing w:after="0" w:line="24"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dated it, to FICO by hand or by mail within 45 days after my separation from service date. To rescind my acceptance, I must deliver a written, signed statement that I rescind my acceptance to FICO by hand or by mail within the 15-day rescission period. All deliveries must be made to</w:t>
      </w:r>
    </w:p>
    <w:p>
      <w:pPr>
        <w:spacing w:after="0"/>
        <w:rPr>
          <w:sz w:val="20"/>
          <w:szCs w:val="20"/>
          <w:color w:val="auto"/>
        </w:rPr>
      </w:pPr>
      <w:r>
        <w:rPr>
          <w:rFonts w:ascii="Arial" w:cs="Arial" w:eastAsia="Arial" w:hAnsi="Arial"/>
          <w:sz w:val="19"/>
          <w:szCs w:val="19"/>
          <w:color w:val="auto"/>
        </w:rPr>
        <w:t>FICO at the following address:</w:t>
      </w: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Executive Vice President-Chief HR Officer</w:t>
      </w:r>
    </w:p>
    <w:p>
      <w:pPr>
        <w:ind w:left="2540"/>
        <w:spacing w:after="0" w:line="216" w:lineRule="auto"/>
        <w:rPr>
          <w:sz w:val="20"/>
          <w:szCs w:val="20"/>
          <w:color w:val="auto"/>
        </w:rPr>
      </w:pPr>
      <w:r>
        <w:rPr>
          <w:rFonts w:ascii="Arial" w:cs="Arial" w:eastAsia="Arial" w:hAnsi="Arial"/>
          <w:sz w:val="19"/>
          <w:szCs w:val="19"/>
          <w:color w:val="auto"/>
        </w:rPr>
        <w:t>Fair Isaac Corporation</w:t>
      </w:r>
    </w:p>
    <w:p>
      <w:pPr>
        <w:ind w:left="2540"/>
        <w:spacing w:after="0" w:line="203" w:lineRule="auto"/>
        <w:rPr>
          <w:sz w:val="20"/>
          <w:szCs w:val="20"/>
          <w:color w:val="auto"/>
        </w:rPr>
      </w:pPr>
      <w:r>
        <w:rPr>
          <w:rFonts w:ascii="Arial" w:cs="Arial" w:eastAsia="Arial" w:hAnsi="Arial"/>
          <w:sz w:val="19"/>
          <w:szCs w:val="19"/>
          <w:color w:val="auto"/>
        </w:rPr>
        <w:t>181 Metro Drive, Suite 700</w:t>
      </w:r>
    </w:p>
    <w:p>
      <w:pPr>
        <w:ind w:left="2540"/>
        <w:spacing w:after="0"/>
        <w:rPr>
          <w:sz w:val="20"/>
          <w:szCs w:val="20"/>
          <w:color w:val="auto"/>
        </w:rPr>
      </w:pPr>
      <w:r>
        <w:rPr>
          <w:rFonts w:ascii="Arial" w:cs="Arial" w:eastAsia="Arial" w:hAnsi="Arial"/>
          <w:sz w:val="19"/>
          <w:szCs w:val="19"/>
          <w:color w:val="auto"/>
        </w:rPr>
        <w:t>San Jose, California, 95110</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If I choose to deliver my acceptance or the rescission by mail, it must be postmarked within the period stated above and properly addressed to FICO at the address stated above.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u w:val="single" w:color="auto"/>
          <w:color w:val="auto"/>
        </w:rPr>
        <w:t>Interpretation of the Release</w:t>
      </w:r>
      <w:r>
        <w:rPr>
          <w:rFonts w:ascii="Arial" w:cs="Arial" w:eastAsia="Arial" w:hAnsi="Arial"/>
          <w:sz w:val="17"/>
          <w:szCs w:val="17"/>
          <w:b w:val="1"/>
          <w:bCs w:val="1"/>
          <w:color w:val="auto"/>
        </w:rPr>
        <w:t xml:space="preserve">. </w:t>
      </w:r>
      <w:r>
        <w:rPr>
          <w:rFonts w:ascii="Arial" w:cs="Arial" w:eastAsia="Arial" w:hAnsi="Arial"/>
          <w:sz w:val="17"/>
          <w:szCs w:val="17"/>
          <w:color w:val="auto"/>
        </w:rPr>
        <w:t>This Release should be interpreted as broadly as possible to achieve my intention to resolve all of My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the Company. If this Release is held by a court to be inadequate to release a particular claim encompassed within My Claims, this Release</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will remain in full force and effect with respect to all the rest of My Claims. I agree that the provisions of this Release may not be amended, waived, changed or modified except by an instrument in writing signed by an authorized representative of FICO and by 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My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I am legally able and entitled to receive the consideration being provided to me in settlement of My Claims. I have not</w:t>
      </w:r>
    </w:p>
    <w:p>
      <w:pPr>
        <w:spacing w:after="0" w:line="12"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been involved in any personal bankruptcy or other insolvency proceedings at any time since I began my employment with FICO. No child support orders, garnishment orders, or other orders requiring that money owed to me by FICO be paid to any other person are now in effect.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 have read this Release carefully. I understand all of its terms. In signing this Release, I have not relied on any statements or explanations made</w:t>
      </w:r>
    </w:p>
    <w:p>
      <w:pPr>
        <w:spacing w:after="0" w:line="18" w:lineRule="exact"/>
        <w:rPr>
          <w:sz w:val="20"/>
          <w:szCs w:val="20"/>
          <w:color w:val="auto"/>
        </w:rPr>
      </w:pPr>
    </w:p>
    <w:p>
      <w:pPr>
        <w:ind w:right="520"/>
        <w:spacing w:after="0" w:line="227" w:lineRule="auto"/>
        <w:rPr>
          <w:sz w:val="20"/>
          <w:szCs w:val="20"/>
          <w:color w:val="auto"/>
        </w:rPr>
      </w:pPr>
      <w:r>
        <w:rPr>
          <w:rFonts w:ascii="Arial" w:cs="Arial" w:eastAsia="Arial" w:hAnsi="Arial"/>
          <w:sz w:val="19"/>
          <w:szCs w:val="19"/>
          <w:color w:val="auto"/>
        </w:rPr>
        <w:t>by the Company except as specifically set forth in the Agreement. I am voluntarily releasing My Claims against the Company. I intend this Release and the Agreement to be legally binding.</w:t>
      </w:r>
    </w:p>
    <w:p>
      <w:pPr>
        <w:sectPr>
          <w:pgSz w:w="11900" w:h="16838" w:orient="portrait"/>
          <w:cols w:equalWidth="0" w:num="1">
            <w:col w:w="11240"/>
          </w:cols>
          <w:pgMar w:left="320" w:top="1373"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-6985</wp:posOffset>
            </wp:positionV>
            <wp:extent cx="14693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jc w:val="right"/>
        <w:ind w:right="8079"/>
        <w:spacing w:after="0"/>
        <w:rPr>
          <w:sz w:val="20"/>
          <w:szCs w:val="20"/>
          <w:color w:val="auto"/>
        </w:rPr>
      </w:pPr>
      <w:r>
        <w:rPr>
          <w:rFonts w:ascii="Arial" w:cs="Arial" w:eastAsia="Arial" w:hAnsi="Arial"/>
          <w:sz w:val="19"/>
          <w:szCs w:val="19"/>
          <w:color w:val="auto"/>
        </w:rPr>
        <w:t>Nikhil Behl</w:t>
      </w:r>
    </w:p>
    <w:p>
      <w:pPr>
        <w:sectPr>
          <w:pgSz w:w="11900" w:h="16838" w:orient="portrait"/>
          <w:cols w:equalWidth="0" w:num="1">
            <w:col w:w="10139"/>
          </w:cols>
          <w:pgMar w:left="320" w:top="1440" w:right="1440" w:bottom="1440" w:gutter="0" w:footer="0" w:header="0"/>
        </w:sectPr>
      </w:pPr>
    </w:p>
    <w:bookmarkStart w:id="129" w:name="page130"/>
    <w:bookmarkEnd w:id="129"/>
    <w:p>
      <w:pPr>
        <w:ind w:left="10380"/>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FAIR ISAAC CORPORATION</w:t>
      </w:r>
    </w:p>
    <w:p>
      <w:pPr>
        <w:spacing w:after="0" w:line="45" w:lineRule="exact"/>
        <w:rPr>
          <w:sz w:val="20"/>
          <w:szCs w:val="20"/>
          <w:color w:val="auto"/>
        </w:rPr>
      </w:pPr>
    </w:p>
    <w:p>
      <w:pPr>
        <w:ind w:left="4540"/>
        <w:spacing w:after="0"/>
        <w:rPr>
          <w:sz w:val="20"/>
          <w:szCs w:val="20"/>
          <w:color w:val="auto"/>
        </w:rPr>
      </w:pPr>
      <w:r>
        <w:rPr>
          <w:rFonts w:ascii="Arial" w:cs="Arial" w:eastAsia="Arial" w:hAnsi="Arial"/>
          <w:sz w:val="19"/>
          <w:szCs w:val="19"/>
          <w:b w:val="1"/>
          <w:bCs w:val="1"/>
          <w:u w:val="single" w:color="auto"/>
          <w:color w:val="auto"/>
        </w:rPr>
        <w:t>LIST OF SUBSIDIARIES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360" w:type="dxa"/>
            <w:vAlign w:val="bottom"/>
            <w:tcBorders>
              <w:top w:val="single" w:sz="8" w:color="auto"/>
              <w:left w:val="single" w:sz="8" w:color="auto"/>
            </w:tcBorders>
          </w:tcPr>
          <w:p>
            <w:pPr>
              <w:spacing w:after="0"/>
              <w:rPr>
                <w:sz w:val="17"/>
                <w:szCs w:val="17"/>
                <w:color w:val="auto"/>
              </w:rPr>
            </w:pPr>
          </w:p>
        </w:tc>
        <w:tc>
          <w:tcPr>
            <w:tcW w:w="4780" w:type="dxa"/>
            <w:vAlign w:val="bottom"/>
            <w:tcBorders>
              <w:top w:val="single" w:sz="8" w:color="auto"/>
              <w:right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rPr>
              <w:t>Name of Company</w:t>
            </w:r>
          </w:p>
        </w:tc>
        <w:tc>
          <w:tcPr>
            <w:tcW w:w="500" w:type="dxa"/>
            <w:vAlign w:val="bottom"/>
            <w:tcBorders>
              <w:top w:val="single" w:sz="8" w:color="auto"/>
            </w:tcBorders>
          </w:tcPr>
          <w:p>
            <w:pPr>
              <w:spacing w:after="0"/>
              <w:rPr>
                <w:sz w:val="17"/>
                <w:szCs w:val="17"/>
                <w:color w:val="auto"/>
              </w:rPr>
            </w:pPr>
          </w:p>
        </w:tc>
        <w:tc>
          <w:tcPr>
            <w:tcW w:w="2620" w:type="dxa"/>
            <w:vAlign w:val="bottom"/>
            <w:tcBorders>
              <w:top w:val="single" w:sz="8" w:color="auto"/>
              <w:right w:val="single" w:sz="8" w:color="auto"/>
            </w:tcBorders>
            <w:gridSpan w:val="2"/>
          </w:tcPr>
          <w:p>
            <w:pPr>
              <w:jc w:val="center"/>
              <w:ind w:right="520"/>
              <w:spacing w:after="0" w:line="197" w:lineRule="exact"/>
              <w:rPr>
                <w:sz w:val="20"/>
                <w:szCs w:val="20"/>
                <w:color w:val="auto"/>
              </w:rPr>
            </w:pPr>
            <w:r>
              <w:rPr>
                <w:rFonts w:ascii="Arial" w:cs="Arial" w:eastAsia="Arial" w:hAnsi="Arial"/>
                <w:sz w:val="18"/>
                <w:szCs w:val="18"/>
                <w:b w:val="1"/>
                <w:bCs w:val="1"/>
                <w:color w:val="auto"/>
                <w:w w:val="88"/>
              </w:rPr>
              <w:t>Jurisdiction of</w:t>
            </w:r>
          </w:p>
        </w:tc>
      </w:tr>
      <w:tr>
        <w:trPr>
          <w:trHeight w:val="177"/>
        </w:trPr>
        <w:tc>
          <w:tcPr>
            <w:tcW w:w="3360" w:type="dxa"/>
            <w:vAlign w:val="bottom"/>
            <w:tcBorders>
              <w:left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3120" w:type="dxa"/>
            <w:vAlign w:val="bottom"/>
            <w:tcBorders>
              <w:right w:val="single" w:sz="8" w:color="auto"/>
            </w:tcBorders>
            <w:gridSpan w:val="3"/>
          </w:tcPr>
          <w:p>
            <w:pPr>
              <w:jc w:val="center"/>
              <w:ind w:right="20"/>
              <w:spacing w:after="0" w:line="177" w:lineRule="exact"/>
              <w:rPr>
                <w:sz w:val="20"/>
                <w:szCs w:val="20"/>
                <w:color w:val="auto"/>
              </w:rPr>
            </w:pPr>
            <w:r>
              <w:rPr>
                <w:rFonts w:ascii="Arial" w:cs="Arial" w:eastAsia="Arial" w:hAnsi="Arial"/>
                <w:sz w:val="18"/>
                <w:szCs w:val="18"/>
                <w:b w:val="1"/>
                <w:bCs w:val="1"/>
                <w:color w:val="auto"/>
                <w:w w:val="90"/>
              </w:rPr>
              <w:t>Incorporation/Organization</w:t>
            </w:r>
          </w:p>
        </w:tc>
      </w:tr>
      <w:tr>
        <w:trPr>
          <w:trHeight w:val="46"/>
        </w:trPr>
        <w:tc>
          <w:tcPr>
            <w:tcW w:w="3360" w:type="dxa"/>
            <w:vAlign w:val="bottom"/>
            <w:tcBorders>
              <w:left w:val="single" w:sz="8" w:color="auto"/>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Data Research Technologies,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Minnesota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Entiera,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eZmCom,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(ASPAC) Pte.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Singapore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(Australia) Pty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4"/>
              </w:rPr>
              <w:t>Australia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(Singapore) Pte.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Singapore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(Thailand) Co.,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Thailand</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Asia Holdings,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Minnesota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Asia Pacific Corp.</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Brazil, LLC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Canada,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Canada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Chile Software and Services Ltda.</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Chile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Credit Services,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Deutschland GmbH</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Germany</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do Brasil Ltda.</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3"/>
              </w:rPr>
              <w:t>Brazil</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España SL</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2"/>
              </w:rPr>
              <w:t>Spain</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Europe Limited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England and Wales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Holdings,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Hong Kong Limited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1"/>
              </w:rPr>
              <w:t>Hong Kong</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India Software Private Limited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2"/>
              </w:rPr>
              <w:t>India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Information Technology (Beijing) Co.,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People’s Republic of China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International Corporation</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California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Italy S.r.l.</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rPr>
              <w:t>Italy</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Japan G.K.</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77"/>
              </w:rPr>
              <w:t>Japan</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Lithuania, UAB</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0"/>
              </w:rPr>
              <w:t>Lithuania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Malaysia Sdn. Bhd.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Malaysia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Mexico S.A. de C.V.</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4"/>
              </w:rPr>
              <w:t>Mexico</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Network,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Nordics AB</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2"/>
              </w:rPr>
              <w:t>Sweden</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Polska sp. z o.o. cią w likwidacji</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Poland</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Services Limited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England and Wales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Software Holdings Limited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England and Wales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South Africa (Pty)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1"/>
              </w:rPr>
              <w:t>South Africa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Turkey Software and Consultancy Services Limited Sirketi</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0"/>
              </w:rPr>
              <w:t>Turkey</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UK Group Limited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England and Wales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UK Holdings,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UK International Holdings Ltd.</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England and Wales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Fair Isaac UK Investment Holdings LP</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5"/>
              </w:rPr>
              <w:t>England and Wales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FICO Middle East FZ-LLC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0"/>
              </w:rPr>
              <w:t>United Arab Emirates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HNC Software LLC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Infoglide Software Corporation</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r>
        <w:trPr>
          <w:trHeight w:val="216"/>
        </w:trPr>
        <w:tc>
          <w:tcPr>
            <w:tcW w:w="81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myFICO Consumer Services Inc.</w:t>
            </w:r>
          </w:p>
        </w:tc>
        <w:tc>
          <w:tcPr>
            <w:tcW w:w="500" w:type="dxa"/>
            <w:vAlign w:val="bottom"/>
          </w:tcPr>
          <w:p>
            <w:pPr>
              <w:spacing w:after="0"/>
              <w:rPr>
                <w:sz w:val="18"/>
                <w:szCs w:val="18"/>
                <w:color w:val="auto"/>
              </w:rPr>
            </w:pPr>
          </w:p>
        </w:tc>
        <w:tc>
          <w:tcPr>
            <w:tcW w:w="26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6"/>
              </w:rPr>
              <w:t>Delaware</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27" w:right="319" w:bottom="1440" w:gutter="0" w:footer="0" w:header="0"/>
        </w:sectPr>
      </w:pPr>
    </w:p>
    <w:p>
      <w:pPr>
        <w:spacing w:after="0" w:line="343" w:lineRule="exact"/>
        <w:rPr>
          <w:sz w:val="20"/>
          <w:szCs w:val="20"/>
          <w:color w:val="auto"/>
        </w:rPr>
      </w:pPr>
    </w:p>
    <w:p>
      <w:pPr>
        <w:ind w:left="10240"/>
        <w:spacing w:after="0"/>
        <w:rPr>
          <w:sz w:val="20"/>
          <w:szCs w:val="20"/>
          <w:color w:val="auto"/>
        </w:rPr>
      </w:pPr>
      <w:r>
        <w:rPr>
          <w:rFonts w:ascii="Arial" w:cs="Arial" w:eastAsia="Arial" w:hAnsi="Arial"/>
          <w:sz w:val="13"/>
          <w:szCs w:val="13"/>
          <w:color w:val="auto"/>
        </w:rPr>
        <w:t>As of 09/30/2023</w:t>
      </w:r>
    </w:p>
    <w:p>
      <w:pPr>
        <w:sectPr>
          <w:pgSz w:w="11900" w:h="16838" w:orient="portrait"/>
          <w:cols w:equalWidth="0" w:num="1">
            <w:col w:w="11260"/>
          </w:cols>
          <w:pgMar w:left="320" w:top="127" w:right="31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 Nos</w:t>
      </w:r>
      <w:r>
        <w:rPr>
          <w:rFonts w:ascii="Arial" w:cs="Arial" w:eastAsia="Arial" w:hAnsi="Arial"/>
          <w:sz w:val="18"/>
          <w:szCs w:val="18"/>
          <w:b w:val="1"/>
          <w:bCs w:val="1"/>
          <w:color w:val="auto"/>
        </w:rPr>
        <w:t>.</w:t>
      </w:r>
      <w:r>
        <w:rPr>
          <w:rFonts w:ascii="Arial" w:cs="Arial" w:eastAsia="Arial" w:hAnsi="Arial"/>
          <w:sz w:val="18"/>
          <w:szCs w:val="18"/>
          <w:color w:val="auto"/>
        </w:rPr>
        <w:t xml:space="preserve"> 333-253828, 333-236948, 333-230061, 333-230059, 333-223492, 333-216171, 333-209761, 333-194231, 333-114364, 333-133268, 333-179417, 333-123751, 333-123750, 333-114365, 333-66348, 333-32398, 333-95889, 333-83905, 333-65179, 333-02121 and 333-102848 on Form S-8 of our reports dated November 8, 2023, relating to the financial statements of Fair Isaac Corporation and the effectiveness of Fair Isaac Corporation’s internal control over financial reporting appearing in this Annual Report on Form 10-K for the year ended September 30, 2023.</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San Diego, CA</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8, 2023</w:t>
      </w:r>
    </w:p>
    <w:p>
      <w:pPr>
        <w:sectPr>
          <w:pgSz w:w="11900" w:h="16838" w:orient="portrait"/>
          <w:cols w:equalWidth="0" w:num="1">
            <w:col w:w="11240"/>
          </w:cols>
          <w:pgMar w:left="320" w:top="87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31.1</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61" w:lineRule="exact"/>
        <w:rPr>
          <w:sz w:val="20"/>
          <w:szCs w:val="20"/>
          <w:color w:val="auto"/>
        </w:rPr>
      </w:pPr>
    </w:p>
    <w:p>
      <w:pPr>
        <w:ind w:left="640" w:hanging="635"/>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Fair Isaac Corporation;</w:t>
      </w:r>
    </w:p>
    <w:p>
      <w:pPr>
        <w:spacing w:after="0" w:line="161"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5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left="1260" w:hanging="623"/>
        <w:spacing w:after="0" w:line="324" w:lineRule="auto"/>
        <w:tabs>
          <w:tab w:leader="none" w:pos="125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623"/>
        <w:spacing w:after="0" w:line="252" w:lineRule="auto"/>
        <w:tabs>
          <w:tab w:leader="none" w:pos="12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60" w:hanging="623"/>
        <w:spacing w:after="0" w:line="324" w:lineRule="auto"/>
        <w:tabs>
          <w:tab w:leader="none" w:pos="125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60" w:hanging="623"/>
        <w:spacing w:after="0" w:line="261" w:lineRule="auto"/>
        <w:tabs>
          <w:tab w:leader="none" w:pos="12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76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4">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7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31.2</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Steven P. Weber, certify that:</w:t>
      </w:r>
    </w:p>
    <w:p>
      <w:pPr>
        <w:spacing w:after="0" w:line="161" w:lineRule="exact"/>
        <w:rPr>
          <w:sz w:val="20"/>
          <w:szCs w:val="20"/>
          <w:color w:val="auto"/>
        </w:rPr>
      </w:pPr>
    </w:p>
    <w:p>
      <w:pPr>
        <w:ind w:left="640" w:hanging="635"/>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Fair Isaac Corporation;</w:t>
      </w:r>
    </w:p>
    <w:p>
      <w:pPr>
        <w:spacing w:after="0" w:line="161" w:lineRule="exact"/>
        <w:rPr>
          <w:rFonts w:ascii="Arial" w:cs="Arial" w:eastAsia="Arial" w:hAnsi="Arial"/>
          <w:sz w:val="18"/>
          <w:szCs w:val="18"/>
          <w:color w:val="auto"/>
        </w:rPr>
      </w:pPr>
    </w:p>
    <w:p>
      <w:pPr>
        <w:jc w:val="both"/>
        <w:ind w:left="640" w:hanging="635"/>
        <w:spacing w:after="0" w:line="252"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hanging="635"/>
        <w:spacing w:after="0" w:line="252"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jc w:val="both"/>
        <w:ind w:left="1260" w:hanging="623"/>
        <w:spacing w:after="0" w:line="252" w:lineRule="auto"/>
        <w:tabs>
          <w:tab w:leader="none" w:pos="12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left="1260" w:hanging="623"/>
        <w:spacing w:after="0" w:line="324" w:lineRule="auto"/>
        <w:tabs>
          <w:tab w:leader="none" w:pos="125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623"/>
        <w:spacing w:after="0" w:line="252" w:lineRule="auto"/>
        <w:tabs>
          <w:tab w:leader="none" w:pos="12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ind w:left="640" w:hanging="635"/>
        <w:spacing w:after="0" w:line="324" w:lineRule="auto"/>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60" w:hanging="623"/>
        <w:spacing w:after="0" w:line="324" w:lineRule="auto"/>
        <w:tabs>
          <w:tab w:leader="none" w:pos="125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60" w:hanging="623"/>
        <w:spacing w:after="0" w:line="261" w:lineRule="auto"/>
        <w:tabs>
          <w:tab w:leader="none" w:pos="124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76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5">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P. Weber</w:t>
      </w:r>
    </w:p>
    <w:p>
      <w:pPr>
        <w:ind w:left="20"/>
        <w:spacing w:after="0" w:line="233" w:lineRule="auto"/>
        <w:rPr>
          <w:sz w:val="20"/>
          <w:szCs w:val="20"/>
          <w:color w:val="auto"/>
        </w:rPr>
      </w:pPr>
      <w:r>
        <w:rPr>
          <w:rFonts w:ascii="Arial" w:cs="Arial" w:eastAsia="Arial" w:hAnsi="Arial"/>
          <w:sz w:val="18"/>
          <w:szCs w:val="18"/>
          <w:i w:val="1"/>
          <w:iCs w:val="1"/>
          <w:color w:val="auto"/>
        </w:rPr>
        <w:t>Executive Vice President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240"/>
          </w:cols>
          <w:pgMar w:left="320" w:top="87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32.1</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76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6">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7"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32.2</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76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7">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P. Weber</w:t>
      </w:r>
    </w:p>
    <w:p>
      <w:pPr>
        <w:ind w:left="20"/>
        <w:spacing w:after="0" w:line="233" w:lineRule="auto"/>
        <w:rPr>
          <w:sz w:val="20"/>
          <w:szCs w:val="20"/>
          <w:color w:val="auto"/>
        </w:rPr>
      </w:pPr>
      <w:r>
        <w:rPr>
          <w:rFonts w:ascii="Arial" w:cs="Arial" w:eastAsia="Arial" w:hAnsi="Arial"/>
          <w:sz w:val="18"/>
          <w:szCs w:val="18"/>
          <w:i w:val="1"/>
          <w:iCs w:val="1"/>
          <w:color w:val="auto"/>
        </w:rPr>
        <w:t>Executive Vice President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and Chief Financial Officer</w:t>
      </w:r>
    </w:p>
    <w:p>
      <w:pPr>
        <w:sectPr>
          <w:pgSz w:w="11900" w:h="16838" w:orient="portrait"/>
          <w:cols w:equalWidth="0" w:num="1">
            <w:col w:w="11240"/>
          </w:cols>
          <w:pgMar w:left="320" w:top="87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FAIR ISAAC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COMPENSATION RECOVERY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Effective October 2, 2023</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Policy</w:t>
      </w:r>
    </w:p>
    <w:p>
      <w:pPr>
        <w:spacing w:after="0" w:line="120"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The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of Fair Isaac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has adopted this Compensation Recovery Policy (this “</w:t>
      </w:r>
      <w:r>
        <w:rPr>
          <w:rFonts w:ascii="Arial" w:cs="Arial" w:eastAsia="Arial" w:hAnsi="Arial"/>
          <w:sz w:val="20"/>
          <w:szCs w:val="20"/>
          <w:u w:val="single" w:color="auto"/>
          <w:color w:val="auto"/>
        </w:rPr>
        <w:t>Policy</w:t>
      </w:r>
      <w:r>
        <w:rPr>
          <w:rFonts w:ascii="Arial" w:cs="Arial" w:eastAsia="Arial" w:hAnsi="Arial"/>
          <w:sz w:val="20"/>
          <w:szCs w:val="20"/>
          <w:color w:val="auto"/>
        </w:rPr>
        <w:t>”) pursuant to Rule 10D-1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the Securities and Exchange Commission (“</w:t>
      </w:r>
      <w:r>
        <w:rPr>
          <w:rFonts w:ascii="Arial" w:cs="Arial" w:eastAsia="Arial" w:hAnsi="Arial"/>
          <w:sz w:val="20"/>
          <w:szCs w:val="20"/>
          <w:u w:val="single" w:color="auto"/>
          <w:color w:val="auto"/>
        </w:rPr>
        <w:t>SEC</w:t>
      </w:r>
      <w:r>
        <w:rPr>
          <w:rFonts w:ascii="Arial" w:cs="Arial" w:eastAsia="Arial" w:hAnsi="Arial"/>
          <w:sz w:val="20"/>
          <w:szCs w:val="20"/>
          <w:color w:val="auto"/>
        </w:rPr>
        <w:t>”) regulations promulgated thereunder, and applicable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Administration</w:t>
      </w:r>
    </w:p>
    <w:p>
      <w:pPr>
        <w:spacing w:after="0" w:line="107"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This Policy will be administered by the Leadership Development and Compensation Committee of the Board (the “</w:t>
      </w:r>
      <w:r>
        <w:rPr>
          <w:rFonts w:ascii="Arial" w:cs="Arial" w:eastAsia="Arial" w:hAnsi="Arial"/>
          <w:sz w:val="21"/>
          <w:szCs w:val="21"/>
          <w:u w:val="single" w:color="auto"/>
          <w:color w:val="auto"/>
        </w:rPr>
        <w:t>Committee</w:t>
      </w:r>
      <w:r>
        <w:rPr>
          <w:rFonts w:ascii="Arial" w:cs="Arial" w:eastAsia="Arial" w:hAnsi="Arial"/>
          <w:sz w:val="21"/>
          <w:szCs w:val="21"/>
          <w:color w:val="auto"/>
        </w:rPr>
        <w:t>”). Any determinations made by the Committee will be final and binding on all affected individuals.</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20"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Restatement</w:t>
      </w:r>
      <w:r>
        <w:rPr>
          <w:rFonts w:ascii="Arial" w:cs="Arial" w:eastAsia="Arial" w:hAnsi="Arial"/>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77"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Executive</w:t>
      </w:r>
      <w:r>
        <w:rPr>
          <w:rFonts w:ascii="Arial" w:cs="Arial" w:eastAsia="Arial" w:hAnsi="Arial"/>
          <w:sz w:val="21"/>
          <w:szCs w:val="21"/>
          <w:color w:val="auto"/>
        </w:rPr>
        <w:t>” means each of the Company’s current and former executive officers who is or was an “officer” of the Company within the meaning of Rule 16a-1(f) of the Exchange Act.</w:t>
      </w:r>
    </w:p>
    <w:p>
      <w:pPr>
        <w:spacing w:after="0" w:line="89" w:lineRule="exact"/>
        <w:rPr>
          <w:sz w:val="20"/>
          <w:szCs w:val="20"/>
          <w:color w:val="auto"/>
        </w:rPr>
      </w:pPr>
    </w:p>
    <w:p>
      <w:pPr>
        <w:jc w:val="both"/>
        <w:ind w:firstLine="632"/>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Erroneously Awarded Compensation</w:t>
      </w:r>
      <w:r>
        <w:rPr>
          <w:rFonts w:ascii="Arial" w:cs="Arial" w:eastAsia="Arial" w:hAnsi="Arial"/>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NYSE.</w:t>
      </w:r>
    </w:p>
    <w:p>
      <w:pPr>
        <w:spacing w:after="0" w:line="91"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Reporting Measures</w:t>
      </w:r>
      <w:r>
        <w:rPr>
          <w:rFonts w:ascii="Arial" w:cs="Arial" w:eastAsia="Arial" w:hAnsi="Arial"/>
          <w:sz w:val="21"/>
          <w:szCs w:val="21"/>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76"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Incentive-Based Compensation</w:t>
      </w:r>
      <w:r>
        <w:rPr>
          <w:rFonts w:ascii="Arial" w:cs="Arial" w:eastAsia="Arial" w:hAnsi="Arial"/>
          <w:sz w:val="21"/>
          <w:szCs w:val="21"/>
          <w:color w:val="auto"/>
        </w:rPr>
        <w:t>” is any compensation that is granted, earned, or vested based wholly or in part upon the attainment of a Financial Reporting Measure.</w:t>
      </w:r>
    </w:p>
    <w:p>
      <w:pPr>
        <w:sectPr>
          <w:pgSz w:w="11900" w:h="16838" w:orient="portrait"/>
          <w:cols w:equalWidth="0" w:num="1">
            <w:col w:w="11240"/>
          </w:cols>
          <w:pgMar w:left="320" w:top="108" w:right="339" w:bottom="1440" w:gutter="0" w:footer="0" w:header="0"/>
        </w:sectPr>
      </w:pPr>
    </w:p>
    <w:bookmarkStart w:id="136" w:name="page137"/>
    <w:bookmarkEnd w:id="136"/>
    <w:p>
      <w:pPr>
        <w:jc w:val="both"/>
        <w:ind w:firstLine="632"/>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Lookback Period</w:t>
      </w:r>
      <w:r>
        <w:rPr>
          <w:rFonts w:ascii="Arial" w:cs="Arial" w:eastAsia="Arial" w:hAnsi="Arial"/>
          <w:sz w:val="21"/>
          <w:szCs w:val="21"/>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Recoupment Event</w:t>
      </w:r>
      <w:r>
        <w:rPr>
          <w:rFonts w:ascii="Arial" w:cs="Arial" w:eastAsia="Arial" w:hAnsi="Arial"/>
          <w:sz w:val="21"/>
          <w:szCs w:val="21"/>
          <w:color w:val="auto"/>
        </w:rPr>
        <w:t>” occurs when the Company is required to prepare an Accounting Restatement.</w:t>
      </w:r>
    </w:p>
    <w:p>
      <w:pPr>
        <w:spacing w:after="0" w:line="114"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Restatement Date</w:t>
      </w:r>
      <w:r>
        <w:rPr>
          <w:rFonts w:ascii="Arial" w:cs="Arial" w:eastAsia="Arial" w:hAnsi="Arial"/>
          <w:sz w:val="21"/>
          <w:szCs w:val="21"/>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76" w:lineRule="exact"/>
        <w:rPr>
          <w:sz w:val="20"/>
          <w:szCs w:val="20"/>
          <w:color w:val="auto"/>
        </w:rPr>
      </w:pPr>
    </w:p>
    <w:p>
      <w:pPr>
        <w:ind w:firstLine="632"/>
        <w:spacing w:after="0" w:line="3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Section 409A</w:t>
      </w:r>
      <w:r>
        <w:rPr>
          <w:rFonts w:ascii="Arial" w:cs="Arial" w:eastAsia="Arial" w:hAnsi="Arial"/>
          <w:sz w:val="21"/>
          <w:szCs w:val="21"/>
          <w:color w:val="auto"/>
        </w:rPr>
        <w:t xml:space="preserve">” means Section 409A of the Internal Revenue Code and the regulations and guidance promulgated thereunder. </w:t>
      </w:r>
      <w:r>
        <w:rPr>
          <w:rFonts w:ascii="Arial" w:cs="Arial" w:eastAsia="Arial" w:hAnsi="Arial"/>
          <w:sz w:val="21"/>
          <w:szCs w:val="21"/>
          <w:b w:val="1"/>
          <w:bCs w:val="1"/>
          <w:u w:val="single" w:color="auto"/>
          <w:color w:val="auto"/>
        </w:rPr>
        <w:t>Amount Subject to Recovery</w:t>
      </w:r>
    </w:p>
    <w:p>
      <w:pPr>
        <w:jc w:val="both"/>
        <w:ind w:firstLine="632"/>
        <w:spacing w:after="0" w:line="231" w:lineRule="auto"/>
        <w:rPr>
          <w:sz w:val="20"/>
          <w:szCs w:val="20"/>
          <w:color w:val="auto"/>
        </w:rPr>
      </w:pPr>
      <w:r>
        <w:rPr>
          <w:rFonts w:ascii="Arial" w:cs="Arial" w:eastAsia="Arial" w:hAnsi="Arial"/>
          <w:sz w:val="20"/>
          <w:szCs w:val="20"/>
          <w:color w:val="auto"/>
        </w:rPr>
        <w:t>The Incentive-Based Compensation that is subject to recovery under this Policy includes such compensation that is received by a Covered Executive (i) on or after October 2, 2023 (even if such Incentive-Based Compensation was approved, awarded or granted prior to that date), (ii) after the individual began service as a Covered Executive, (iii) if the individual served as a Covered Executive at any time during the performance period for such Incentive-Based Compensation, and (iv) while the Company has a class of securities listed on a national securities exchange or national securities association.</w:t>
      </w:r>
    </w:p>
    <w:p>
      <w:pPr>
        <w:spacing w:after="0" w:line="78" w:lineRule="exact"/>
        <w:rPr>
          <w:sz w:val="20"/>
          <w:szCs w:val="20"/>
          <w:color w:val="auto"/>
        </w:rPr>
      </w:pPr>
    </w:p>
    <w:p>
      <w:pPr>
        <w:jc w:val="both"/>
        <w:ind w:firstLine="632"/>
        <w:spacing w:after="0" w:line="285" w:lineRule="auto"/>
        <w:rPr>
          <w:sz w:val="20"/>
          <w:szCs w:val="20"/>
          <w:color w:val="auto"/>
        </w:rPr>
      </w:pPr>
      <w:r>
        <w:rPr>
          <w:rFonts w:ascii="Arial" w:cs="Arial" w:eastAsia="Arial" w:hAnsi="Arial"/>
          <w:sz w:val="19"/>
          <w:szCs w:val="19"/>
          <w:color w:val="auto"/>
        </w:rPr>
        <w:t>The amount of Incentive-Based Compensation subject to recovery from a Covered Executive upon a Recoupment Event is the Erroneously Awarded Compensation, which amount shall be determined by the Committee in accordance with this Policy.</w:t>
      </w:r>
    </w:p>
    <w:p>
      <w:pPr>
        <w:spacing w:after="0" w:line="47"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Recovery of Erroneously Awarded Compensation</w:t>
      </w:r>
    </w:p>
    <w:p>
      <w:pPr>
        <w:spacing w:after="0" w:line="107" w:lineRule="exact"/>
        <w:rPr>
          <w:sz w:val="20"/>
          <w:szCs w:val="20"/>
          <w:color w:val="auto"/>
        </w:rPr>
      </w:pPr>
    </w:p>
    <w:p>
      <w:pPr>
        <w:jc w:val="both"/>
        <w:ind w:firstLine="632"/>
        <w:spacing w:after="0" w:line="223" w:lineRule="auto"/>
        <w:rPr>
          <w:sz w:val="20"/>
          <w:szCs w:val="20"/>
          <w:color w:val="auto"/>
        </w:rPr>
      </w:pPr>
      <w:r>
        <w:rPr>
          <w:rFonts w:ascii="Arial" w:cs="Arial" w:eastAsia="Arial" w:hAnsi="Arial"/>
          <w:sz w:val="21"/>
          <w:szCs w:val="21"/>
          <w:color w:val="auto"/>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spacing w:after="0" w:line="89"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Limited Exceptions</w:t>
      </w:r>
    </w:p>
    <w:p>
      <w:pPr>
        <w:spacing w:after="0" w:line="107"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Erroneously Awarded Compensation will be recovered in accordance with this Policy unless the Committee determines that recovery would be impracticable and one of the following conditions is met:</w:t>
      </w:r>
    </w:p>
    <w:p>
      <w:pPr>
        <w:spacing w:after="0" w:line="89" w:lineRule="exact"/>
        <w:rPr>
          <w:sz w:val="20"/>
          <w:szCs w:val="20"/>
          <w:color w:val="auto"/>
        </w:rPr>
      </w:pPr>
    </w:p>
    <w:p>
      <w:pPr>
        <w:ind w:left="960" w:right="700" w:hanging="323"/>
        <w:spacing w:after="0" w:line="285" w:lineRule="auto"/>
        <w:tabs>
          <w:tab w:leader="none" w:pos="95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237" w:right="339" w:bottom="1440" w:gutter="0" w:footer="0" w:header="0"/>
        </w:sectPr>
      </w:pPr>
    </w:p>
    <w:bookmarkStart w:id="137" w:name="page138"/>
    <w:bookmarkEnd w:id="137"/>
    <w:p>
      <w:pPr>
        <w:ind w:left="960" w:right="160" w:hanging="323"/>
        <w:spacing w:after="0" w:line="237" w:lineRule="auto"/>
        <w:tabs>
          <w:tab w:leader="none" w:pos="95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recovery would likely cause a U.S. tax-qualified retirement plan to fail to meet the requirements of Internal Revenue Code Sections 401(a)(13) and 411(a) and the regulations thereunder.</w:t>
      </w:r>
    </w:p>
    <w:p>
      <w:pPr>
        <w:spacing w:after="0" w:line="49"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Reliance on any of the above exemptions will further comply with applicable listing standards, including without limitation, documenting the reason for the impracticability and providing required documentation to NYSE.</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 Insurance or Indemnification</w:t>
      </w:r>
    </w:p>
    <w:p>
      <w:pPr>
        <w:spacing w:after="0" w:line="120"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Interpretation</w:t>
      </w:r>
    </w:p>
    <w:p>
      <w:pPr>
        <w:spacing w:after="0" w:line="120" w:lineRule="exact"/>
        <w:rPr>
          <w:sz w:val="20"/>
          <w:szCs w:val="20"/>
          <w:color w:val="auto"/>
        </w:rPr>
      </w:pPr>
    </w:p>
    <w:p>
      <w:pPr>
        <w:jc w:val="both"/>
        <w:ind w:firstLine="632"/>
        <w:spacing w:after="0" w:line="217" w:lineRule="auto"/>
        <w:rPr>
          <w:sz w:val="20"/>
          <w:szCs w:val="20"/>
          <w:color w:val="auto"/>
        </w:rPr>
      </w:pPr>
      <w:r>
        <w:rPr>
          <w:rFonts w:ascii="Arial" w:cs="Arial" w:eastAsia="Arial" w:hAnsi="Arial"/>
          <w:sz w:val="21"/>
          <w:szCs w:val="21"/>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Indemnification of Policy Administrators</w:t>
      </w:r>
    </w:p>
    <w:p>
      <w:pPr>
        <w:spacing w:after="0" w:line="107" w:lineRule="exact"/>
        <w:rPr>
          <w:sz w:val="20"/>
          <w:szCs w:val="20"/>
          <w:color w:val="auto"/>
        </w:rPr>
      </w:pPr>
    </w:p>
    <w:p>
      <w:pPr>
        <w:jc w:val="both"/>
        <w:ind w:firstLine="632"/>
        <w:spacing w:after="0" w:line="220" w:lineRule="auto"/>
        <w:rPr>
          <w:sz w:val="20"/>
          <w:szCs w:val="20"/>
          <w:color w:val="auto"/>
        </w:rPr>
      </w:pPr>
      <w:r>
        <w:rPr>
          <w:rFonts w:ascii="Arial" w:cs="Arial" w:eastAsia="Arial" w:hAnsi="Arial"/>
          <w:sz w:val="21"/>
          <w:szCs w:val="21"/>
          <w:color w:val="auto"/>
        </w:rPr>
        <w:t>Any members of the Committee who participate in the administration of this Policy shall not be personally liable for any action, determination or interpretation made with respect to this Policy and shall be fully indemnified by the Company to the fullest extent permitted under applicable law and Company governing documents and policies with respect to any such action, determination or interpretation. The foregoing shall not limit any other rights to indemnification of the members of the Committee under applicable law or Company governing documents and policies.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Amendment; Termination</w:t>
      </w:r>
    </w:p>
    <w:p>
      <w:pPr>
        <w:spacing w:after="0" w:line="120" w:lineRule="exact"/>
        <w:rPr>
          <w:sz w:val="20"/>
          <w:szCs w:val="20"/>
          <w:color w:val="auto"/>
        </w:rPr>
      </w:pPr>
    </w:p>
    <w:p>
      <w:pPr>
        <w:jc w:val="both"/>
        <w:ind w:firstLine="632"/>
        <w:spacing w:after="0" w:line="229" w:lineRule="auto"/>
        <w:rPr>
          <w:sz w:val="20"/>
          <w:szCs w:val="20"/>
          <w:color w:val="auto"/>
        </w:rPr>
      </w:pPr>
      <w:r>
        <w:rPr>
          <w:rFonts w:ascii="Arial" w:cs="Arial" w:eastAsia="Arial" w:hAnsi="Arial"/>
          <w:sz w:val="20"/>
          <w:szCs w:val="20"/>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7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Other Recoupment Rights</w:t>
      </w:r>
    </w:p>
    <w:p>
      <w:pPr>
        <w:spacing w:after="0" w:line="120" w:lineRule="exact"/>
        <w:rPr>
          <w:sz w:val="20"/>
          <w:szCs w:val="20"/>
          <w:color w:val="auto"/>
        </w:rPr>
      </w:pPr>
    </w:p>
    <w:p>
      <w:pPr>
        <w:jc w:val="both"/>
        <w:ind w:firstLine="632"/>
        <w:spacing w:after="0" w:line="242" w:lineRule="auto"/>
        <w:rPr>
          <w:sz w:val="20"/>
          <w:szCs w:val="20"/>
          <w:color w:val="auto"/>
        </w:rPr>
      </w:pPr>
      <w:r>
        <w:rPr>
          <w:rFonts w:ascii="Arial" w:cs="Arial" w:eastAsia="Arial" w:hAnsi="Arial"/>
          <w:sz w:val="19"/>
          <w:szCs w:val="19"/>
          <w:color w:val="auto"/>
        </w:rPr>
        <w:t>The Board intends that this Policy will be applied to the fullest extent of the law. Any Incentive-Based Compensation provided for in an employment agreement, incentive compensation plan, policy, program or agreement, equity award, or similar plan, program or agreement shall, as a condition to the grant of any benefit thereunder, be subject to the terms of this Policy. Any right of recoupment under this Policy is in addition to, and not in lieu of, any other remedies or rights of recoupment that may be available to the Company pursuant to the terms of any similar provision in any employment agreement, incentive compensation plan, policy, program or agreement, equity award, or similar plan, program or agreement and any other legal remedies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237" w:right="339" w:bottom="1440" w:gutter="0" w:footer="0" w:header="0"/>
        </w:sectPr>
      </w:pPr>
    </w:p>
    <w:bookmarkStart w:id="138" w:name="page139"/>
    <w:bookmarkEnd w:id="138"/>
    <w:p>
      <w:pPr>
        <w:jc w:val="both"/>
        <w:spacing w:after="0" w:line="258" w:lineRule="auto"/>
        <w:rPr>
          <w:sz w:val="20"/>
          <w:szCs w:val="20"/>
          <w:color w:val="auto"/>
        </w:rPr>
      </w:pPr>
      <w:r>
        <w:rPr>
          <w:rFonts w:ascii="Arial" w:cs="Arial" w:eastAsia="Arial" w:hAnsi="Arial"/>
          <w:sz w:val="19"/>
          <w:szCs w:val="19"/>
          <w:color w:val="auto"/>
        </w:rPr>
        <w:t>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Successors</w:t>
      </w:r>
    </w:p>
    <w:p>
      <w:pPr>
        <w:spacing w:after="0" w:line="120" w:lineRule="exact"/>
        <w:rPr>
          <w:sz w:val="20"/>
          <w:szCs w:val="20"/>
          <w:color w:val="auto"/>
        </w:rPr>
      </w:pPr>
    </w:p>
    <w:p>
      <w:pPr>
        <w:jc w:val="both"/>
        <w:ind w:firstLine="632"/>
        <w:spacing w:after="0" w:line="237" w:lineRule="auto"/>
        <w:rPr>
          <w:sz w:val="20"/>
          <w:szCs w:val="20"/>
          <w:color w:val="auto"/>
        </w:rPr>
      </w:pPr>
      <w:r>
        <w:rPr>
          <w:rFonts w:ascii="Arial" w:cs="Arial" w:eastAsia="Arial" w:hAnsi="Arial"/>
          <w:sz w:val="21"/>
          <w:szCs w:val="21"/>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sectPr>
      <w:pgSz w:w="11900" w:h="16838" w:orient="portrait"/>
      <w:cols w:equalWidth="0" w:num="1">
        <w:col w:w="11240"/>
      </w:cols>
      <w:pgMar w:left="320" w:top="12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1)"/>
      <w:numFmt w:val="decimal"/>
      <w:start w:val="1"/>
    </w:lvl>
  </w:abstractNum>
  <w:abstractNum w:abstractNumId="26">
    <w:nsid w:val="5DB70AE5"/>
    <w:multiLevelType w:val="hybridMultilevel"/>
    <w:lvl w:ilvl="0">
      <w:lvlJc w:val="left"/>
      <w:lvlText w:val="(%1)"/>
      <w:numFmt w:val="lowerLetter"/>
      <w:start w:val="2"/>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emdash "/>
      <w:numFmt w:val="bullet"/>
      <w:start w:val="1"/>
    </w:lvl>
  </w:abstractNum>
  <w:abstractNum w:abstractNumId="35">
    <w:nsid w:val="168E121F"/>
    <w:multiLevelType w:val="hybridMultilevel"/>
    <w:lvl w:ilvl="0">
      <w:lvlJc w:val="left"/>
      <w:lvlText w:val="•"/>
      <w:numFmt w:val="bullet"/>
      <w:start w:val="1"/>
    </w:lvl>
    <w:lvl w:ilvl="1">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decimal"/>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1."/>
      <w:numFmt w:val="decimal"/>
      <w:start w:val="1"/>
    </w:lvl>
    <w:lvl w:ilvl="1">
      <w:lvlJc w:val="left"/>
      <w:lvlText w:val="(%2)"/>
      <w:numFmt w:val="lowerLetter"/>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1)"/>
      <w:numFmt w:val="upperLetter"/>
      <w:start w:val="2"/>
    </w:lvl>
  </w:abstractNum>
  <w:abstractNum w:abstractNumId="51">
    <w:nsid w:val="4962813B"/>
    <w:multiLevelType w:val="hybridMultilevel"/>
    <w:lvl w:ilvl="0">
      <w:lvlJc w:val="left"/>
      <w:lvlText w:val="%1"/>
      <w:numFmt w:val="decimal"/>
      <w:start w:val="1"/>
    </w:lvl>
    <w:lvl w:ilvl="1">
      <w:lvlJc w:val="left"/>
      <w:lvlText w:val="(%2)"/>
      <w:numFmt w:val="lowerLetter"/>
      <w:start w:val="3"/>
    </w:lvl>
  </w:abstractNum>
  <w:abstractNum w:abstractNumId="52">
    <w:nsid w:val="60B6DF70"/>
    <w:multiLevelType w:val="hybridMultilevel"/>
    <w:lvl w:ilvl="0">
      <w:lvlJc w:val="left"/>
      <w:lvlText w:val="%1."/>
      <w:numFmt w:val="decimal"/>
      <w:start w:val="4"/>
    </w:lvl>
    <w:lvl w:ilvl="1">
      <w:lvlJc w:val="left"/>
      <w:lvlText w:val="%2"/>
      <w:numFmt w:val="lowerLetter"/>
      <w:start w:val="1"/>
    </w:lvl>
  </w:abstractNum>
  <w:abstractNum w:abstractNumId="53">
    <w:nsid w:val="6A5EE64"/>
    <w:multiLevelType w:val="hybridMultilevel"/>
    <w:lvl w:ilvl="0">
      <w:lvlJc w:val="left"/>
      <w:lvlText w:val="%1"/>
      <w:numFmt w:val="lowerLetter"/>
      <w:start w:val="1"/>
    </w:lvl>
    <w:lvl w:ilvl="1">
      <w:lvlJc w:val="left"/>
      <w:lvlText w:val="(%2)"/>
      <w:numFmt w:val="lowerLetter"/>
      <w:start w:val="1"/>
    </w:lvl>
  </w:abstractNum>
  <w:abstractNum w:abstractNumId="54">
    <w:nsid w:val="14330624"/>
    <w:multiLevelType w:val="hybridMultilevel"/>
    <w:lvl w:ilvl="0">
      <w:lvlJc w:val="left"/>
      <w:lvlText w:val="(%1)"/>
      <w:numFmt w:val="lowerLetter"/>
      <w:start w:val="2"/>
    </w:lvl>
    <w:lvl w:ilvl="1">
      <w:lvlJc w:val="left"/>
      <w:lvlText w:val="%2"/>
      <w:numFmt w:val="lowerLetter"/>
      <w:start w:val="1"/>
    </w:lvl>
  </w:abstractNum>
  <w:abstractNum w:abstractNumId="55">
    <w:nsid w:val="7FFFCA11"/>
    <w:multiLevelType w:val="hybridMultilevel"/>
    <w:lvl w:ilvl="0">
      <w:lvlJc w:val="left"/>
      <w:lvlText w:val="%1."/>
      <w:numFmt w:val="decimal"/>
      <w:start w:val="8"/>
    </w:lvl>
  </w:abstractNum>
  <w:abstractNum w:abstractNumId="56">
    <w:nsid w:val="1A27709E"/>
    <w:multiLevelType w:val="hybridMultilevel"/>
    <w:lvl w:ilvl="0">
      <w:lvlJc w:val="left"/>
      <w:lvlText w:val="%1."/>
      <w:numFmt w:val="decimal"/>
      <w:start w:val="9"/>
    </w:lvl>
  </w:abstractNum>
  <w:abstractNum w:abstractNumId="57">
    <w:nsid w:val="71EA1109"/>
    <w:multiLevelType w:val="hybridMultilevel"/>
    <w:lvl w:ilvl="0">
      <w:lvlJc w:val="left"/>
      <w:lvlText w:val="%1."/>
      <w:numFmt w:val="decimal"/>
      <w:start w:val="16"/>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0">
    <w:nsid w:val="6EB5BD4"/>
    <w:multiLevelType w:val="hybridMultilevel"/>
    <w:lvl w:ilvl="0">
      <w:lvlJc w:val="left"/>
      <w:lvlText w:val="%1"/>
      <w:numFmt w:val="decimal"/>
      <w:start w:val="1"/>
    </w:lvl>
    <w:lvl w:ilvl="1">
      <w:lvlJc w:val="left"/>
      <w:lvlText w:val="(%2)"/>
      <w:numFmt w:val="lowerLetter"/>
      <w:start w:val="5"/>
    </w:lvl>
  </w:abstractNum>
  <w:abstractNum w:abstractNumId="61">
    <w:nsid w:val="6F6DD9AC"/>
    <w:multiLevelType w:val="hybridMultilevel"/>
    <w:lvl w:ilvl="0">
      <w:lvlJc w:val="left"/>
      <w:lvlText w:val="%1."/>
      <w:numFmt w:val="decimal"/>
      <w:start w:val="5"/>
    </w:lvl>
    <w:lvl w:ilvl="1">
      <w:lvlJc w:val="left"/>
      <w:lvlText w:val="%2"/>
      <w:numFmt w:val="lowerLetter"/>
      <w:start w:val="1"/>
    </w:lvl>
  </w:abstractNum>
  <w:abstractNum w:abstractNumId="62">
    <w:nsid w:val="94211F2"/>
    <w:multiLevelType w:val="hybridMultilevel"/>
    <w:lvl w:ilvl="0">
      <w:lvlJc w:val="left"/>
      <w:lvlText w:val="%1"/>
      <w:numFmt w:val="decimal"/>
      <w:start w:val="1"/>
    </w:lvl>
    <w:lvl w:ilvl="1">
      <w:lvlJc w:val="left"/>
      <w:lvlText w:val="(%2)"/>
      <w:numFmt w:val="upperLetter"/>
      <w:start w:val="2"/>
    </w:lvl>
  </w:abstractNum>
  <w:abstractNum w:abstractNumId="63">
    <w:nsid w:val="885E1B"/>
    <w:multiLevelType w:val="hybridMultilevel"/>
    <w:lvl w:ilvl="0">
      <w:lvlJc w:val="left"/>
      <w:lvlText w:val="%1."/>
      <w:numFmt w:val="decimal"/>
      <w:start w:val="7"/>
    </w:lvl>
    <w:lvl w:ilvl="1">
      <w:lvlJc w:val="left"/>
      <w:lvlText w:val="%2"/>
      <w:numFmt w:val="upperLetter"/>
      <w:start w:val="1"/>
    </w:lvl>
  </w:abstractNum>
  <w:abstractNum w:abstractNumId="64">
    <w:nsid w:val="76272110"/>
    <w:multiLevelType w:val="hybridMultilevel"/>
    <w:lvl w:ilvl="0">
      <w:lvlJc w:val="left"/>
      <w:lvlText w:val="%1"/>
      <w:numFmt w:val="lowerLetter"/>
      <w:start w:val="1"/>
    </w:lvl>
    <w:lvl w:ilvl="1">
      <w:lvlJc w:val="left"/>
      <w:lvlText w:val="%2."/>
      <w:numFmt w:val="decimal"/>
      <w:start w:val="9"/>
    </w:lvl>
  </w:abstractNum>
  <w:abstractNum w:abstractNumId="65">
    <w:nsid w:val="4C04A8AF"/>
    <w:multiLevelType w:val="hybridMultilevel"/>
    <w:lvl w:ilvl="0">
      <w:lvlJc w:val="left"/>
      <w:lvlText w:val="(%1)"/>
      <w:numFmt w:val="lowerLetter"/>
      <w:start w:val="1"/>
    </w:lvl>
    <w:lvl w:ilvl="1">
      <w:lvlJc w:val="left"/>
      <w:lvlText w:val="%2"/>
      <w:numFmt w:val="decimal"/>
      <w:start w:val="1"/>
    </w:lvl>
  </w:abstractNum>
  <w:abstractNum w:abstractNumId="66">
    <w:nsid w:val="171670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67">
    <w:nsid w:val="14E17E3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68">
    <w:nsid w:val="3222E7CD"/>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69">
    <w:nsid w:val="74DE0EE3"/>
    <w:multiLevelType w:val="hybridMultilevel"/>
    <w:lvl w:ilvl="0">
      <w:lvlJc w:val="left"/>
      <w:lvlText w:val="%1."/>
      <w:numFmt w:val="decimal"/>
      <w:start w:val="10"/>
    </w:lvl>
  </w:abstractNum>
  <w:abstractNum w:abstractNumId="70">
    <w:nsid w:val="68EBC550"/>
    <w:multiLevelType w:val="hybridMultilevel"/>
    <w:lvl w:ilvl="0">
      <w:lvlJc w:val="left"/>
      <w:lvlText w:val="(%1)"/>
      <w:numFmt w:val="lowerRoman"/>
      <w:start w:val="1"/>
    </w:lvl>
  </w:abstractNum>
  <w:abstractNum w:abstractNumId="71">
    <w:nsid w:val="2DF6D648"/>
    <w:multiLevelType w:val="hybridMultilevel"/>
    <w:lvl w:ilvl="0">
      <w:lvlJc w:val="left"/>
      <w:lvlText w:val="(%1)"/>
      <w:numFmt w:val="lowerRoman"/>
      <w:start w:val="2"/>
    </w:lvl>
  </w:abstractNum>
  <w:abstractNum w:abstractNumId="72">
    <w:nsid w:val="46B7D447"/>
    <w:multiLevelType w:val="hybridMultilevel"/>
    <w:lvl w:ilvl="0">
      <w:lvlJc w:val="left"/>
      <w:lvlText w:val="%1."/>
      <w:numFmt w:val="decimal"/>
      <w:start w:val="11"/>
    </w:lvl>
  </w:abstractNum>
  <w:abstractNum w:abstractNumId="73">
    <w:nsid w:val="4A2AC315"/>
    <w:multiLevelType w:val="hybridMultilevel"/>
    <w:lvl w:ilvl="0">
      <w:lvlJc w:val="left"/>
      <w:lvlText w:val="%1."/>
      <w:numFmt w:val="decimal"/>
      <w:start w:val="15"/>
    </w:lvl>
  </w:abstractNum>
  <w:abstractNum w:abstractNumId="74">
    <w:nsid w:val="39EE015C"/>
    <w:multiLevelType w:val="hybridMultilevel"/>
    <w:lvl w:ilvl="0">
      <w:lvlJc w:val="left"/>
      <w:lvlText w:val="%1."/>
      <w:numFmt w:val="decimal"/>
      <w:start w:val="2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decimal"/>
      <w:start w:val="5"/>
    </w:lvl>
    <w:lvl w:ilvl="1">
      <w:lvlJc w:val="left"/>
      <w:lvlText w:val="(%2)"/>
      <w:numFmt w:val="lowerLetter"/>
      <w:start w:val="34"/>
    </w:lvl>
    <w:lvl w:ilvl="2">
      <w:lvlJc w:val="left"/>
      <w:lvlText w:val="(%3)"/>
      <w:numFmt w:val="lowerLetter"/>
      <w:start w:val="1"/>
    </w:lvl>
    <w:lvl w:ilvl="3">
      <w:lvlJc w:val="left"/>
      <w:lvlText w:val="(%4)"/>
      <w:numFmt w:val="lowerLetter"/>
      <w:start w:val="1"/>
    </w:lvl>
  </w:abstractNum>
  <w:abstractNum w:abstractNumId="77">
    <w:nsid w:val="43F18422"/>
    <w:multiLevelType w:val="hybridMultilevel"/>
    <w:lvl w:ilvl="0">
      <w:lvlJc w:val="left"/>
      <w:lvlText w:val="%1."/>
      <w:numFmt w:val="decimal"/>
      <w:start w:val="7"/>
    </w:lvl>
  </w:abstractNum>
  <w:abstractNum w:abstractNumId="78">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79">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80">
    <w:nsid w:val="7F01579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81">
    <w:nsid w:val="49DA307D"/>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2">
    <w:nsid w:val="7055A5F5"/>
    <w:multiLevelType w:val="hybridMultilevel"/>
    <w:lvl w:ilvl="0">
      <w:lvlJc w:val="left"/>
      <w:lvlText w:val="%1."/>
      <w:numFmt w:val="decimal"/>
      <w:start w:val="15"/>
    </w:lvl>
  </w:abstractNum>
  <w:abstractNum w:abstractNumId="83">
    <w:nsid w:val="5FB8370B"/>
    <w:multiLevelType w:val="hybridMultilevel"/>
    <w:lvl w:ilvl="0">
      <w:lvlJc w:val="left"/>
      <w:lvlText w:val="%1"/>
      <w:numFmt w:val="upperLetter"/>
      <w:start w:val="76"/>
    </w:lvl>
  </w:abstractNum>
  <w:abstractNum w:abstractNumId="84">
    <w:nsid w:val="50801EE1"/>
    <w:multiLevelType w:val="hybridMultilevel"/>
    <w:lvl w:ilvl="0">
      <w:lvlJc w:val="left"/>
      <w:lvlText w:val="%1."/>
      <w:numFmt w:val="decimal"/>
      <w:start w:val="1"/>
    </w:lvl>
    <w:lvl w:ilvl="1">
      <w:lvlJc w:val="left"/>
      <w:lvlText w:val="(%2)"/>
      <w:numFmt w:val="lowerLetter"/>
      <w:start w:val="1"/>
    </w:lvl>
  </w:abstractNum>
  <w:abstractNum w:abstractNumId="85">
    <w:nsid w:val="488AC1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4"/>
    </w:lvl>
    <w:lvl w:ilvl="4">
      <w:lvlJc w:val="left"/>
      <w:lvlText w:val="%5"/>
      <w:numFmt w:val="lowerRoman"/>
      <w:start w:val="1"/>
    </w:lvl>
    <w:lvl w:ilvl="5">
      <w:lvlJc w:val="left"/>
      <w:lvlText w:val="%6"/>
      <w:numFmt w:val="lowerRoman"/>
      <w:start w:val="1"/>
    </w:lvl>
    <w:lvl w:ilvl="6">
      <w:lvlJc w:val="left"/>
      <w:lvlText w:val="%7"/>
      <w:numFmt w:val="lowerLetter"/>
      <w:start w:val="1"/>
    </w:lvl>
  </w:abstractNum>
  <w:abstractNum w:abstractNumId="86">
    <w:nsid w:val="5FB8011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Roman"/>
      <w:start w:val="1"/>
    </w:lvl>
    <w:lvl w:ilvl="5">
      <w:lvlJc w:val="left"/>
      <w:lvlText w:val="(%6)"/>
      <w:numFmt w:val="lowerRoman"/>
      <w:start w:val="1"/>
    </w:lvl>
    <w:lvl w:ilvl="6">
      <w:lvlJc w:val="left"/>
      <w:lvlText w:val="(%7)"/>
      <w:numFmt w:val="lowerLetter"/>
      <w:start w:val="61"/>
    </w:lvl>
  </w:abstractNum>
  <w:abstractNum w:abstractNumId="87">
    <w:nsid w:val="6AA78F7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88">
    <w:nsid w:val="7672BD23"/>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lvl w:ilvl="3">
      <w:lvlJc w:val="left"/>
      <w:lvlText w:val="%4"/>
      <w:numFmt w:val="lowerRoman"/>
      <w:start w:val="1"/>
    </w:lvl>
  </w:abstractNum>
  <w:abstractNum w:abstractNumId="89">
    <w:nsid w:val="6FC75A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lvl w:ilvl="3">
      <w:lvlJc w:val="left"/>
      <w:lvlText w:val="%4"/>
      <w:numFmt w:val="lowerRoman"/>
      <w:start w:val="1"/>
    </w:lvl>
  </w:abstractNum>
  <w:abstractNum w:abstractNumId="90">
    <w:nsid w:val="6A5F7029"/>
    <w:multiLevelType w:val="hybridMultilevel"/>
    <w:lvl w:ilvl="0">
      <w:lvlJc w:val="left"/>
      <w:lvlText w:val="%1."/>
      <w:numFmt w:val="decimal"/>
      <w:start w:val="7"/>
    </w:lvl>
  </w:abstractNum>
  <w:abstractNum w:abstractNumId="91">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2">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93">
    <w:nsid w:val="73A182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94">
    <w:nsid w:val="7DE6771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95">
    <w:nsid w:val="555C55B5"/>
    <w:multiLevelType w:val="hybridMultilevel"/>
    <w:lvl w:ilvl="0">
      <w:lvlJc w:val="left"/>
      <w:lvlText w:val="(%1)"/>
      <w:numFmt w:val="lowerRoman"/>
      <w:start w:val="1"/>
    </w:lvl>
  </w:abstractNum>
  <w:abstractNum w:abstractNumId="96">
    <w:nsid w:val="3FA62ACA"/>
    <w:multiLevelType w:val="hybridMultilevel"/>
    <w:lvl w:ilvl="0">
      <w:lvlJc w:val="left"/>
      <w:lvlText w:val="(%1)"/>
      <w:numFmt w:val="decimal"/>
      <w:start w:val="50"/>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5"/>
    </w:lvl>
  </w:abstractNum>
  <w:abstractNum w:abstractNumId="99">
    <w:nsid w:val="71C91298"/>
    <w:multiLevelType w:val="hybridMultilevel"/>
    <w:lvl w:ilvl="0">
      <w:lvlJc w:val="left"/>
      <w:lvlText w:val="(%1)"/>
      <w:numFmt w:val="lowerLetter"/>
      <w:start w:val="35"/>
    </w:lvl>
  </w:abstractNum>
  <w:abstractNum w:abstractNumId="100">
    <w:nsid w:val="9DAF632"/>
    <w:multiLevelType w:val="hybridMultilevel"/>
    <w:lvl w:ilvl="0">
      <w:lvlJc w:val="left"/>
      <w:lvlText w:val="(%1)"/>
      <w:numFmt w:val="lowerRoman"/>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1."/>
      <w:numFmt w:val="upperLetter"/>
      <w:start w:val="1"/>
    </w:lvl>
    <w:lvl w:ilvl="1">
      <w:lvlJc w:val="left"/>
      <w:lvlText w:val="%2."/>
      <w:numFmt w:val="decimal"/>
      <w:start w:val="1"/>
    </w:lvl>
  </w:abstractNum>
  <w:abstractNum w:abstractNumId="103">
    <w:nsid w:val="5092CA79"/>
    <w:multiLevelType w:val="hybridMultilevel"/>
    <w:lvl w:ilvl="0">
      <w:lvlJc w:val="left"/>
      <w:lvlText w:val="%1."/>
      <w:numFmt w:val="decimal"/>
      <w:start w:val="3"/>
    </w:lvl>
  </w:abstractNum>
  <w:abstractNum w:abstractNumId="104">
    <w:nsid w:val="1D545C4D"/>
    <w:multiLevelType w:val="hybridMultilevel"/>
    <w:lvl w:ilvl="0">
      <w:lvlJc w:val="left"/>
      <w:lvlText w:val="%1."/>
      <w:numFmt w:val="decimal"/>
      <w:start w:val="5"/>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91" Type="http://schemas.openxmlformats.org/officeDocument/2006/relationships/image" Target="media/image122.png"/><Relationship Id="rId192" Type="http://schemas.openxmlformats.org/officeDocument/2006/relationships/image" Target="media/image123.png"/><Relationship Id="rId193"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202" Type="http://schemas.openxmlformats.org/officeDocument/2006/relationships/image" Target="media/image133.png"/><Relationship Id="rId203" Type="http://schemas.openxmlformats.org/officeDocument/2006/relationships/image" Target="media/image134.png"/><Relationship Id="rId204" Type="http://schemas.openxmlformats.org/officeDocument/2006/relationships/image" Target="media/image135.png"/><Relationship Id="rId205" Type="http://schemas.openxmlformats.org/officeDocument/2006/relationships/image" Target="media/image136.png"/><Relationship Id="rId206" Type="http://schemas.openxmlformats.org/officeDocument/2006/relationships/image" Target="media/image137.png"/><Relationship Id="rId207" Type="http://schemas.openxmlformats.org/officeDocument/2006/relationships/image" Target="media/image138.png"/><Relationship Id="rId208" Type="http://schemas.openxmlformats.org/officeDocument/2006/relationships/image" Target="media/image139.png"/><Relationship Id="rId209" Type="http://schemas.openxmlformats.org/officeDocument/2006/relationships/image" Target="media/image140.png"/><Relationship Id="rId210" Type="http://schemas.openxmlformats.org/officeDocument/2006/relationships/image" Target="media/image141.png"/><Relationship Id="rId211" Type="http://schemas.openxmlformats.org/officeDocument/2006/relationships/image" Target="media/image142.png"/><Relationship Id="rId212" Type="http://schemas.openxmlformats.org/officeDocument/2006/relationships/image" Target="media/image143.jpeg"/><Relationship Id="rId213" Type="http://schemas.openxmlformats.org/officeDocument/2006/relationships/image" Target="media/image144.png"/><Relationship Id="rId214" Type="http://schemas.openxmlformats.org/officeDocument/2006/relationships/image" Target="media/image145.png"/><Relationship Id="rId215" Type="http://schemas.openxmlformats.org/officeDocument/2006/relationships/image" Target="media/image146.png"/><Relationship Id="rId216" Type="http://schemas.openxmlformats.org/officeDocument/2006/relationships/image" Target="media/image147.png"/><Relationship Id="rId217" Type="http://schemas.openxmlformats.org/officeDocument/2006/relationships/image" Target="media/image148.png"/><Relationship Id="rId123" Type="http://schemas.openxmlformats.org/officeDocument/2006/relationships/hyperlink" Target="http://www.sec.gov/Archives/edgar/data/814547/000095012310009970/c56194exv3w1.htm" TargetMode="External"/><Relationship Id="rId124" Type="http://schemas.openxmlformats.org/officeDocument/2006/relationships/hyperlink" Target="http://www.sec.gov/Archives/edgar/data/814547/000095012310009970/c56194exv3w2.htm" TargetMode="External"/><Relationship Id="rId125" Type="http://schemas.openxmlformats.org/officeDocument/2006/relationships/hyperlink" Target="http://www.sec.gov/Archives/edgar/data/814547/000081454719000016/ex4110-k2019.htm" TargetMode="External"/><Relationship Id="rId126" Type="http://schemas.openxmlformats.org/officeDocument/2006/relationships/hyperlink" Target="http://www.sec.gov/Archives/edgar/data/814547/000119312518156031/d560543dex41.htm" TargetMode="External"/><Relationship Id="rId127" Type="http://schemas.openxmlformats.org/officeDocument/2006/relationships/hyperlink" Target="http://www.sec.gov/Archives/edgar/data/814547/000119312519308369/d838644dex41.htm" TargetMode="External"/><Relationship Id="rId128" Type="http://schemas.openxmlformats.org/officeDocument/2006/relationships/hyperlink" Target="http://www.sec.gov/Archives/edgar/data/814547/000119312521361078/d273800dex42.htm" TargetMode="External"/><Relationship Id="rId129" Type="http://schemas.openxmlformats.org/officeDocument/2006/relationships/hyperlink" Target="http://www.sec.gov/Archives/edgar/data/814547/000095013708014107/c47904exv10w10.htm" TargetMode="External"/><Relationship Id="rId130" Type="http://schemas.openxmlformats.org/officeDocument/2006/relationships/hyperlink" Target="http://www.sec.gov/Archives/edgar/data/814547/000093639202001464/a86033exv10w49.txt" TargetMode="External"/><Relationship Id="rId131" Type="http://schemas.openxmlformats.org/officeDocument/2006/relationships/hyperlink" Target="http://www.sec.gov/Archives/edgar/data/814547/000119312512052923/d298825dex104.htm" TargetMode="External"/><Relationship Id="rId132" Type="http://schemas.openxmlformats.org/officeDocument/2006/relationships/hyperlink" Target="http://www.sec.gov/Archives/edgar/data/814547/000081454715000003/ex-10210xqq12015.htm" TargetMode="External"/><Relationship Id="rId133" Type="http://schemas.openxmlformats.org/officeDocument/2006/relationships/hyperlink" Target="http://www.sec.gov/Archives/edgar/data/814547/000081454716000031/ex-10x110xqq32016.htm" TargetMode="External"/><Relationship Id="rId134" Type="http://schemas.openxmlformats.org/officeDocument/2006/relationships/hyperlink" Target="http://www.sec.gov/Archives/edgar/data/814547/000095013708014107/c47904exv10w61.htm" TargetMode="External"/><Relationship Id="rId135" Type="http://schemas.openxmlformats.org/officeDocument/2006/relationships/hyperlink" Target="http://www.sec.gov/Archives/edgar/data/814547/000119312512025268/d287911dex102.htm" TargetMode="External"/><Relationship Id="rId136" Type="http://schemas.openxmlformats.org/officeDocument/2006/relationships/hyperlink" Target="http://www.sec.gov/Archives/edgar/data/814547/000119312512052923/d298825dex103.htm" TargetMode="External"/><Relationship Id="rId137" Type="http://schemas.openxmlformats.org/officeDocument/2006/relationships/hyperlink" Target="http://www.sec.gov/Archives/edgar/data/814547/000119312513029957/d453682dex101.htm" TargetMode="External"/><Relationship Id="rId138" Type="http://schemas.openxmlformats.org/officeDocument/2006/relationships/hyperlink" Target="http://www.sec.gov/Archives/edgar/data/814547/000081454716000031/ex-10x210xqq32016.htm" TargetMode="External"/><Relationship Id="rId139" Type="http://schemas.openxmlformats.org/officeDocument/2006/relationships/hyperlink" Target="http://www.sec.gov/Archives/edgar/data/814547/000119312520065097/d887426dex43.htm" TargetMode="External"/><Relationship Id="rId140" Type="http://schemas.openxmlformats.org/officeDocument/2006/relationships/hyperlink" Target="http://www.sec.gov/Archives/edgar/data/814547/000119312512195607/d338746dex102.htm" TargetMode="External"/><Relationship Id="rId141" Type="http://schemas.openxmlformats.org/officeDocument/2006/relationships/hyperlink" Target="http://www.sec.gov/Archives/edgar/data/814547/000119312512195607/d338746dex103.htm" TargetMode="External"/><Relationship Id="rId142" Type="http://schemas.openxmlformats.org/officeDocument/2006/relationships/hyperlink" Target="http://www.sec.gov/Archives/edgar/data/814547/000119312512195607/d338746dex104.htm" TargetMode="External"/><Relationship Id="rId145" Type="http://schemas.openxmlformats.org/officeDocument/2006/relationships/hyperlink" Target="http://www.sec.gov/Archives/edgar/data/814547/000119312512195607/d338746dex105.htm" TargetMode="External"/><Relationship Id="rId146" Type="http://schemas.openxmlformats.org/officeDocument/2006/relationships/hyperlink" Target="http://www.sec.gov/Archives/edgar/data/814547/000081454717000005/ex-10x210xqq12017.htm" TargetMode="External"/><Relationship Id="rId147" Type="http://schemas.openxmlformats.org/officeDocument/2006/relationships/hyperlink" Target="http://www.sec.gov/Archives/edgar/data/814547/000081454717000005/ex-10x310xqq12017.htm" TargetMode="External"/><Relationship Id="rId148" Type="http://schemas.openxmlformats.org/officeDocument/2006/relationships/hyperlink" Target="http://www.sec.gov/Archives/edgar/data/814547/000081454717000005/ex-10x410xqq12017.htm" TargetMode="External"/><Relationship Id="rId149" Type="http://schemas.openxmlformats.org/officeDocument/2006/relationships/hyperlink" Target="http://www.sec.gov/Archives/edgar/data/814547/000081454718000010/ex-103010xk2018stockoption.htm" TargetMode="External"/><Relationship Id="rId150" Type="http://schemas.openxmlformats.org/officeDocument/2006/relationships/hyperlink" Target="http://www.sec.gov/Archives/edgar/data/814547/000081454717000005/ex-10x510xqq12017.htm" TargetMode="External"/><Relationship Id="rId151" Type="http://schemas.openxmlformats.org/officeDocument/2006/relationships/hyperlink" Target="http://www.sec.gov/Archives/edgar/data/814547/000081454718000010/ex-103210xk2018rsuagmt.htm" TargetMode="External"/><Relationship Id="rId152" Type="http://schemas.openxmlformats.org/officeDocument/2006/relationships/hyperlink" Target="http://www.sec.gov/Archives/edgar/data/814547/000081454717000005/ex-10x610xqq12017.htm" TargetMode="External"/><Relationship Id="rId153" Type="http://schemas.openxmlformats.org/officeDocument/2006/relationships/hyperlink" Target="http://www.sec.gov/Archives/edgar/data/814547/000081454717000005/ex-10x710xqq12017.htm" TargetMode="External"/><Relationship Id="rId154" Type="http://schemas.openxmlformats.org/officeDocument/2006/relationships/hyperlink" Target="http://www.sec.gov/Archives/edgar/data/814547/000081454717000005/ex-10x810xqq12017.htm" TargetMode="External"/><Relationship Id="rId155" Type="http://schemas.openxmlformats.org/officeDocument/2006/relationships/hyperlink" Target="http://www.sec.gov/Archives/edgar/data/814547/000081454717000005/ex-10x910xqq12017.htm" TargetMode="External"/><Relationship Id="rId156" Type="http://schemas.openxmlformats.org/officeDocument/2006/relationships/hyperlink" Target="http://www.sec.gov/Archives/edgar/data/814547/000119312512195607/d338746dex106.htm" TargetMode="External"/><Relationship Id="rId157" Type="http://schemas.openxmlformats.org/officeDocument/2006/relationships/hyperlink" Target="http://www.sec.gov/Archives/edgar/data/814547/000119312512195607/d338746dex107.htm" TargetMode="External"/><Relationship Id="rId158" Type="http://schemas.openxmlformats.org/officeDocument/2006/relationships/hyperlink" Target="http://www.sec.gov/Archives/edgar/data/814547/000081454717000008/ficoex-10x110xqq22017.htm" TargetMode="External"/><Relationship Id="rId159" Type="http://schemas.openxmlformats.org/officeDocument/2006/relationships/hyperlink" Target="http://www.sec.gov/Archives/edgar/data/814547/000081454717000008/ficoex-10x210xqq22017.htm" TargetMode="External"/><Relationship Id="rId160" Type="http://schemas.openxmlformats.org/officeDocument/2006/relationships/hyperlink" Target="http://www.sec.gov/Archives/edgar/data/814547/000081454717000005/ex-10x1010xqq12017.htm" TargetMode="External"/><Relationship Id="rId161" Type="http://schemas.openxmlformats.org/officeDocument/2006/relationships/hyperlink" Target="http://www.sec.gov/Archives/edgar/data/814547/000162828018000591/ficoex-10210xqq12018.htm" TargetMode="External"/><Relationship Id="rId162" Type="http://schemas.openxmlformats.org/officeDocument/2006/relationships/hyperlink" Target="http://www.sec.gov/Archives/edgar/data/814547/000081454718000010/ex-104410xk2018psuagmt.htm" TargetMode="External"/><Relationship Id="rId163" Type="http://schemas.openxmlformats.org/officeDocument/2006/relationships/hyperlink" Target="http://www.sec.gov/Archives/edgar/data/814547/000081454720000003/ficoex-101performances.htm" TargetMode="External"/><Relationship Id="rId166" Type="http://schemas.openxmlformats.org/officeDocument/2006/relationships/hyperlink" Target="http://www.sec.gov/Archives/edgar/data/814547/000081454716000023/ex-10210xqq12016msu.htm" TargetMode="External"/><Relationship Id="rId167" Type="http://schemas.openxmlformats.org/officeDocument/2006/relationships/hyperlink" Target="http://www.sec.gov/Archives/edgar/data/814547/000081454717000005/ex-10x1110xqq12017.htm" TargetMode="External"/><Relationship Id="rId168" Type="http://schemas.openxmlformats.org/officeDocument/2006/relationships/hyperlink" Target="http://www.sec.gov/Archives/edgar/data/814547/000162828018000591/ficoex-10310xqq12018.htm" TargetMode="External"/><Relationship Id="rId169" Type="http://schemas.openxmlformats.org/officeDocument/2006/relationships/hyperlink" Target="http://www.sec.gov/Archives/edgar/data/814547/000081454718000010/ex-104810xk2018msuagmt.htm" TargetMode="External"/><Relationship Id="rId170" Type="http://schemas.openxmlformats.org/officeDocument/2006/relationships/hyperlink" Target="http://www.sec.gov/Archives/edgar/data/814547/000119312519179399/d745155dex101.htm" TargetMode="External"/><Relationship Id="rId171" Type="http://schemas.openxmlformats.org/officeDocument/2006/relationships/hyperlink" Target="http://www.sec.gov/Archives/edgar/data/814547/000119312519062528/d634145dex43.htm" TargetMode="External"/><Relationship Id="rId172" Type="http://schemas.openxmlformats.org/officeDocument/2006/relationships/hyperlink" Target="http://www.sec.gov/Archives/edgar/data/814547/000119312520232242/d936329dex101.htm" TargetMode="External"/><Relationship Id="rId173" Type="http://schemas.openxmlformats.org/officeDocument/2006/relationships/hyperlink" Target="http://www.sec.gov/Archives/edgar/data/814547/000081454720000012/ex105810-k2020.htm" TargetMode="External"/><Relationship Id="rId174" Type="http://schemas.openxmlformats.org/officeDocument/2006/relationships/hyperlink" Target="http://www.sec.gov/Archives/edgar/data/814547/000081454720000012/ex-105910xk2020.htm" TargetMode="External"/><Relationship Id="rId175" Type="http://schemas.openxmlformats.org/officeDocument/2006/relationships/hyperlink" Target="http://www.sec.gov/Archives/edgar/data/814547/000119312521251573/d214746dex101.htm" TargetMode="External"/><Relationship Id="rId176" Type="http://schemas.openxmlformats.org/officeDocument/2006/relationships/hyperlink" Target="http://www.sec.gov/Archives/edgar/data/814547/000119312521303977/d229168dex101.htm" TargetMode="External"/><Relationship Id="rId177" Type="http://schemas.openxmlformats.org/officeDocument/2006/relationships/hyperlink" Target="http://www.sec.gov/Archives/edgar/data/814547/000081454723000004/ficoex101q12023.htm" TargetMode="External"/><Relationship Id="rId178" Type="http://schemas.openxmlformats.org/officeDocument/2006/relationships/hyperlink" Target="http://www.sec.gov/Archives/edgar/data/814547/000119312521067573/d147323dex101.htm" TargetMode="External"/><Relationship Id="rId179" Type="http://schemas.openxmlformats.org/officeDocument/2006/relationships/hyperlink" Target="http://www.sec.gov/Archives/edgar/data/814547/000081454721000007/ficoex102q22021-directorrsu.htm" TargetMode="External"/><Relationship Id="rId180" Type="http://schemas.openxmlformats.org/officeDocument/2006/relationships/hyperlink" Target="http://www.sec.gov/Archives/edgar/data/814547/000081454721000007/ficoex103q22021-directorst.htm" TargetMode="External"/><Relationship Id="rId181" Type="http://schemas.openxmlformats.org/officeDocument/2006/relationships/hyperlink" Target="http://www.sec.gov/Archives/edgar/data/814547/000081454721000007/ficoex104-q22021executiver.htm" TargetMode="External"/><Relationship Id="rId182" Type="http://schemas.openxmlformats.org/officeDocument/2006/relationships/hyperlink" Target="http://www.sec.gov/Archives/edgar/data/814547/000081454721000007/ficoex105q22021executivest.htm" TargetMode="External"/><Relationship Id="rId183" Type="http://schemas.openxmlformats.org/officeDocument/2006/relationships/hyperlink" Target="http://www.sec.gov/Archives/edgar/data/814547/000081454721000019/ex1055-formofpsuawardagree.htm" TargetMode="External"/><Relationship Id="rId184" Type="http://schemas.openxmlformats.org/officeDocument/2006/relationships/hyperlink" Target="http://www.sec.gov/Archives/edgar/data/814547/000081454721000019/ex1056-formofmsuawardagree.htm" TargetMode="External"/><Relationship Id="rId185" Type="http://schemas.openxmlformats.org/officeDocument/2006/relationships/hyperlink" Target="http://www.sec.gov/Archives/edgar/data/814547/000081454723000008/ficoex101q22023-indemnific.htm" TargetMode="External"/><Relationship Id="rId186" Type="http://schemas.openxmlformats.org/officeDocument/2006/relationships/hyperlink" Target="http://www.sec.gov/Archives/edgar/data/814547/000119312523144515/d252388dex101.htm" TargetMode="External"/><Relationship Id="rId189" Type="http://schemas.openxmlformats.org/officeDocument/2006/relationships/hyperlink" Target="http://www.sec.gov/Archives/edgar/data/814547/000119312523162583/d499544dex101.htm" TargetMode="External"/><Relationship Id="rId190" Type="http://schemas.openxmlformats.org/officeDocument/2006/relationships/hyperlink" Target="http://www.sec.gov/Archives/edgar/data/814547/000119312523162583/d49954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2023-11-08T15:47:32Z</dcterms:created>
  <dcterms:modified xsi:type="dcterms:W3CDTF">2023-11-08T15:47:32Z</dcterms:modified>
</cp:coreProperties>
</file>