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111760</wp:posOffset>
            </wp:positionV>
            <wp:extent cx="1380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113665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4"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21" w:lineRule="exact"/>
        <w:rPr>
          <w:sz w:val="24"/>
          <w:szCs w:val="24"/>
          <w:color w:val="auto"/>
        </w:rPr>
      </w:pPr>
    </w:p>
    <w:p>
      <w:pPr>
        <w:ind w:left="400" w:right="40" w:hanging="374"/>
        <w:spacing w:after="0" w:line="238" w:lineRule="auto"/>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21" w:lineRule="exact"/>
        <w:rPr>
          <w:sz w:val="24"/>
          <w:szCs w:val="24"/>
          <w:color w:val="auto"/>
        </w:rPr>
      </w:pPr>
    </w:p>
    <w:p>
      <w:pPr>
        <w:ind w:left="400" w:right="60" w:hanging="374"/>
        <w:spacing w:after="0" w:line="238" w:lineRule="auto"/>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3"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85"/>
        </w:trPr>
        <w:tc>
          <w:tcPr>
            <w:tcW w:w="3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Number 1-11689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4399915</wp:posOffset>
            </wp:positionH>
            <wp:positionV relativeFrom="paragraph">
              <wp:posOffset>-256540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77470</wp:posOffset>
            </wp:positionV>
            <wp:extent cx="1380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Fair Isaac Corporation</w:t>
      </w:r>
    </w:p>
    <w:p>
      <w:pPr>
        <w:spacing w:after="0" w:line="80" w:lineRule="exact"/>
        <w:rPr>
          <w:sz w:val="24"/>
          <w:szCs w:val="24"/>
          <w:color w:val="auto"/>
        </w:rPr>
      </w:pPr>
    </w:p>
    <w:tbl>
      <w:tblPr>
        <w:tblLayout w:type="fixed"/>
        <w:tblInd w:w="2080" w:type="dxa"/>
        <w:tblCellMar>
          <w:top w:w="0" w:type="dxa"/>
          <w:left w:w="0" w:type="dxa"/>
          <w:bottom w:w="0" w:type="dxa"/>
          <w:right w:w="0" w:type="dxa"/>
        </w:tblCellMar>
      </w:tblPr>
      <w:tr>
        <w:trPr>
          <w:trHeight w:val="238"/>
        </w:trPr>
        <w:tc>
          <w:tcPr>
            <w:tcW w:w="6140" w:type="dxa"/>
            <w:vAlign w:val="bottom"/>
            <w:gridSpan w:val="3"/>
          </w:tcPr>
          <w:p>
            <w:pPr>
              <w:jc w:val="center"/>
              <w:ind w:left="817"/>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220" w:type="dxa"/>
            <w:vAlign w:val="bottom"/>
          </w:tcPr>
          <w:p>
            <w:pPr>
              <w:spacing w:after="0"/>
              <w:rPr>
                <w:sz w:val="20"/>
                <w:szCs w:val="20"/>
                <w:color w:val="auto"/>
              </w:rPr>
            </w:pPr>
          </w:p>
        </w:tc>
      </w:tr>
      <w:tr>
        <w:trPr>
          <w:trHeight w:val="170"/>
        </w:trPr>
        <w:tc>
          <w:tcPr>
            <w:tcW w:w="2460" w:type="dxa"/>
            <w:vAlign w:val="bottom"/>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3"/>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190"/>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61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w w:val="98"/>
              </w:rPr>
              <w:t>5 West Mendenhall, Suite 105</w:t>
            </w:r>
          </w:p>
        </w:tc>
        <w:tc>
          <w:tcPr>
            <w:tcW w:w="12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59715</w:t>
            </w:r>
          </w:p>
        </w:tc>
      </w:tr>
      <w:tr>
        <w:trPr>
          <w:trHeight w:val="227"/>
        </w:trPr>
        <w:tc>
          <w:tcPr>
            <w:tcW w:w="6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Bozeman, Montana</w:t>
            </w:r>
          </w:p>
        </w:tc>
        <w:tc>
          <w:tcPr>
            <w:tcW w:w="1220" w:type="dxa"/>
            <w:vAlign w:val="bottom"/>
          </w:tcPr>
          <w:p>
            <w:pPr>
              <w:spacing w:after="0"/>
              <w:rPr>
                <w:sz w:val="19"/>
                <w:szCs w:val="19"/>
                <w:color w:val="auto"/>
              </w:rPr>
            </w:pPr>
          </w:p>
        </w:tc>
      </w:tr>
      <w:tr>
        <w:trPr>
          <w:trHeight w:val="190"/>
        </w:trPr>
        <w:tc>
          <w:tcPr>
            <w:tcW w:w="61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8"/>
        </w:trPr>
        <w:tc>
          <w:tcPr>
            <w:tcW w:w="6140" w:type="dxa"/>
            <w:vAlign w:val="bottom"/>
            <w:gridSpan w:val="3"/>
          </w:tcPr>
          <w:p>
            <w:pPr>
              <w:jc w:val="center"/>
              <w:ind w:left="75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406-982-7276</w:t>
            </w:r>
          </w:p>
        </w:tc>
        <w:tc>
          <w:tcPr>
            <w:tcW w:w="12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111125</wp:posOffset>
            </wp:positionV>
            <wp:extent cx="1380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1"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25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0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360" w:type="dxa"/>
            <w:vAlign w:val="bottom"/>
          </w:tcPr>
          <w:p>
            <w:pPr>
              <w:spacing w:after="0"/>
              <w:rPr>
                <w:sz w:val="21"/>
                <w:szCs w:val="21"/>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FICO</w:t>
            </w:r>
          </w:p>
        </w:tc>
        <w:tc>
          <w:tcPr>
            <w:tcW w:w="64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8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49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6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00"/>
        </w:trPr>
        <w:tc>
          <w:tcPr>
            <w:tcW w:w="3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80"/>
        </w:trPr>
        <w:tc>
          <w:tcPr>
            <w:tcW w:w="34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3720" w:type="dxa"/>
            <w:vAlign w:val="bottom"/>
            <w:vMerge w:val="continue"/>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ind w:firstLine="44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720"/>
        <w:spacing w:after="0" w:line="207" w:lineRule="exact"/>
        <w:tabs>
          <w:tab w:leader="none" w:pos="9160" w:val="left"/>
          <w:tab w:leader="none" w:pos="9520" w:val="left"/>
          <w:tab w:leader="none" w:pos="99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number of shares of common stock outstanding on April 16, 2026 was 23,190,906 (excluding 65,665,877 shares held by us as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Unaudited Financial Statements</w:t>
            </w:r>
          </w:p>
        </w:tc>
        <w:tc>
          <w:tcPr>
            <w:tcW w:w="3300" w:type="dxa"/>
            <w:vAlign w:val="bottom"/>
            <w:gridSpan w:val="2"/>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60" w:type="dxa"/>
            <w:vAlign w:val="bottom"/>
            <w:tcBorders>
              <w:top w:val="single" w:sz="8" w:color="0000FF"/>
            </w:tcBorders>
            <w:gridSpan w:val="5"/>
          </w:tcPr>
          <w:p>
            <w:pPr>
              <w:spacing w:after="0"/>
              <w:rPr>
                <w:sz w:val="18"/>
                <w:szCs w:val="18"/>
                <w:color w:val="auto"/>
              </w:rPr>
            </w:pP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600" w:type="dxa"/>
            <w:vAlign w:val="bottom"/>
            <w:gridSpan w:val="3"/>
          </w:tcPr>
          <w:p>
            <w:pPr>
              <w:spacing w:after="0"/>
              <w:rPr>
                <w:sz w:val="22"/>
                <w:szCs w:val="22"/>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8"/>
                <w:szCs w:val="18"/>
                <w:color w:val="auto"/>
              </w:rPr>
            </w:pPr>
          </w:p>
        </w:tc>
        <w:tc>
          <w:tcPr>
            <w:tcW w:w="5120" w:type="dxa"/>
            <w:vAlign w:val="bottom"/>
            <w:gridSpan w:val="8"/>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2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4120" w:type="dxa"/>
            <w:vAlign w:val="bottom"/>
            <w:gridSpan w:val="4"/>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4680" w:type="dxa"/>
            <w:vAlign w:val="bottom"/>
            <w:gridSpan w:val="7"/>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09"/>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8"/>
                <w:szCs w:val="18"/>
                <w:color w:val="auto"/>
              </w:rPr>
            </w:pPr>
          </w:p>
        </w:tc>
        <w:tc>
          <w:tcPr>
            <w:tcW w:w="5140" w:type="dxa"/>
            <w:vAlign w:val="bottom"/>
            <w:gridSpan w:val="9"/>
          </w:tcPr>
          <w:p>
            <w:pPr>
              <w:spacing w:after="0"/>
              <w:rPr>
                <w:sz w:val="18"/>
                <w:szCs w:val="18"/>
                <w:color w:val="auto"/>
              </w:rPr>
            </w:pPr>
          </w:p>
        </w:tc>
        <w:tc>
          <w:tcPr>
            <w:tcW w:w="35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r>
      <w:tr>
        <w:trPr>
          <w:trHeight w:val="210"/>
        </w:trPr>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Unaudited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8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par value data)</w:t>
            </w: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3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529,148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41,881</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705,165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783,340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118,553</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1,868,133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115,369</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187,372</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399,541</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405,290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849,215</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2,656,150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19,187</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4,149,899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3,613,917</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1,000 shares authorized; none issued and outstanding)</w:t>
            </w: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200,000 shares authorized, 88,857 shares issued and 23,295 and</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23,764 shares outstanding at March 31, 2026 and September 30, 2025, respectively)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1,331,120</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at cost (65,562 and 65,093 shares at March 31, 2026 and September 30, 2025,</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(8,298,729)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(7,537,908)</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4,975,647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4,552,816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(92,050)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(2,101,650)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(1,745,784)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1,868,133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80" w:type="dxa"/>
            <w:vAlign w:val="bottom"/>
          </w:tcPr>
          <w:p>
            <w:pPr>
              <w:spacing w:after="0"/>
              <w:rPr>
                <w:sz w:val="16"/>
                <w:szCs w:val="16"/>
                <w:color w:val="auto"/>
              </w:rPr>
            </w:pPr>
          </w:p>
        </w:tc>
        <w:tc>
          <w:tcPr>
            <w:tcW w:w="29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532,714</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174,975</w:t>
            </w: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90,182</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513,527</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425,176</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363,145</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315,143</w:t>
            </w:r>
          </w:p>
        </w:tc>
        <w:tc>
          <w:tcPr>
            <w:tcW w:w="0" w:type="dxa"/>
            <w:vAlign w:val="bottom"/>
          </w:tcPr>
          <w:p>
            <w:pPr>
              <w:spacing w:after="0"/>
              <w:rPr>
                <w:sz w:val="1"/>
                <w:szCs w:val="1"/>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305,496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23,676</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5"/>
                <w:szCs w:val="15"/>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1,262,018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(7,689,462)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4,711,189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(92,117)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(1,808,134)</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45,310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45,310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11,415</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(611,266)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(611,271)</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264,458</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(3,428)</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(8,298,729)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(2,101,650)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tcPr>
          <w:p>
            <w:pPr>
              <w:spacing w:after="0"/>
              <w:rPr>
                <w:sz w:val="14"/>
                <w:szCs w:val="1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0"/>
                <w:szCs w:val="10"/>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1,201,828</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(6,285,951)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4,053,398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(1,138,164)</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41,704</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10,396</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(207,010)</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162,615</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6,407</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(6,490,817)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4,216,013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(1,124,052)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80" w:type="dxa"/>
            <w:vAlign w:val="bottom"/>
          </w:tcPr>
          <w:p>
            <w:pPr>
              <w:spacing w:after="0"/>
              <w:rPr>
                <w:sz w:val="14"/>
                <w:szCs w:val="1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0"/>
                <w:szCs w:val="10"/>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23,764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1,331,120</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(7,537,908)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4,552,816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(1,745,784)</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89,579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89,579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(90,832)</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(773,943)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(773,949)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422,831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422,831</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(8,298,729)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4,975,647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(2,101,650)</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tcPr>
          <w:p>
            <w:pPr>
              <w:spacing w:after="0"/>
              <w:rPr>
                <w:sz w:val="14"/>
                <w:szCs w:val="14"/>
                <w:color w:val="auto"/>
              </w:rPr>
            </w:pPr>
          </w:p>
        </w:tc>
        <w:tc>
          <w:tcPr>
            <w:tcW w:w="18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4"/>
                <w:szCs w:val="14"/>
                <w:color w:val="auto"/>
              </w:rPr>
            </w:pPr>
          </w:p>
        </w:tc>
        <w:tc>
          <w:tcPr>
            <w:tcW w:w="11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2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5"/>
                <w:szCs w:val="5"/>
                <w:color w:val="auto"/>
              </w:rPr>
            </w:pPr>
          </w:p>
        </w:tc>
        <w:tc>
          <w:tcPr>
            <w:tcW w:w="1120" w:type="dxa"/>
            <w:vAlign w:val="bottom"/>
            <w:vMerge w:val="restart"/>
          </w:tcPr>
          <w:p>
            <w:pPr>
              <w:jc w:val="center"/>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4"/>
        </w:trPr>
        <w:tc>
          <w:tcPr>
            <w:tcW w:w="328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3280" w:type="dxa"/>
            <w:vAlign w:val="bottom"/>
            <w:vMerge w:val="continue"/>
          </w:tcPr>
          <w:p>
            <w:pPr>
              <w:spacing w:after="0"/>
              <w:rPr>
                <w:sz w:val="10"/>
                <w:szCs w:val="10"/>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0"/>
                <w:szCs w:val="10"/>
                <w:color w:val="auto"/>
              </w:rPr>
            </w:pPr>
          </w:p>
        </w:tc>
        <w:tc>
          <w:tcPr>
            <w:tcW w:w="112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73"/>
        </w:trPr>
        <w:tc>
          <w:tcPr>
            <w:tcW w:w="32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1,366,572</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(6,138,736)</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3,900,870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(91,629)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(962,679)</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82,358</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treasury stock under employee stock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(182,468)</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(366,759)</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315,143</w:t>
            </w: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w:t>
            </w:r>
          </w:p>
        </w:tc>
        <w:tc>
          <w:tcPr>
            <w:tcW w:w="0" w:type="dxa"/>
            <w:vAlign w:val="bottom"/>
          </w:tcPr>
          <w:p>
            <w:pPr>
              <w:spacing w:after="0"/>
              <w:rPr>
                <w:sz w:val="1"/>
                <w:szCs w:val="1"/>
                <w:color w:val="auto"/>
              </w:rPr>
            </w:pPr>
          </w:p>
        </w:tc>
      </w:tr>
      <w:tr>
        <w:trPr>
          <w:trHeight w:val="221"/>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24,352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1,251,784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(6,490,817)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4,216,013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(1,124,052)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20" w:type="dxa"/>
            <w:vAlign w:val="bottom"/>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315,143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82,358</w:t>
            </w:r>
          </w:p>
        </w:tc>
        <w:tc>
          <w:tcPr>
            <w:tcW w:w="0" w:type="dxa"/>
            <w:vAlign w:val="bottom"/>
          </w:tcPr>
          <w:p>
            <w:pPr>
              <w:spacing w:after="0"/>
              <w:rPr>
                <w:sz w:val="1"/>
                <w:szCs w:val="1"/>
                <w:color w:val="auto"/>
              </w:rPr>
            </w:pPr>
          </w:p>
        </w:tc>
      </w:tr>
      <w:tr>
        <w:trPr>
          <w:trHeight w:val="230"/>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on marketable securities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30"/>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(benefit from) doubtful accounts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29"/>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(gain) loss on sales and abandonment of property and equipment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(66,718)</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(43,213)</w:t>
            </w:r>
          </w:p>
        </w:tc>
        <w:tc>
          <w:tcPr>
            <w:tcW w:w="0" w:type="dxa"/>
            <w:vAlign w:val="bottom"/>
          </w:tcPr>
          <w:p>
            <w:pPr>
              <w:spacing w:after="0"/>
              <w:rPr>
                <w:sz w:val="1"/>
                <w:szCs w:val="1"/>
                <w:color w:val="auto"/>
              </w:rPr>
            </w:pPr>
          </w:p>
        </w:tc>
      </w:tr>
      <w:tr>
        <w:trPr>
          <w:trHeight w:val="230"/>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(28,183)</w:t>
            </w:r>
          </w:p>
        </w:tc>
        <w:tc>
          <w:tcPr>
            <w:tcW w:w="0" w:type="dxa"/>
            <w:vAlign w:val="bottom"/>
          </w:tcPr>
          <w:p>
            <w:pPr>
              <w:spacing w:after="0"/>
              <w:rPr>
                <w:sz w:val="1"/>
                <w:szCs w:val="1"/>
                <w:color w:val="auto"/>
              </w:rPr>
            </w:pPr>
          </w:p>
        </w:tc>
      </w:tr>
      <w:tr>
        <w:trPr>
          <w:trHeight w:val="230"/>
        </w:trPr>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(14,016)</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18,132</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268,915</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(13,638)</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revolving line of credit and term loans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revolving line of credit and term loans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senior notes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debt issuance costs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16,062</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(105,767)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(198,531)</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Repurchases of common stock, inclusive of excise tax</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(379,738)</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(289,244)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(247,723)</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150,667</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146,641</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paid for income taxes, net of refunds of $7,796 and $663 during the six-month periods ended</w:t>
            </w: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 and 2025, respectively</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92,213</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60,939</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Unsettled repurchases of common stock, inclusive of excise tax accrued, but not yet paid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Fair Isaac Corporation</w:t>
      </w:r>
    </w:p>
    <w:p>
      <w:pPr>
        <w:spacing w:after="0" w:line="121" w:lineRule="exact"/>
        <w:rPr>
          <w:sz w:val="20"/>
          <w:szCs w:val="20"/>
          <w:color w:val="auto"/>
        </w:rPr>
      </w:pPr>
    </w:p>
    <w:p>
      <w:pPr>
        <w:jc w:val="both"/>
        <w:ind w:firstLine="405"/>
        <w:spacing w:after="0" w:line="234" w:lineRule="auto"/>
        <w:rPr>
          <w:sz w:val="20"/>
          <w:szCs w:val="20"/>
          <w:color w:val="auto"/>
        </w:rPr>
      </w:pPr>
      <w:r>
        <w:rPr>
          <w:rFonts w:ascii="Times New Roman" w:cs="Times New Roman" w:eastAsia="Times New Roman" w:hAnsi="Times New Roman"/>
          <w:sz w:val="18"/>
          <w:szCs w:val="18"/>
          <w:color w:val="auto"/>
        </w:rPr>
        <w:t>Fair Isaac Corporation (NYSE: FICO) (together with its consolidated subsidiaries, the “Company,” which may also be referred to in this report as “we,” “us,” “our,” or “FICO”) is a global analytics software leader. 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 the standard measure of consumer credit risk in the United States (“U.S.”) — empowering them to increase financial literacy and manage their financial health.</w:t>
      </w:r>
    </w:p>
    <w:p>
      <w:pPr>
        <w:spacing w:after="0" w:line="3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interim condensed consolidated financial statements in accordance with the instructions to Form 10-Q and the applicable accounting guidance. Consequently, we have not necessarily included all information and footnotes required for audited financial statements. In our opinion, the accompanying unaudited interim condensed consolidated financial statements reflect all adjustments (consisting only of normal recurring adjustments, except as otherwise indicated) necessary for a fair presentation of our financial position and results of operations. These unaudited condensed consolidated financial statements and notes thereto should be read in conjunction with our audited consolidated financial statements and notes thereto presented in our Annual Report on Form 10-K for the fiscal year ended September 30, 2025. The interim financial information contained in this report is not necessarily indicative of the results to be expected for any other interim period or for the entire fiscal year.</w:t>
      </w:r>
    </w:p>
    <w:p>
      <w:pPr>
        <w:spacing w:after="0" w:line="13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FICO and its subsidiaries. All intercompany accounts and transactions have been eliminated.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make estimates and assumptions that affect the amounts reported in the condensed consolidated financial statements and the disclosures made in the accompanying notes. For example, we use estimates in determining the appropriate levels of various accruals; variable considerations included in the transaction price and standalone selling price of each performance obligation for our customer contracts; labor hours in connection with fixed-fee service contracts; the amount of our tax provision; and the realizability of deferred tax assets. We also use estimates in determining the remaining economic lives and carrying values of property and equipment and other long-lived assets. In addition, we use assumptions to estimate the fair value of reporting units and share-based compensation. Actual results may differ from our estimates.</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740): Improvements to Income Tax Disclosures</w:t>
      </w:r>
      <w:r>
        <w:rPr>
          <w:rFonts w:ascii="Times New Roman" w:cs="Times New Roman" w:eastAsia="Times New Roman" w:hAnsi="Times New Roman"/>
          <w:sz w:val="18"/>
          <w:szCs w:val="18"/>
          <w:color w:val="auto"/>
        </w:rPr>
        <w:t>” (“ASU 2023-09”). ASU 2023-09 requires disaggregated information about a reporting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reconciliation as well as disaggregated information on income tax paid. The standard is effective for fiscal years beginning after December 15, 2024, which means that it will be effective for our annual periods beginning with the fiscal year ending September 30, 2026. We are currently evaluating the impact that the updated standard will have on our disclosures within our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ASU 2024-03 requires disaggregated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income statement expenses an entity presents on the face of the income statement into specified categories in disclosures within the footnotes to the financial statements, including employee compensation, depreciation, intangible asset amortization, and certain other expenses, when applicable. The standard is effective for fiscal years beginning after December 15, 2026, and interim periods within fiscal years beginning after December 15, 2027, which means that it will be effective for our annual periods beginning with the fiscal year ending September 30, 2028, and our interim periods beginning October 1, 2028. Early adoption is permitted. We are currently evaluating the impact that the updated standard will have on our disclosures within our consolidated financial statements.</w:t>
      </w:r>
    </w:p>
    <w:p>
      <w:pPr>
        <w:spacing w:after="0" w:line="13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ASU 2025-06 removes references to prescriptive and sequential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project stages, and instead requires capitalizing software costs when both of the following occur: (1) management has authorized and committed to funding the software project, and (2) it is probable that the project will be completed and the software will be used to perform the function intended, with consideration as to when significant uncertainty associated with the development activities of the software has been resolved. Additionally, ASU 2025-06 clarifies the disclosure requirements for capitalized internal-use software costs. The standard is effective for fiscal years and interim periods within those fiscal years beginning after December 15, 2027, which means that it will be effective for our fiscal years beginning October 1, 2028. Early adoption is permitted. We are currently evaluating the impact that the updated standard will have on our consolidated financial statements and related disclosures.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pronouncements will have a significant effect on our consolidated financial statements.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the sale of an asset or paid to transfer a liability (an exit price) in the principal or most advantageous market for the asset or liability in an orderly transaction between market participants on the measurement date. The accounting guidance establishes a three-level hierarchy for disclosure that is based on the extent and level of judgment used to estimate the fair value of assets and liabilities.</w:t>
      </w:r>
    </w:p>
    <w:p>
      <w:pPr>
        <w:spacing w:after="0" w:line="122"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uses unadjusted quoted prices that are available in active markets for identical assets or liabilities. Our Level 1 assets were comprised of certain marketable securities and our Level 1 liabilities included senior notes as of March 31, 2026 and September 30, 2025.</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uses inputs other than quoted prices included in Level 1 that are either directly or indirectly observable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 We did not have any assets or liabilities that are valued using inputs identified under a Level 2 hierarchy as of March 31, 2026 and September 30, 2025.</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uses one or more significant inputs that are unobservable and supported by little or no market activity, and that reflect the use of significant management judgment. Level 3 assets and liabilities include those whose fair value measurements are determined using pricing models, discounted cash flow methodologies or similar valuation techniques, and significant management judgment or estimation. We did not value any assets or liabilities using inputs identified under a Level 3 hierarchy as of March 31, 2026 and September 30,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represent financial assets that we measured at fair value on a recurring basis at March 31, 2026 and September 30,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3"/>
                <w:szCs w:val="13"/>
                <w:color w:val="auto"/>
              </w:rPr>
            </w:pPr>
          </w:p>
        </w:tc>
        <w:tc>
          <w:tcPr>
            <w:tcW w:w="1460" w:type="dxa"/>
            <w:vAlign w:val="bottom"/>
            <w:vMerge w:val="restart"/>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4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53,046</w:t>
            </w:r>
          </w:p>
        </w:tc>
        <w:tc>
          <w:tcPr>
            <w:tcW w:w="120" w:type="dxa"/>
            <w:vAlign w:val="bottom"/>
          </w:tcPr>
          <w:p>
            <w:pPr>
              <w:spacing w:after="0"/>
              <w:rPr>
                <w:sz w:val="24"/>
                <w:szCs w:val="24"/>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53,046</w:t>
            </w:r>
          </w:p>
        </w:tc>
        <w:tc>
          <w:tcPr>
            <w:tcW w:w="0" w:type="dxa"/>
            <w:vAlign w:val="bottom"/>
          </w:tcPr>
          <w:p>
            <w:pPr>
              <w:spacing w:after="0"/>
              <w:rPr>
                <w:sz w:val="1"/>
                <w:szCs w:val="1"/>
                <w:color w:val="auto"/>
              </w:rPr>
            </w:pPr>
          </w:p>
        </w:tc>
      </w:tr>
      <w:tr>
        <w:trPr>
          <w:trHeight w:val="207"/>
        </w:trPr>
        <w:tc>
          <w:tcPr>
            <w:tcW w:w="2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September</w:t>
            </w:r>
          </w:p>
        </w:tc>
        <w:tc>
          <w:tcPr>
            <w:tcW w:w="0" w:type="dxa"/>
            <w:vAlign w:val="bottom"/>
          </w:tcPr>
          <w:p>
            <w:pPr>
              <w:spacing w:after="0"/>
              <w:rPr>
                <w:sz w:val="1"/>
                <w:szCs w:val="1"/>
                <w:color w:val="auto"/>
              </w:rPr>
            </w:pPr>
          </w:p>
        </w:tc>
      </w:tr>
      <w:tr>
        <w:trPr>
          <w:trHeight w:val="148"/>
        </w:trPr>
        <w:tc>
          <w:tcPr>
            <w:tcW w:w="7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2"/>
                <w:szCs w:val="12"/>
                <w:color w:val="auto"/>
              </w:rPr>
            </w:pPr>
          </w:p>
        </w:tc>
        <w:tc>
          <w:tcPr>
            <w:tcW w:w="17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Instruments</w:t>
            </w:r>
          </w:p>
        </w:tc>
        <w:tc>
          <w:tcPr>
            <w:tcW w:w="1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0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30, 2025</w:t>
            </w: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Cash equivalents </w:t>
            </w:r>
            <w:r>
              <w:rPr>
                <w:rFonts w:ascii="Times New Roman" w:cs="Times New Roman" w:eastAsia="Times New Roman" w:hAnsi="Times New Roman"/>
                <w:sz w:val="23"/>
                <w:szCs w:val="23"/>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Marketable securities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23"/>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54,631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spacing w:after="0"/>
              <w:rPr>
                <w:sz w:val="20"/>
                <w:szCs w:val="20"/>
                <w:color w:val="auto"/>
              </w:rPr>
            </w:pPr>
          </w:p>
        </w:tc>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40" w:hanging="332"/>
        <w:spacing w:after="0" w:line="266" w:lineRule="auto"/>
        <w:tabs>
          <w:tab w:leader="none" w:pos="29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securities held under a non-qualified deferred compensation plan for certain officers and senior management employees, which are distributed upon separation from service or at a specific date while still employed. Included in marketable securities on our condensed consolidated balance sheets at March 31, 2026 and September 30, 2025.</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cash and cash equivalents on our condensed consolidated balance sheet at September 30, 2025. Not included in this table are cash deposits of $134.1 million at September 30, 2025.</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6 for the fair value of our senior notes.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during the quarters and six-month periods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Derivative Financial Instruments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manage risks caused by fluctuations in foreign exchange rates. The primary objective of our derivative instruments is to protect the value of foreign-currency-denominated receivables and cash balances from the effects of volatility in foreign exchange rates that might occur prior to conversion to their functional currencies. We principally utilize foreign currency forward contracts, which enable us to buy and sell foreign currencies in the future at fixed exchange rates and economically offset changes in foreign exchange rates. We routinely enter into contracts to offset exposures denominated in the British pound, Euro, and Singapore dollar.</w:t>
      </w:r>
    </w:p>
    <w:p>
      <w:pPr>
        <w:spacing w:after="0" w:line="1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Foreign-currency-denominated receivables and cash balances are remeasured at foreign exchange rates in effect on the balance sheet date with the effects of changes in foreign exchange rates reported in other expense, net. The forward contracts are not designated as hedges and are marked to market through other expense, net. Fair value changes in the forward contracts help mitigate the changes in the value of the remeasured receivable and cash balances attributable to changes in foreign exchange rates. The forward contracts are short-term in nature and typically have average maturities at inception of less than three months.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March 31, 2026 and September 30,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ind w:left="640"/>
              <w:spacing w:after="0" w:line="131"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8"/>
        </w:trPr>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6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tcPr>
          <w:p>
            <w:pPr>
              <w:ind w:left="66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USD</w:t>
            </w: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6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6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6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60" w:type="dxa"/>
            <w:vAlign w:val="bottom"/>
            <w:shd w:val="clear" w:color="auto" w:fill="CCEEFF"/>
          </w:tcPr>
          <w:p>
            <w:pPr>
              <w:spacing w:after="0"/>
              <w:rPr>
                <w:sz w:val="19"/>
                <w:szCs w:val="19"/>
                <w:color w:val="auto"/>
              </w:rPr>
            </w:pP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March 31, 2026 and September 30, 2025; therefore, their fair value was $0 on each of these dates.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Gains (losses) on derivative financial instruments were recorded in our condensed consolidated statements of income and comprehensive income as a component of other expense, net, and consisted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4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6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0" w:type="dxa"/>
            <w:vAlign w:val="bottom"/>
          </w:tcPr>
          <w:p>
            <w:pPr>
              <w:spacing w:after="0"/>
              <w:rPr>
                <w:sz w:val="1"/>
                <w:szCs w:val="1"/>
                <w:color w:val="auto"/>
              </w:rPr>
            </w:pPr>
          </w:p>
        </w:tc>
      </w:tr>
      <w:tr>
        <w:trPr>
          <w:trHeight w:val="23"/>
        </w:trPr>
        <w:tc>
          <w:tcPr>
            <w:tcW w:w="58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5820" w:type="dxa"/>
            <w:vAlign w:val="bottom"/>
            <w:gridSpan w:val="2"/>
            <w:shd w:val="clear" w:color="auto" w:fill="CCEEFF"/>
          </w:tcPr>
          <w:p>
            <w:pPr>
              <w:jc w:val="right"/>
              <w:ind w:right="1928"/>
              <w:spacing w:after="0"/>
              <w:rPr>
                <w:sz w:val="20"/>
                <w:szCs w:val="20"/>
                <w:color w:val="auto"/>
              </w:rPr>
            </w:pPr>
            <w:r>
              <w:rPr>
                <w:rFonts w:ascii="Times New Roman" w:cs="Times New Roman" w:eastAsia="Times New Roman" w:hAnsi="Times New Roman"/>
                <w:sz w:val="18"/>
                <w:szCs w:val="18"/>
                <w:color w:val="auto"/>
              </w:rPr>
              <w:t>Gains (losses) on foreign currency forward contracts</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80" w:type="dxa"/>
            <w:vAlign w:val="bottom"/>
            <w:vMerge w:val="restart"/>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24"/>
                <w:szCs w:val="24"/>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to goodwill during the six months ended March 31, 2026, both in total and as allocated to our segments. As of March 31, 2026, there was no accumulated goodwill impairment loss.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40" w:type="dxa"/>
            <w:vAlign w:val="bottom"/>
          </w:tcPr>
          <w:p>
            <w:pPr>
              <w:spacing w:after="0"/>
              <w:rPr>
                <w:sz w:val="16"/>
                <w:szCs w:val="16"/>
                <w:color w:val="auto"/>
              </w:rPr>
            </w:pPr>
          </w:p>
        </w:tc>
        <w:tc>
          <w:tcPr>
            <w:tcW w:w="14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0"/>
        </w:trPr>
        <w:tc>
          <w:tcPr>
            <w:tcW w:w="5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636,692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783,340</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16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781,390</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Composition of Certain Financial Statement Captions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composition of property and equipment, net at March 31, 2026 and September 30,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420" w:type="dxa"/>
            <w:vAlign w:val="bottom"/>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w:t>
            </w:r>
          </w:p>
        </w:tc>
        <w:tc>
          <w:tcPr>
            <w:tcW w:w="3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Internal-use software</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47,151</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(45,572)</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gridSpan w:val="2"/>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38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composition of other accrued liabilities at March 31, 2026 and September 30, 2025:</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47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24"/>
                <w:szCs w:val="24"/>
                <w:color w:val="auto"/>
              </w:rPr>
            </w:pPr>
          </w:p>
        </w:tc>
        <w:tc>
          <w:tcPr>
            <w:tcW w:w="1420" w:type="dxa"/>
            <w:vAlign w:val="bottom"/>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accrued liabilities:</w:t>
            </w:r>
          </w:p>
        </w:tc>
        <w:tc>
          <w:tcPr>
            <w:tcW w:w="2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3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61,118</w:t>
            </w:r>
          </w:p>
        </w:tc>
        <w:tc>
          <w:tcPr>
            <w:tcW w:w="0" w:type="dxa"/>
            <w:vAlign w:val="bottom"/>
          </w:tcPr>
          <w:p>
            <w:pPr>
              <w:spacing w:after="0"/>
              <w:rPr>
                <w:sz w:val="1"/>
                <w:szCs w:val="1"/>
                <w:color w:val="auto"/>
              </w:rPr>
            </w:pPr>
          </w:p>
        </w:tc>
      </w:tr>
      <w:tr>
        <w:trPr>
          <w:trHeight w:val="223"/>
        </w:trPr>
        <w:tc>
          <w:tcPr>
            <w:tcW w:w="4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98,533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114,618</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Debt</w:t>
            </w: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720" w:type="dxa"/>
            <w:vAlign w:val="bottom"/>
            <w:vMerge w:val="continue"/>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following table represents our debt at carrying value at March 31, 2026 and September 30, 2025:</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4"/>
                <w:szCs w:val="14"/>
                <w:color w:val="auto"/>
              </w:rPr>
            </w:pPr>
          </w:p>
        </w:tc>
        <w:tc>
          <w:tcPr>
            <w:tcW w:w="1420" w:type="dxa"/>
            <w:vAlign w:val="bottom"/>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5"/>
        </w:trPr>
        <w:tc>
          <w:tcPr>
            <w:tcW w:w="47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maturities on debt:</w:t>
            </w:r>
          </w:p>
        </w:tc>
        <w:tc>
          <w:tcPr>
            <w:tcW w:w="2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2018 Senior Notes</w:t>
            </w:r>
          </w:p>
        </w:tc>
        <w:tc>
          <w:tcPr>
            <w:tcW w:w="31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268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399,541</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2019 Senior Notes and the 2021 Senior Notes</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30"/>
        </w:trPr>
        <w:tc>
          <w:tcPr>
            <w:tcW w:w="4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2025 Senior Notes</w:t>
            </w:r>
          </w:p>
        </w:tc>
        <w:tc>
          <w:tcPr>
            <w:tcW w:w="2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2026 Senior Notes</w:t>
            </w:r>
          </w:p>
        </w:tc>
        <w:tc>
          <w:tcPr>
            <w:tcW w:w="26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Less: debt issuance costs</w:t>
            </w:r>
          </w:p>
        </w:tc>
        <w:tc>
          <w:tcPr>
            <w:tcW w:w="26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Long-term debt</w:t>
            </w:r>
          </w:p>
        </w:tc>
        <w:tc>
          <w:tcPr>
            <w:tcW w:w="26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3,639,063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2,656,150</w:t>
            </w:r>
          </w:p>
        </w:tc>
        <w:tc>
          <w:tcPr>
            <w:tcW w:w="0" w:type="dxa"/>
            <w:vAlign w:val="bottom"/>
          </w:tcPr>
          <w:p>
            <w:pPr>
              <w:spacing w:after="0"/>
              <w:rPr>
                <w:sz w:val="1"/>
                <w:szCs w:val="1"/>
                <w:color w:val="auto"/>
              </w:rPr>
            </w:pPr>
          </w:p>
        </w:tc>
      </w:tr>
      <w:tr>
        <w:trPr>
          <w:trHeight w:val="223"/>
        </w:trPr>
        <w:tc>
          <w:tcPr>
            <w:tcW w:w="4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debt</w:t>
            </w:r>
          </w:p>
        </w:tc>
        <w:tc>
          <w:tcPr>
            <w:tcW w:w="26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3,639,063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3,055,691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8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47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Revolving Line of Credit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a $1.0 billion unsecured revolving line of credit with a syndicate of banks that matures on May 13, 2030.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we had $265.0 million in borrowings outstanding under the revolving line of credit at a weighted-average interest rate of 4.931%, and we were in compliance with all financial covenants under the credit agreement.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w:t>
      </w:r>
    </w:p>
    <w:p>
      <w:pPr>
        <w:spacing w:after="0" w:line="12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December 6, 2019, we issued $350 million of senior notes in a private offering to qualified institutional investors (the “2019 Senior Notes”). The 2019 Senior Notes require interest payments semi-annually at a rate of 4.00% per annum and will mature on June 15, 2028.</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May 13, 2025, we issued $1.5 billion of senior notes in a private offering to qualified institutional investors (the “2025 Senior Notes”). The 2025 Senior Notes require interest payments semi-annually at a rate of 6.00% per annum and will mature on May 15, 2033.</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indentures for the Senior Notes contain certain covenants typical of unsecured obligations and we were in compliance as of March 31, 2026.</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face values and fair values for the Senior Notes at March 31, 2026 and September 30,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27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r>
      <w:tr>
        <w:trPr>
          <w:trHeight w:val="196"/>
        </w:trPr>
        <w:tc>
          <w:tcPr>
            <w:tcW w:w="7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5160" w:type="dxa"/>
            <w:vAlign w:val="bottom"/>
            <w:gridSpan w:val="2"/>
            <w:shd w:val="clear" w:color="auto" w:fill="CCEEFF"/>
          </w:tcPr>
          <w:p>
            <w:pPr>
              <w:jc w:val="right"/>
              <w:ind w:right="3370"/>
              <w:spacing w:after="0"/>
              <w:rPr>
                <w:sz w:val="20"/>
                <w:szCs w:val="20"/>
                <w:color w:val="auto"/>
              </w:rPr>
            </w:pPr>
            <w:r>
              <w:rPr>
                <w:rFonts w:ascii="Times New Roman" w:cs="Times New Roman" w:eastAsia="Times New Roman" w:hAnsi="Times New Roman"/>
                <w:sz w:val="18"/>
                <w:szCs w:val="18"/>
                <w:color w:val="auto"/>
              </w:rPr>
              <w:t>The 2018 Senior Notes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c>
          <w:tcPr>
            <w:tcW w:w="20" w:type="dxa"/>
            <w:vAlign w:val="bottom"/>
          </w:tcPr>
          <w:p>
            <w:pPr>
              <w:spacing w:after="0"/>
              <w:rPr>
                <w:sz w:val="20"/>
                <w:szCs w:val="20"/>
                <w:color w:val="auto"/>
              </w:rPr>
            </w:pP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w w:val="99"/>
              </w:rPr>
              <w:t>Senior Notes and the 2021 Senior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875,250</w:t>
            </w:r>
          </w:p>
        </w:tc>
        <w:tc>
          <w:tcPr>
            <w:tcW w:w="20" w:type="dxa"/>
            <w:vAlign w:val="bottom"/>
          </w:tcPr>
          <w:p>
            <w:pPr>
              <w:spacing w:after="0"/>
              <w:rPr>
                <w:sz w:val="19"/>
                <w:szCs w:val="19"/>
                <w:color w:val="auto"/>
              </w:rPr>
            </w:pPr>
          </w:p>
        </w:tc>
      </w:tr>
      <w:tr>
        <w:trPr>
          <w:trHeight w:val="230"/>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2025</w:t>
            </w:r>
          </w:p>
        </w:tc>
        <w:tc>
          <w:tcPr>
            <w:tcW w:w="4420" w:type="dxa"/>
            <w:vAlign w:val="bottom"/>
            <w:shd w:val="clear" w:color="auto" w:fill="CCEEFF"/>
          </w:tcPr>
          <w:p>
            <w:pPr>
              <w:jc w:val="right"/>
              <w:ind w:right="337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c>
          <w:tcPr>
            <w:tcW w:w="20" w:type="dxa"/>
            <w:vAlign w:val="bottom"/>
          </w:tcPr>
          <w:p>
            <w:pPr>
              <w:spacing w:after="0"/>
              <w:rPr>
                <w:sz w:val="19"/>
                <w:szCs w:val="19"/>
                <w:color w:val="auto"/>
              </w:rPr>
            </w:pP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2026</w:t>
            </w:r>
          </w:p>
        </w:tc>
        <w:tc>
          <w:tcPr>
            <w:tcW w:w="4420" w:type="dxa"/>
            <w:vAlign w:val="bottom"/>
          </w:tcPr>
          <w:p>
            <w:pPr>
              <w:jc w:val="right"/>
              <w:ind w:right="337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4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2,793,500</w:t>
            </w:r>
          </w:p>
        </w:tc>
        <w:tc>
          <w:tcPr>
            <w:tcW w:w="20" w:type="dxa"/>
            <w:vAlign w:val="bottom"/>
          </w:tcPr>
          <w:p>
            <w:pPr>
              <w:spacing w:after="0"/>
              <w:rPr>
                <w:sz w:val="21"/>
                <w:szCs w:val="2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4"/>
        </w:trPr>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40" w:right="7900" w:hanging="232"/>
        <w:spacing w:after="0" w:line="377" w:lineRule="auto"/>
        <w:tabs>
          <w:tab w:leader="none" w:pos="19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from Contracts with Customers </w:t>
      </w:r>
      <w:r>
        <w:rPr>
          <w:rFonts w:ascii="Times New Roman" w:cs="Times New Roman" w:eastAsia="Times New Roman" w:hAnsi="Times New Roman"/>
          <w:sz w:val="18"/>
          <w:szCs w:val="18"/>
          <w:b w:val="1"/>
          <w:bCs w:val="1"/>
          <w:i w:val="1"/>
          <w:iCs w:val="1"/>
          <w:color w:val="auto"/>
        </w:rPr>
        <w:t>Disaggregation of Revenue</w:t>
      </w:r>
    </w:p>
    <w:p>
      <w:pPr>
        <w:spacing w:after="0" w:line="1" w:lineRule="exact"/>
        <w:rPr>
          <w:rFonts w:ascii="Times New Roman" w:cs="Times New Roman" w:eastAsia="Times New Roman" w:hAnsi="Times New Roman"/>
          <w:sz w:val="18"/>
          <w:szCs w:val="18"/>
          <w:b w:val="1"/>
          <w:bCs w:val="1"/>
          <w:color w:val="auto"/>
        </w:rPr>
      </w:pPr>
    </w:p>
    <w:p>
      <w:pPr>
        <w:ind w:left="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information about disaggregated revenue by primary geographical market: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 2026</w:t>
            </w:r>
          </w:p>
        </w:tc>
        <w:tc>
          <w:tcPr>
            <w:tcW w:w="16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2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470,973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151,113</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622,086</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20,770</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3"/>
        </w:trPr>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474,973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216,704</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9"/>
        </w:trPr>
        <w:tc>
          <w:tcPr>
            <w:tcW w:w="224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$565.9 million for the quarter ended March 31, 2026.</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 March 31, 2025</w:t>
            </w:r>
          </w:p>
        </w:tc>
        <w:tc>
          <w:tcPr>
            <w:tcW w:w="16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2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291,982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137,020</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22,943</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26,333</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297,039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9"/>
        </w:trPr>
        <w:tc>
          <w:tcPr>
            <w:tcW w:w="2240" w:type="dxa"/>
            <w:vAlign w:val="bottom"/>
            <w:tcBorders>
              <w:bottom w:val="single" w:sz="8" w:color="auto"/>
            </w:tcBorders>
          </w:tcPr>
          <w:p>
            <w:pPr>
              <w:spacing w:after="0"/>
              <w:rPr>
                <w:sz w:val="14"/>
                <w:szCs w:val="14"/>
                <w:color w:val="auto"/>
              </w:rPr>
            </w:pP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$383.5 million for the quarter ended March 31, 2025.</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6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2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06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773,221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302,078</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1,075,299</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39,931</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40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779,507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424,129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1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Americas revenue included U.S. revenue of $967.8 million for the six months ended March 31, 2026.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1680" w:type="dxa"/>
            <w:vAlign w:val="bottom"/>
          </w:tcPr>
          <w:p>
            <w:pPr>
              <w:spacing w:after="0"/>
              <w:rPr>
                <w:sz w:val="16"/>
                <w:szCs w:val="16"/>
                <w:color w:val="auto"/>
              </w:rPr>
            </w:pPr>
          </w:p>
        </w:tc>
      </w:tr>
      <w:tr>
        <w:trPr>
          <w:trHeight w:val="23"/>
        </w:trPr>
        <w:tc>
          <w:tcPr>
            <w:tcW w:w="2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6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6"/>
        </w:trPr>
        <w:tc>
          <w:tcPr>
            <w:tcW w:w="2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100" w:type="dxa"/>
            <w:vAlign w:val="bottom"/>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524,948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283,929</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808,877</w:t>
            </w: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79,759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50,067</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1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532,714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405,989</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3"/>
        </w:trPr>
        <w:tc>
          <w:tcPr>
            <w:tcW w:w="2240" w:type="dxa"/>
            <w:vAlign w:val="bottom"/>
            <w:tcBorders>
              <w:bottom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117" w:lineRule="exact"/>
        <w:rPr>
          <w:sz w:val="20"/>
          <w:szCs w:val="20"/>
          <w:color w:val="auto"/>
        </w:rPr>
      </w:pPr>
    </w:p>
    <w:p>
      <w:pPr>
        <w:ind w:left="5540" w:right="3680" w:hanging="5532"/>
        <w:spacing w:after="0" w:line="955"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revenue included U.S. revenue of $714.5 million for the six months ended March 31, 2025.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deployment method:</w:t>
      </w: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2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software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165,135</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SaaS software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101,526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204,702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8"/>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product features: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2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software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56,464</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160,820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110,286</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2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Non-platform software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259,551</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8"/>
        </w:trPr>
        <w:tc>
          <w:tcPr>
            <w:tcW w:w="2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on-premises and SaaS software within our Software segment by timing of revenue recognition: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2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7"/>
        </w:trPr>
        <w:tc>
          <w:tcPr>
            <w:tcW w:w="216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Software recognized at a</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8"/>
        </w:trPr>
        <w:tc>
          <w:tcPr>
            <w:tcW w:w="216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point in time </w:t>
            </w:r>
            <w:r>
              <w:rPr>
                <w:rFonts w:ascii="Times New Roman" w:cs="Times New Roman" w:eastAsia="Times New Roman" w:hAnsi="Times New Roman"/>
                <w:sz w:val="23"/>
                <w:szCs w:val="23"/>
                <w:color w:val="auto"/>
                <w:vertAlign w:val="superscript"/>
              </w:rPr>
              <w:t>(1)</w:t>
            </w: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48,417</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181"/>
        </w:trPr>
        <w:tc>
          <w:tcPr>
            <w:tcW w:w="21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Software recognized over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2160" w:type="dxa"/>
            <w:vAlign w:val="bottom"/>
            <w:tcBorders>
              <w:bottom w:val="single" w:sz="8" w:color="CCEEFF"/>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contract term </w:t>
            </w:r>
            <w:r>
              <w:rPr>
                <w:rFonts w:ascii="Times New Roman" w:cs="Times New Roman" w:eastAsia="Times New Roman" w:hAnsi="Times New Roman"/>
                <w:sz w:val="23"/>
                <w:szCs w:val="23"/>
                <w:color w:val="auto"/>
                <w:vertAlign w:val="superscript"/>
              </w:rPr>
              <w:t>(2)</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158,217</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347,383</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321,420</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8"/>
        </w:trPr>
        <w:tc>
          <w:tcPr>
            <w:tcW w:w="2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r>
    </w:tbl>
    <w:p>
      <w:pPr>
        <w:spacing w:after="0" w:line="130" w:lineRule="exact"/>
        <w:rPr>
          <w:sz w:val="20"/>
          <w:szCs w:val="20"/>
          <w:color w:val="auto"/>
        </w:rPr>
      </w:pPr>
    </w:p>
    <w:p>
      <w:pPr>
        <w:ind w:left="340" w:right="20" w:hanging="332"/>
        <w:spacing w:after="0" w:line="246"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license portion of our on-premises subscription software and perpetual licenses, both of which are recognized when the software is made available to the customer, or at the start of the subscription.</w:t>
      </w:r>
    </w:p>
    <w:p>
      <w:pPr>
        <w:ind w:left="340" w:hanging="332"/>
        <w:spacing w:after="0" w:line="258"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maintenance portion and usage-based fees of our on-premises subscription software, maintenance revenue on perpetual licenses, as well as SaaS revenue.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Scores segment by distribution method: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10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0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r>
      <w:tr>
        <w:trPr>
          <w:trHeight w:val="23"/>
        </w:trPr>
        <w:tc>
          <w:tcPr>
            <w:tcW w:w="2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2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Business-to-business Scores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242,494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666,242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424,885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184"/>
        </w:trPr>
        <w:tc>
          <w:tcPr>
            <w:tcW w:w="21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Business-to-consumer</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4"/>
        </w:trPr>
        <w:tc>
          <w:tcPr>
            <w:tcW w:w="2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Scores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54,545</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113,265</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107,829</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48"/>
        </w:trPr>
        <w:tc>
          <w:tcPr>
            <w:tcW w:w="2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779,507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derive a substantial portion of revenues from our contracts with the three major consumer reporting agencies, TransUnion, Equifax and Experian. Revenues collectively generated by agreements with these customers accounted for 64% and 52% of our total revenues in the quarters ended March 31, 2026 and 2025, respectively, with all three consumer reporting agencies each contributing more than 10% of our total revenues in each of the quarters ended March 31, 2026 and 2025. Revenues collectively generated by agreements with these customers accounted for 58% and 49% of our total revenues in the six months ended March 31, 2026 and 2025, respectively, with all three consumer reporting agencies each contributing more than 10% of our total revenues in each of the six months ended March 31, 2026 and 2025. At March 31, 2026 and September 30, 2025, three and two customers, respectively, accounted for 10% or more of total consolidated receivables.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record a receivable when we satisfy a performance obligation prior to invoicing if only the passage of time is required before payment is due or if we have an unconditional right to consideration before we satisfy a performance obligation. We record a contract asset when we satisfy a performance obligation prior to invoicing but our right to consideration is conditional. We record deferred revenue when the payment is made or due before we satisfy a performance obligation.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Receivables at March 31, 2026 and September 30, 2025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19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gridSpan w:val="4"/>
          </w:tcPr>
          <w:p>
            <w:pPr>
              <w:spacing w:after="0"/>
              <w:rPr>
                <w:sz w:val="2"/>
                <w:szCs w:val="2"/>
                <w:color w:val="auto"/>
              </w:rPr>
            </w:pPr>
          </w:p>
        </w:tc>
      </w:tr>
      <w:tr>
        <w:trPr>
          <w:trHeight w:val="190"/>
        </w:trPr>
        <w:tc>
          <w:tcPr>
            <w:tcW w:w="192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60" w:type="dxa"/>
            <w:vAlign w:val="bottom"/>
            <w:gridSpan w:val="4"/>
          </w:tcPr>
          <w:p>
            <w:pPr>
              <w:jc w:val="right"/>
              <w:ind w:right="13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355,327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327,721</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Unbilled</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246,600</w:t>
            </w:r>
          </w:p>
        </w:tc>
      </w:tr>
      <w:tr>
        <w:trPr>
          <w:trHeight w:val="223"/>
        </w:trPr>
        <w:tc>
          <w:tcPr>
            <w:tcW w:w="1920" w:type="dxa"/>
            <w:vAlign w:val="bottom"/>
            <w:shd w:val="clear" w:color="auto" w:fill="CCEEFF"/>
          </w:tcPr>
          <w:p>
            <w:pPr>
              <w:spacing w:after="0"/>
              <w:rPr>
                <w:sz w:val="19"/>
                <w:szCs w:val="19"/>
                <w:color w:val="auto"/>
              </w:rPr>
            </w:pPr>
          </w:p>
        </w:tc>
        <w:tc>
          <w:tcPr>
            <w:tcW w:w="5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574,321</w:t>
            </w:r>
          </w:p>
        </w:tc>
      </w:tr>
      <w:tr>
        <w:trPr>
          <w:trHeight w:val="230"/>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(7,964)</w:t>
            </w:r>
          </w:p>
        </w:tc>
      </w:tr>
      <w:tr>
        <w:trPr>
          <w:trHeight w:val="22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566,357</w:t>
            </w:r>
          </w:p>
        </w:tc>
      </w:tr>
      <w:tr>
        <w:trPr>
          <w:trHeight w:val="230"/>
        </w:trPr>
        <w:tc>
          <w:tcPr>
            <w:tcW w:w="736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Less: long-term receivables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(37,209)</w:t>
            </w:r>
          </w:p>
        </w:tc>
      </w:tr>
      <w:tr>
        <w:trPr>
          <w:trHeight w:val="248"/>
        </w:trPr>
        <w:tc>
          <w:tcPr>
            <w:tcW w:w="7360" w:type="dxa"/>
            <w:vAlign w:val="bottom"/>
            <w:tcBorders>
              <w:bottom w:val="single" w:sz="8" w:color="CCEEFF"/>
            </w:tcBorders>
            <w:gridSpan w:val="2"/>
            <w:shd w:val="clear" w:color="auto" w:fill="CCEEFF"/>
          </w:tcPr>
          <w:p>
            <w:pPr>
              <w:ind w:left="200"/>
              <w:spacing w:after="0" w:line="223" w:lineRule="exact"/>
              <w:rPr>
                <w:sz w:val="20"/>
                <w:szCs w:val="20"/>
                <w:color w:val="auto"/>
              </w:rPr>
            </w:pPr>
            <w:r>
              <w:rPr>
                <w:rFonts w:ascii="Times New Roman" w:cs="Times New Roman" w:eastAsia="Times New Roman" w:hAnsi="Times New Roman"/>
                <w:sz w:val="18"/>
                <w:szCs w:val="18"/>
                <w:color w:val="auto"/>
              </w:rPr>
              <w:t xml:space="preserve">Short-term receivables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529,148</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1920" w:type="dxa"/>
            <w:vAlign w:val="bottom"/>
            <w:tcBorders>
              <w:bottom w:val="single" w:sz="8" w:color="auto"/>
            </w:tcBorders>
          </w:tcPr>
          <w:p>
            <w:pPr>
              <w:spacing w:after="0"/>
              <w:rPr>
                <w:sz w:val="13"/>
                <w:szCs w:val="13"/>
                <w:color w:val="auto"/>
              </w:rPr>
            </w:pPr>
          </w:p>
        </w:tc>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184" w:lineRule="exact"/>
        <w:rPr>
          <w:sz w:val="20"/>
          <w:szCs w:val="20"/>
          <w:color w:val="auto"/>
        </w:rPr>
      </w:pPr>
    </w:p>
    <w:p>
      <w:pPr>
        <w:ind w:firstLine="8"/>
        <w:spacing w:after="0" w:line="282" w:lineRule="auto"/>
        <w:tabs>
          <w:tab w:leader="none" w:pos="2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receivables and long-term receivables were recorded in accounts receivable, net and other assets, respectively, within the accompanying condensed consolidated balance sheets.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Deferred revenue primarily relates to our maintenance and SaaS contracts billed annually in advance and generally recognized ratably over the term of the service period. Significant changes in the deferred revenues balances are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Deferred revenues, beginning balance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1173"/>
        <w:spacing w:after="0" w:line="274" w:lineRule="auto"/>
        <w:rPr>
          <w:sz w:val="20"/>
          <w:szCs w:val="20"/>
          <w:color w:val="auto"/>
        </w:rPr>
      </w:pPr>
      <w:r>
        <w:rPr>
          <w:rFonts w:ascii="Times New Roman" w:cs="Times New Roman" w:eastAsia="Times New Roman" w:hAnsi="Times New Roman"/>
          <w:sz w:val="18"/>
          <w:szCs w:val="18"/>
          <w:color w:val="auto"/>
        </w:rPr>
        <w:t>Revenue recognized that was included in the deferred revenues balance at the beginning of the period Increases due to billings, excluding amounts recognized as revenue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Deferred revenues, ending balance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2172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387"/>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ind w:left="527"/>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2858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4"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1347" w:hanging="1347"/>
        <w:spacing w:after="0"/>
        <w:tabs>
          <w:tab w:leader="none" w:pos="134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189,238</w:t>
      </w:r>
    </w:p>
    <w:p>
      <w:pPr>
        <w:spacing w:after="0" w:line="27" w:lineRule="exact"/>
        <w:rPr>
          <w:rFonts w:ascii="Times New Roman" w:cs="Times New Roman" w:eastAsia="Times New Roman" w:hAnsi="Times New Roman"/>
          <w:sz w:val="18"/>
          <w:szCs w:val="18"/>
          <w:color w:val="auto"/>
        </w:rPr>
      </w:pPr>
    </w:p>
    <w:p>
      <w:pPr>
        <w:ind w:left="12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(136,409)</w:t>
      </w:r>
    </w:p>
    <w:p>
      <w:pPr>
        <w:spacing w:after="0" w:line="22" w:lineRule="exact"/>
        <w:rPr>
          <w:rFonts w:ascii="Times New Roman" w:cs="Times New Roman" w:eastAsia="Times New Roman" w:hAnsi="Times New Roman"/>
          <w:sz w:val="18"/>
          <w:szCs w:val="18"/>
          <w:color w:val="auto"/>
        </w:rPr>
      </w:pPr>
    </w:p>
    <w:p>
      <w:pPr>
        <w:ind w:left="134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2858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1" w:lineRule="exact"/>
        <w:rPr>
          <w:sz w:val="20"/>
          <w:szCs w:val="20"/>
          <w:color w:val="auto"/>
        </w:rPr>
      </w:pPr>
    </w:p>
    <w:p>
      <w:pPr>
        <w:ind w:left="1347" w:hanging="1347"/>
        <w:spacing w:after="0"/>
        <w:tabs>
          <w:tab w:leader="none" w:pos="13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2858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12858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513" w:space="720"/>
            <w:col w:w="2007"/>
          </w:cols>
          <w:pgMar w:left="320" w:top="121" w:right="339" w:bottom="1440" w:gutter="0" w:footer="0" w:header="0"/>
          <w:type w:val="continuous"/>
        </w:sectPr>
      </w:pPr>
    </w:p>
    <w:p>
      <w:pPr>
        <w:spacing w:after="0" w:line="170" w:lineRule="exact"/>
        <w:rPr>
          <w:sz w:val="20"/>
          <w:szCs w:val="20"/>
          <w:color w:val="auto"/>
        </w:rPr>
      </w:pPr>
    </w:p>
    <w:p>
      <w:pPr>
        <w:jc w:val="both"/>
        <w:ind w:firstLine="8"/>
        <w:spacing w:after="0" w:line="261"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at March 31, 2026 included current portion of $183.2 million and long-term portion of $1.8 million that were recorded in deferred revenue and other liabilities, respectively, within the condensed consolidated balance sheets. Deferred revenues at September 30, 2025 included current portion of $187.4 million and long-term portion of $1.8 million that were recorded in deferred revenue and other liabilities, respectively, within the condensed consolidated balance sheets.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provide customers with financing or to receive financing from our customers. Examples include multi-year on-premises licenses that are invoiced annually with revenue recognized upfront and invoicing at the beginning of a subscription term with revenue recognized ratably over the contract period.</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will be recognized in future periods, which is comprised of deferred revenue and amounts that will be invoiced and recognized as revenue in future periods. This does not include:</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Usage-based revenue that will be recognized in future periods from on-premises software subscriptions;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Consumption-based variable fees from SaaS software that will be recognized in the distinct service period during which it is earned;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variable considerations that will be recognized in accordance with the “right-to-invoice” practical expedient, such as fees from our professional services billed based on a time and materials basis.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allocated to remaining performance obligations was $717.7 million as of March 31, 2026, approximately 50% of which we expect to recognize over the next 14 months and the remainder thereafter. Revenue allocated to remaining performance obligations was $655.7 million as of September 30, 2025.</w:t>
      </w:r>
    </w:p>
    <w:p>
      <w:pPr>
        <w:spacing w:after="0" w:line="226" w:lineRule="exact"/>
        <w:rPr>
          <w:sz w:val="20"/>
          <w:szCs w:val="20"/>
          <w:color w:val="auto"/>
        </w:rPr>
      </w:pPr>
    </w:p>
    <w:p>
      <w:pPr>
        <w:ind w:left="260" w:right="9680" w:hanging="252"/>
        <w:spacing w:after="0" w:line="400" w:lineRule="auto"/>
        <w:tabs>
          <w:tab w:leader="none" w:pos="197"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i w:val="1"/>
          <w:iCs w:val="1"/>
          <w:color w:val="auto"/>
        </w:rPr>
        <w:t>Effective Tax Rate</w:t>
      </w: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25.7% and 23.7% during the quarters ended March 31, 2026 and 2025, respectively, and 22.8% and 13.2% during the six months ended March 31, 2026 and 2025,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One Big Beautiful Bill Act (“OBBBA”) of 2025 was signed into law on July 4, 2025. Included among the provisions is the ability to immediately expense domestic research and experimental (“R&amp;E”) expenditures, as well as an election to accelerate any unamortized domestic R&amp;E expenditures over a one- or two-year period. Both provisions are effective for FICO in fiscal 2026. The impacts of the OBBBA were reflected in FICO’s results for the six months ended March 31, 2026.</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total unrecognized tax benefit for uncertain tax positions was estimated to be $21.1 million and $19.5 million at March 31, 2026 and September 30, 2025, respectively. We recognize interest expense related to unrecognized tax benefits and penalties as part of the provision for income taxes in our condensed consolidated statements of income and comprehensive income. We accrued interest of $2.5 million and $1.9 million related to unrecognized tax benefits as of March 31, 2026 and September 30, 2025, respectively.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w:t>
      </w:r>
    </w:p>
    <w:p>
      <w:pPr>
        <w:spacing w:after="0" w:line="121"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The following table presents reconciliations for the numerators and denominators of basic and diluted earnings per share (“EPS”) for the quarters and six-month periods ended March 31, 2026 and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40" w:type="dxa"/>
            <w:vAlign w:val="bottom"/>
          </w:tcPr>
          <w:p>
            <w:pPr>
              <w:spacing w:after="0"/>
              <w:rPr>
                <w:sz w:val="16"/>
                <w:szCs w:val="16"/>
                <w:color w:val="auto"/>
              </w:rPr>
            </w:pPr>
          </w:p>
        </w:tc>
        <w:tc>
          <w:tcPr>
            <w:tcW w:w="26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diluted and basic earnings per share: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 —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weighted-average shares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w:t>
            </w:r>
          </w:p>
        </w:tc>
      </w:tr>
      <w:tr>
        <w:trPr>
          <w:trHeight w:val="230"/>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weighted-average shares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Anti-dilutive share-based awards excluded from the calculations of diluted EPS were immaterial during the periods presented.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0" w:lineRule="exact"/>
        <w:rPr>
          <w:sz w:val="20"/>
          <w:szCs w:val="20"/>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This segment includes our business-to-business (“B2B”) scoring solutions and services which give our clients access to predictive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scores that can be easily integrated into their transaction streams and decision-making processes. This segment also includes our business-to-consumer (“B2C”) scoring solutions, including our myFICO.com subscription offerings.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60" w:hanging="328"/>
        <w:spacing w:after="0" w:line="24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Software</w:t>
      </w:r>
      <w:r>
        <w:rPr>
          <w:rFonts w:ascii="Times New Roman" w:cs="Times New Roman" w:eastAsia="Times New Roman" w:hAnsi="Times New Roman"/>
          <w:sz w:val="18"/>
          <w:szCs w:val="18"/>
          <w:color w:val="auto"/>
        </w:rPr>
        <w:t>. This segment includes pre-configured analytic and decision management solutions designed for a specific type of business need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 such as account origination, customer management, customer engagement, fraud detection, and marketing —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These offerings are available to our customers as SaaS or as on-premises software.</w:t>
      </w:r>
    </w:p>
    <w:p>
      <w:pPr>
        <w:spacing w:after="0" w:line="14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Our chief operating decision maker (“CODM”), who is our Chief Executive Officer, evaluates segment financial performance based on segment revenues, segment operating expenses in total and segment operating income. Segment operating expenses consist of direct and indirect costs principally related to personnel, facilities, IT infrastructure, depreciation and amortization, consulting and travel. Indirect costs are allocated to the segments generally based on relative segment revenues, fixed rates established by management based upon estimated expense contribution levels and other assumptions that management considers reasonable. We do not allocate broad-based incentive expense, share-based compensation expense, restructuring and acquisition-related expense, amortization expense, various corporate charges and certain other income and expense measures to our segments. These income and expense items are not allocated because they are not considered in evaluating the segment’s operating performance. Our CODM does not evaluate the financial performance of each segment based on its respective assets or capital expenditures; rather, depreciation and amortization amounts are allocated to the segments from their internal cost centers as described above.</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segment information for the quarters and six-month periods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 March 31, 2026</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474,973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474,973</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474,973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(196,607)</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432,476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(47,295)</w:t>
            </w: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402,465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356,029</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 March 31, 2025</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297,039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297,039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(170,441)</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264,970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328,294</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(40,942)</w:t>
            </w: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213,016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Six Months Ended March 31, 2026</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779,507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779,507</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779,507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424,129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(302,921)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(382,099)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821,537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(95,444)</w:t>
            </w:r>
          </w:p>
        </w:tc>
        <w:tc>
          <w:tcPr>
            <w:tcW w:w="0" w:type="dxa"/>
            <w:vAlign w:val="bottom"/>
          </w:tcPr>
          <w:p>
            <w:pPr>
              <w:spacing w:after="0" w:line="20" w:lineRule="exact"/>
              <w:rPr>
                <w:sz w:val="1"/>
                <w:szCs w:val="1"/>
                <w:color w:val="auto"/>
              </w:rPr>
            </w:pPr>
          </w:p>
        </w:tc>
      </w:tr>
      <w:tr>
        <w:trPr>
          <w:trHeight w:val="176"/>
        </w:trPr>
        <w:tc>
          <w:tcPr>
            <w:tcW w:w="5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(89,579)</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636,514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(86,585)</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547,960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gridSpan w:val="5"/>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40" w:type="dxa"/>
            <w:vAlign w:val="bottom"/>
            <w:gridSpan w:val="6"/>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Six Months Ended March 31, 2025</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Scores</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Scores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532,714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532,714</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segment revenues</w:t>
            </w:r>
          </w:p>
        </w:tc>
        <w:tc>
          <w:tcPr>
            <w:tcW w:w="1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532,714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405,989</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468,741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592,807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(85,273)</w:t>
            </w: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share-based compensation expense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(82,358)</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425,176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interest expense,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other expense, net</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363,145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05"/>
        <w:spacing w:after="0" w:line="270" w:lineRule="auto"/>
        <w:rPr>
          <w:sz w:val="20"/>
          <w:szCs w:val="20"/>
          <w:color w:val="auto"/>
        </w:rPr>
      </w:pPr>
      <w:r>
        <w:rPr>
          <w:rFonts w:ascii="Times New Roman" w:cs="Times New Roman" w:eastAsia="Times New Roman" w:hAnsi="Times New Roman"/>
          <w:sz w:val="18"/>
          <w:szCs w:val="18"/>
          <w:color w:val="auto"/>
        </w:rPr>
        <w:t>The following table presents depreciation and amortization on property and equipment for the quarters and six-month periods ended March 31, 2026 and 2025:</w:t>
      </w: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40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6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Scores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Software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23"/>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segment depreciation and amortization</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r>
      <w:tr>
        <w:trPr>
          <w:trHeight w:val="230"/>
        </w:trPr>
        <w:tc>
          <w:tcPr>
            <w:tcW w:w="5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Unallocated corporate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w:t>
            </w:r>
          </w:p>
        </w:tc>
      </w:tr>
      <w:tr>
        <w:trPr>
          <w:trHeight w:val="21"/>
        </w:trPr>
        <w:tc>
          <w:tcPr>
            <w:tcW w:w="5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Contingencies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in disputes with certain customers regarding amounts owed in connection with the sale of certain of our products and services. We also have had claims asserted by former employees relating to compensation and other employment matters. We are also involved in various other claims and legal actions arising in the ordinary course of business. We record litigation accruals for legal matters which are both probable and estimable. For legal proceedings for which there is a reasonable possibility of loss (meaning those losses for which the likelihood is more than remote but less than probable), we have determined we do not have a material exposure, either individually or in the aggregate.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Statements contained in this report that are not statements of historical fact are forward-looking statements within the meaning of the Private Securities Litigation Reform Act of 1995 (the “PSLRA”). In addition, certain statements in our future filings with the Securities and Exchange Commission (“SEC”), in press releases, and in oral and written statements made by us or with our approval that are not statements of historical fact constitute forward-looking statements within the meaning of the PSLRA. Examples of forward-looking statements include, but are not limited to: (i) projections of revenue, income or loss, expenses, earnings or loss per share, the payment or nonpayment of dividends, share repurchases, capital structure and other statements concerning future financial performance; (ii) statements of our plans and objectives by our management or Board of Directors, including those relating to products or services, research and development, and the sufficiency of capital resources; (iii) statements of assumptions underlying such statements, including those related to economic conditions; (iv) statements regarding results of business combinations or strategic divestitures; (v) statements regarding business relationships with vendors, customers or collaborators, including the proportion of revenues generated from international as opposed to domestic customers; and (vi) statements regarding products and services, their characteristics, performance, sales potential or effect in use by customers. Words such as “believes,” “anticipates,” “expects,” “intends,” “targeted,” “should,” “potential,” “goals,” “strategy,” “outlook,” “plan,” “estimated,” “will,” variations of these terms and similar expressions are intended to identify forward-looking statements, but are not the exclusive means of identifying such statements. Forward-looking statements involve risks and uncertainties that may cause actual results to differ materially from those in such statements. Factors that could cause actual results to differ from those discussed in the forward-looking statements include, but are not limited to, those described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of our Annual Report on Form 10-K for the fiscal year ended September 30, 2025 and in subsequent filings with the SEC. The performance of our business and our securities may be adversely affected by these factors and by other factors common to other businesses and investments, or to the general economy. Readers are cautioned not to place undue reliance on forward-looking statements, which speak only as of the date they are made. We disclaim any intent or obligation to update or revise any forward-looking statements, whether as a result of new information, future events or otherwise. Readers should carefully review the disclosures and the risk factors described in this and other documents we file from time to time with the SEC, including our Annual Reports on Form 10-K, Quarterly Reports on Form 10-Q and Current Reports on Form 8-K.</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32" w:lineRule="auto"/>
        <w:rPr>
          <w:sz w:val="20"/>
          <w:szCs w:val="20"/>
          <w:color w:val="auto"/>
        </w:rPr>
      </w:pPr>
      <w:r>
        <w:rPr>
          <w:rFonts w:ascii="Times New Roman" w:cs="Times New Roman" w:eastAsia="Times New Roman" w:hAnsi="Times New Roman"/>
          <w:sz w:val="18"/>
          <w:szCs w:val="18"/>
          <w:color w:val="auto"/>
        </w:rPr>
        <w:t>We were founded in 1956 on the premise that data, used intelligently, can improve business decisions. Today, FICO’s software and the widely used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 operationalize analytics, enabling thousands of businesses in more than 80 countries to uncover new opportunities, make timely decisions that matter, and execute them at scale. Most leading banks and credit card issuers rely on our solutions, as do insurers, retailers, telecommunications providers, automotive lenders, consumer reporting agencies, public agencies, and organizations in other industries. We also serve consumers through online services that enable people to access and understand their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 — the standard measure of consumer credit risk in the United States (“U.S.”) — empowering them to increase financial literacy and manage their financial health.</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consists of two operating segments: Scores and Software.</w:t>
      </w:r>
    </w:p>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Scores segment includes our business-to-business (“B2B”) scoring solutions and services which give our clients access to predictive credit and other scores that can be easily integrated into their transaction streams and decision-making processes. This segment also includes our business-to-consumer (“B2C”) scoring solutions, including our myFICO.com subscription offerings.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Software segment includes pre-configured analytic and decision management solutions designed for a specific type of business need or process</w:t>
      </w:r>
    </w:p>
    <w:p>
      <w:pPr>
        <w:spacing w:after="0" w:line="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such as account origination, customer management, customer engagement, fraud detection, and marketing — as well as associated professional services. This segment also includes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Platform, a modular software offering designed to support advanced analytic and decision use cases, as well as stand-alone analytic and decisioning software that can be configured by our customers to address a wide variety of business use cases. Our offerings are available to our customers as software-as-a-service (“SaaS”) or as on-premises software.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the quarter and six months ended March 31, 2026</w:t>
      </w:r>
    </w:p>
    <w:p>
      <w:pPr>
        <w:spacing w:after="0" w:line="121" w:lineRule="exact"/>
        <w:rPr>
          <w:sz w:val="20"/>
          <w:szCs w:val="20"/>
          <w:color w:val="auto"/>
        </w:rPr>
      </w:pPr>
    </w:p>
    <w:p>
      <w:pPr>
        <w:ind w:left="660" w:hanging="328"/>
        <w:spacing w:after="0" w:line="281" w:lineRule="auto"/>
        <w:tabs>
          <w:tab w:leader="none" w:pos="655" w:val="left"/>
        </w:tabs>
        <w:numPr>
          <w:ilvl w:val="0"/>
          <w:numId w:val="1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revenues were $691.7 million during the quarter ended March 31, 2026, a 39% increase from the quarter ended March 31, 2025, and $1.2 billion during the six months ended March 31, 2026, a 28% increase from the six months ended March 31, 2025.</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0" w:lineRule="auto"/>
        <w:tabs>
          <w:tab w:leader="none" w:pos="655"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Revenues for our Scores segment were $475.0 million during the quarter ended March 31, 2026, a 60% increase from the quarter ended March 31, 2025, and $779.5 million during the six months ended March 31, 2026, a 46% increase from the six months ended March 31, 2025.</w:t>
      </w:r>
    </w:p>
    <w:p>
      <w:pPr>
        <w:spacing w:after="0" w:line="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Annual Recurring Revenue for our Software segment as of March 31, 2026 was $788.8 million, a 10% increase from March 31, 2025.</w:t>
      </w:r>
    </w:p>
    <w:p>
      <w:pPr>
        <w:spacing w:after="0" w:line="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Dollar-Based Net Retention Rate for our Software segment was 109% as of March 31, 2026.</w:t>
      </w:r>
    </w:p>
    <w:p>
      <w:pPr>
        <w:spacing w:after="0" w:line="75" w:lineRule="exact"/>
        <w:rPr>
          <w:rFonts w:ascii="Arial" w:cs="Arial" w:eastAsia="Arial" w:hAnsi="Arial"/>
          <w:sz w:val="18"/>
          <w:szCs w:val="18"/>
          <w:b w:val="1"/>
          <w:bCs w:val="1"/>
          <w:color w:val="auto"/>
        </w:rPr>
      </w:pPr>
    </w:p>
    <w:p>
      <w:pPr>
        <w:ind w:left="660" w:hanging="328"/>
        <w:spacing w:after="0" w:line="271" w:lineRule="auto"/>
        <w:tabs>
          <w:tab w:leader="none" w:pos="648" w:val="left"/>
        </w:tabs>
        <w:numPr>
          <w:ilvl w:val="0"/>
          <w:numId w:val="18"/>
        </w:numPr>
        <w:rPr>
          <w:rFonts w:ascii="Arial" w:cs="Arial" w:eastAsia="Arial" w:hAnsi="Arial"/>
          <w:sz w:val="20"/>
          <w:szCs w:val="20"/>
          <w:color w:val="auto"/>
        </w:rPr>
      </w:pPr>
      <w:r>
        <w:rPr>
          <w:rFonts w:ascii="Times New Roman" w:cs="Times New Roman" w:eastAsia="Times New Roman" w:hAnsi="Times New Roman"/>
          <w:sz w:val="18"/>
          <w:szCs w:val="18"/>
          <w:color w:val="auto"/>
        </w:rPr>
        <w:t>Operating income was $402.5 million during the quarter ended March 31, 2026, a 64% increase from the quarter ended March 31, 2025, and $636.5 million during the six months ended March 31, 2026, a 50% increase from the six months ended March 31, 2025.</w:t>
      </w:r>
    </w:p>
    <w:p>
      <w:pPr>
        <w:spacing w:after="0" w:line="19" w:lineRule="exact"/>
        <w:rPr>
          <w:rFonts w:ascii="Arial" w:cs="Arial" w:eastAsia="Arial" w:hAnsi="Arial"/>
          <w:sz w:val="20"/>
          <w:szCs w:val="20"/>
          <w:color w:val="auto"/>
        </w:rPr>
      </w:pPr>
    </w:p>
    <w:p>
      <w:pPr>
        <w:ind w:left="660" w:hanging="328"/>
        <w:spacing w:after="0" w:line="255" w:lineRule="auto"/>
        <w:tabs>
          <w:tab w:leader="none" w:pos="648" w:val="left"/>
        </w:tabs>
        <w:numPr>
          <w:ilvl w:val="0"/>
          <w:numId w:val="18"/>
        </w:numPr>
        <w:rPr>
          <w:rFonts w:ascii="Arial" w:cs="Arial" w:eastAsia="Arial" w:hAnsi="Arial"/>
          <w:sz w:val="20"/>
          <w:szCs w:val="20"/>
          <w:color w:val="auto"/>
        </w:rPr>
      </w:pPr>
      <w:r>
        <w:rPr>
          <w:rFonts w:ascii="Times New Roman" w:cs="Times New Roman" w:eastAsia="Times New Roman" w:hAnsi="Times New Roman"/>
          <w:sz w:val="18"/>
          <w:szCs w:val="18"/>
          <w:color w:val="auto"/>
        </w:rPr>
        <w:t>Net income was $264.5 million during the quarter ended March 31, 2026, a 63% increase from the quarter ended March 31, 2025, and $422.8 million during the six months ended March 31, 2026, a 34% increase from the six months ended March 31, 2025.</w:t>
      </w:r>
    </w:p>
    <w:p>
      <w:pPr>
        <w:spacing w:after="0" w:line="21" w:lineRule="exact"/>
        <w:rPr>
          <w:rFonts w:ascii="Arial" w:cs="Arial" w:eastAsia="Arial" w:hAnsi="Arial"/>
          <w:sz w:val="20"/>
          <w:szCs w:val="20"/>
          <w:color w:val="auto"/>
        </w:rPr>
      </w:pPr>
    </w:p>
    <w:p>
      <w:pPr>
        <w:ind w:left="660" w:hanging="328"/>
        <w:spacing w:after="0" w:line="280" w:lineRule="auto"/>
        <w:tabs>
          <w:tab w:leader="none" w:pos="655"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Diluted EPS was $11.14 during the quarter ended March 31, 2026, a 69% increase from the quarter ended March 31, 2025, and $17.73 during the six months ended March 31, 2026, a 39% increase from the six months ended March 31, 2025.</w:t>
      </w:r>
    </w:p>
    <w:p>
      <w:pPr>
        <w:spacing w:after="0" w:line="2" w:lineRule="exact"/>
        <w:rPr>
          <w:rFonts w:ascii="Arial" w:cs="Arial" w:eastAsia="Arial" w:hAnsi="Arial"/>
          <w:sz w:val="18"/>
          <w:szCs w:val="18"/>
          <w:b w:val="1"/>
          <w:bCs w:val="1"/>
          <w:color w:val="auto"/>
        </w:rPr>
      </w:pPr>
    </w:p>
    <w:p>
      <w:pPr>
        <w:ind w:left="660" w:hanging="328"/>
        <w:spacing w:after="0" w:line="280" w:lineRule="auto"/>
        <w:tabs>
          <w:tab w:leader="none" w:pos="655"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flows from operating activities were $397.4 million during the six months ended March 31, 2026, compared with $268.9 million during the six months ended March 31, 2025.</w:t>
      </w:r>
    </w:p>
    <w:p>
      <w:pPr>
        <w:spacing w:after="0" w:line="2" w:lineRule="exact"/>
        <w:rPr>
          <w:rFonts w:ascii="Arial" w:cs="Arial" w:eastAsia="Arial" w:hAnsi="Arial"/>
          <w:sz w:val="18"/>
          <w:szCs w:val="18"/>
          <w:b w:val="1"/>
          <w:bCs w:val="1"/>
          <w:color w:val="auto"/>
        </w:rPr>
      </w:pPr>
    </w:p>
    <w:p>
      <w:pPr>
        <w:ind w:left="660" w:hanging="328"/>
        <w:spacing w:after="0"/>
        <w:tabs>
          <w:tab w:leader="none" w:pos="660"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Cash and cash equivalents were $219.4 million as of March 31, 2026, compared with $134.1 million as of September 30, 2025.</w:t>
      </w:r>
    </w:p>
    <w:p>
      <w:pPr>
        <w:spacing w:after="0" w:line="62" w:lineRule="exact"/>
        <w:rPr>
          <w:rFonts w:ascii="Arial" w:cs="Arial" w:eastAsia="Arial" w:hAnsi="Arial"/>
          <w:sz w:val="18"/>
          <w:szCs w:val="18"/>
          <w:b w:val="1"/>
          <w:bCs w:val="1"/>
          <w:color w:val="auto"/>
        </w:rPr>
      </w:pPr>
    </w:p>
    <w:p>
      <w:pPr>
        <w:jc w:val="both"/>
        <w:ind w:left="660" w:hanging="328"/>
        <w:spacing w:after="0" w:line="265" w:lineRule="auto"/>
        <w:tabs>
          <w:tab w:leader="none" w:pos="655"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We issued $1.0 billion of senior notes during March 2026, and used the net proceeds to make a payment against the revolving line of credit and repay the $400 million of senior notes due in May 2026. Total debt balance was $3.6 billion as of March 31, 2026, compared with $3.1 billion as of September 30, 2025.</w:t>
      </w:r>
    </w:p>
    <w:p>
      <w:pPr>
        <w:spacing w:after="0" w:line="15" w:lineRule="exact"/>
        <w:rPr>
          <w:rFonts w:ascii="Arial" w:cs="Arial" w:eastAsia="Arial" w:hAnsi="Arial"/>
          <w:sz w:val="18"/>
          <w:szCs w:val="18"/>
          <w:b w:val="1"/>
          <w:bCs w:val="1"/>
          <w:color w:val="auto"/>
        </w:rPr>
      </w:pPr>
    </w:p>
    <w:p>
      <w:pPr>
        <w:jc w:val="both"/>
        <w:ind w:left="660" w:hanging="328"/>
        <w:spacing w:after="0" w:line="265" w:lineRule="auto"/>
        <w:tabs>
          <w:tab w:leader="none" w:pos="655" w:val="left"/>
        </w:tabs>
        <w:numPr>
          <w:ilvl w:val="0"/>
          <w:numId w:val="1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share repurchases during the quarter ended March 31, 2026 were $611.3 million, compared with $207.0 million during the quarter ended March 31, 2025, and during the six months ended March 31, 2026 were $773.9 million, compared with $366.8 million during the six months ended March 31,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metrics for Software segment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Contract Value Bookings (“ACV Bookings”)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Management regards ACV Bookings as an important indicator of future revenues, but it is not comparable to, nor is it a substitute for, an analysis of our revenues and other U.S. generally accepted accounting principles (“U.S. GAAP”) measures. We define ACV Bookings as the average annualized value of software contracts signed in the current reporting period that generate current and future on-premises and SaaS software revenue. We only include contracts with an initial term of at least 24 months and we exclude perpetual licenses and other software revenues that are non-recurring in nature. For renewals of existing software subscription contracts, we count only incremental annual revenue expected over the current contract as ACV Bookings.</w:t>
      </w:r>
    </w:p>
    <w:p>
      <w:pPr>
        <w:spacing w:after="0" w:line="1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ACV Bookings is calculated by dividing the total expected contract value by the contract term in years. The expected contract value equals the fixed amount — including guaranteed minimums, if any — stated in the contract, plus estimates of future usage-based fees. We develop estimates from discussions with our customers and examinations of historical data from similar products and customer arrangements. Differences between estimates and actual results occur due to variability in the estimated usage. This variability can be the result of the economic trends in our customers’ industries, individual performance of our customers relative to their competitors, and regulatory and other factors that affect the business environment in which our customers operate. For the periods presented, ACV Bookings related to estimates of future usage-based fees was approximately 20% of the total ACV Bookings amount on an annualized basis. Differences between the initial estimates of future usage-based fees and actual results historically have not been material and we do not currently expect that they will be materially different in the future.</w:t>
      </w:r>
    </w:p>
    <w:p>
      <w:pPr>
        <w:spacing w:after="0" w:line="13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disclose estimated revenue expected to be recognized in the future related to remaining performance obligations in Note 7 to the accompanying condensed consolidated financial statements. However, we believe ACV Bookings is a useful supplemental measure of our business as it includes estimated revenues and future billings excluded from Note 7, such as usage-based fees and guaranteed minimums derived from our on-premises software licenses, among others.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ACV Bookings during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500" w:type="dxa"/>
            <w:vAlign w:val="bottom"/>
          </w:tcPr>
          <w:p>
            <w:pPr>
              <w:spacing w:after="0"/>
              <w:rPr>
                <w:sz w:val="16"/>
                <w:szCs w:val="16"/>
                <w:color w:val="auto"/>
              </w:rPr>
            </w:pPr>
          </w:p>
        </w:tc>
        <w:tc>
          <w:tcPr>
            <w:tcW w:w="3000" w:type="dxa"/>
            <w:vAlign w:val="bottom"/>
            <w:gridSpan w:val="3"/>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4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4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on-premises and SaaS software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66.1</w:t>
            </w:r>
          </w:p>
        </w:tc>
        <w:tc>
          <w:tcPr>
            <w:tcW w:w="5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119"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 xml:space="preserve">Accounting Standards 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requires us to recognize a significant portion of revenue from our on-premises software subscriptions at the point in time when the software is first made available to the customer, or at the beginning of the subscription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term, despite the fact that our contracts typically call for billing these amounts ratably over the life of the subscription. The remaining portion of our on-premises software subscription revenue including maintenance and usage-based fees are recognized over the life of the contract. This point-in-time recognition of a portion of our on-premises software subscription revenue creates significant variability in the revenue recognized period to period based on the timing of the subscription start date and the subscription term. Furthermore, this point-in-time revenue recognition can create a significant difference between the timing of our revenue recognition and the actual customer billing under the contract. We use ARR to measure the underlying performance of our subscription-based contracts and mitigate the impact of this variability. ARR is defined as the annualized revenue run-rate of on-premises and SaaS software agreements within a quarterly reporting period, and as such, is different from the timing and amount of revenue recognized. All components of our</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licensing and subscription arrangements that are not expected to recur (primarily perpetual licenses) are excluded. We calculate ARR as the quarterly recurring revenue run-rate multiplied by four.</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ARR for on-premises and SaaS software exiting each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4"/>
        </w:trPr>
        <w:tc>
          <w:tcPr>
            <w:tcW w:w="1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ARR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227.0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227.7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234.7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263.6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348.8</w:t>
            </w:r>
          </w:p>
        </w:tc>
      </w:tr>
      <w:tr>
        <w:trPr>
          <w:trHeight w:val="230"/>
        </w:trPr>
        <w:tc>
          <w:tcPr>
            <w:tcW w:w="1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494.5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494.2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501.6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479.9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484.9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483.7</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463.4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440.0</w:t>
            </w:r>
          </w:p>
        </w:tc>
      </w:tr>
      <w:tr>
        <w:trPr>
          <w:trHeight w:val="248"/>
        </w:trPr>
        <w:tc>
          <w:tcPr>
            <w:tcW w:w="1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709.6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721.2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729.3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714.6</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739.1</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747.3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766.0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788.8</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0"/>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23"/>
        </w:trPr>
        <w:tc>
          <w:tcPr>
            <w:tcW w:w="12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YoY Change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Dollar-Based Net Retention Rate (“DBNRR”)</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consider DBNRR to be an important measure of our success in retaining and growing revenue from our existing customers. To calculate DBNRR for any period, we compare the ARR at the end of the prior comparable quarter (“base ARR”) to the ARR from that same cohort of customers at the end of the current quarter (“retained ARR”); we then divide the retained ARR by the base ARR to arrive at the DBNRR. Our calculation includes the positive impact among this cohort of customers of selling additional products, price increases and increases in usage-based fees, and the negative impact of customer attrition, price decreases, and decreases in usage-based fees during the period. However, the calculation does not include the positive impact from sales to any new customers acquired during the period. Our DBNRR may increase or decrease from period to period as a result of various factors, including the timing of new sales and customer renewal rates.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DBNRR for on-premises and SaaS software exiting each of the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12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4"/>
        </w:trPr>
        <w:tc>
          <w:tcPr>
            <w:tcW w:w="1240" w:type="dxa"/>
            <w:vAlign w:val="bottom"/>
          </w:tcPr>
          <w:p>
            <w:pPr>
              <w:spacing w:after="0"/>
              <w:rPr>
                <w:sz w:val="16"/>
                <w:szCs w:val="16"/>
                <w:color w:val="auto"/>
              </w:rPr>
            </w:pPr>
          </w:p>
        </w:tc>
        <w:tc>
          <w:tcPr>
            <w:tcW w:w="12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DBNRR</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124 %</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123 %</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112 %</w:t>
            </w: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110 %</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115 %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2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Non-platform</w:t>
            </w: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101 %</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99 %</w:t>
            </w:r>
          </w:p>
        </w:tc>
        <w:tc>
          <w:tcPr>
            <w:tcW w:w="132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100 %</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96 %</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97 %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1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108 %</w:t>
            </w:r>
          </w:p>
        </w:tc>
        <w:tc>
          <w:tcPr>
            <w:tcW w:w="13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106 %</w:t>
            </w:r>
          </w:p>
        </w:tc>
        <w:tc>
          <w:tcPr>
            <w:tcW w:w="13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105 %</w:t>
            </w:r>
          </w:p>
        </w:tc>
        <w:tc>
          <w:tcPr>
            <w:tcW w:w="12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102 %</w:t>
            </w:r>
          </w:p>
        </w:tc>
        <w:tc>
          <w:tcPr>
            <w:tcW w:w="11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103 %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organized into two reportable segments: Scores and Software. Although we sell solutions and services into a large number of end user product and industry markets, our reportable business segments reflect the primary method in which management organizes and evaluates internal financial information to make operating decisions and assess performance.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Segment revenues, operating income, and related financial information, including disaggregation of revenue, are set forth in Note 7 and Note 10 to the accompanying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revenues for the quarters and six-month periods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9"/>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tcPr>
          <w:p>
            <w:pPr>
              <w:jc w:val="right"/>
              <w:ind w:right="379"/>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40" w:type="dxa"/>
            <w:vAlign w:val="bottom"/>
          </w:tcPr>
          <w:p>
            <w:pPr>
              <w:jc w:val="right"/>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297,039</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177,934</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60" w:type="dxa"/>
            <w:vAlign w:val="bottom"/>
            <w:tcBorders>
              <w:top w:val="single" w:sz="8" w:color="CCEEFF"/>
              <w:bottom w:val="single" w:sz="8" w:color="auto"/>
            </w:tcBorders>
            <w:gridSpan w:val="4"/>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00" w:type="dxa"/>
            <w:vAlign w:val="bottom"/>
          </w:tcPr>
          <w:p>
            <w:pPr>
              <w:spacing w:after="0"/>
              <w:rPr>
                <w:sz w:val="9"/>
                <w:szCs w:val="9"/>
                <w:color w:val="auto"/>
              </w:rPr>
            </w:pPr>
          </w:p>
        </w:tc>
        <w:tc>
          <w:tcPr>
            <w:tcW w:w="1060" w:type="dxa"/>
            <w:vAlign w:val="bottom"/>
            <w:vMerge w:val="restart"/>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9"/>
                <w:szCs w:val="9"/>
                <w:color w:val="auto"/>
              </w:rPr>
            </w:pPr>
          </w:p>
        </w:tc>
        <w:tc>
          <w:tcPr>
            <w:tcW w:w="12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gridSpan w:val="2"/>
          </w:tcPr>
          <w:p>
            <w:pPr>
              <w:jc w:val="center"/>
              <w:ind w:right="20"/>
              <w:spacing w:after="0" w:line="127"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779,507</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532,714</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246,793</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405,989</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3"/>
          </w:tcPr>
          <w:p>
            <w:pPr>
              <w:jc w:val="right"/>
              <w:ind w:right="1079"/>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Quarter Ended March 31, 2026 Compared to Quarter Ended March 31, 2025</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Scores segment revenues increased $177.9 million due to an increase of $175.1 million in our business-to-business scores revenue and an increase of $2.8 million in our business-to-consumer scores revenue. The increase in business-to-business scores revenue was primarily attributable to a higher unit price and an increase in volume of mortgage originations. The increase in business-to-consumer scores revenue was primarily attributable to an increase in royalties derived from scores sold indirectly to consumers through credit reporting agencies.</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revenue for our Software segment by revenue types: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199,231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183,826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Software segment revenues increased $15.0 million due to a $15.4 million increase in our on-premises and SaaS software revenue, partially offset by a $0.4 million decrease in our professional services revenue. The increase in our on-premises and SaaS software revenue was primarily attributable to an increase in revenue recognized over time largely driven by SaaS growth for our Platform products.</w:t>
      </w:r>
    </w:p>
    <w:p>
      <w:pPr>
        <w:spacing w:after="0" w:line="2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Six Months Ended March 31, 2026 Compared to Six Months Ended March 31, 2025</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Scores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Scores segment revenues increased $246.8 million due to an increase of $241.4 million in our business-to-business scores revenue and an increase of $5.4 million in our business-to-consumer revenue. The increase in business-to-business scores revenue was primarily attributable to a higher unit price and an increase in volume of mortgage originations. The increase in business-to-consumer scores revenue was primarily attributable to an increase in royalties derived from scores sold indirectly to consumers through credit reporting agencies.</w:t>
      </w:r>
    </w:p>
    <w:p>
      <w:pPr>
        <w:spacing w:after="0" w:line="2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vMerge w:val="restart"/>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387,452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369,837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Software segment revenues increased $18.1 million due to a $17.6 million increase in our on-premises and SaaS software revenue and a $0.5 million increase in professional services revenue. The increase in our on-premises and SaaS software revenue was primarily attributable to an increase in revenue recognized over time largely driven by SaaS growth for our Platform products.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Expense, Net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related to our condensed consolidated statements of income and comprehensive income for the quarters and six-month periods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0" w:type="dxa"/>
            <w:vAlign w:val="bottom"/>
          </w:tcPr>
          <w:p>
            <w:pPr>
              <w:spacing w:after="0"/>
              <w:rPr>
                <w:sz w:val="16"/>
                <w:szCs w:val="16"/>
                <w:color w:val="auto"/>
              </w:rPr>
            </w:pPr>
          </w:p>
        </w:tc>
        <w:tc>
          <w:tcPr>
            <w:tcW w:w="2880" w:type="dxa"/>
            <w:vAlign w:val="bottom"/>
            <w:gridSpan w:val="7"/>
          </w:tcPr>
          <w:p>
            <w:pPr>
              <w:ind w:left="64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3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restart"/>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8"/>
        </w:trPr>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36"/>
        </w:trPr>
        <w:tc>
          <w:tcPr>
            <w:tcW w:w="25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480" w:type="dxa"/>
            <w:vAlign w:val="bottom"/>
            <w:tcBorders>
              <w:top w:val="single" w:sz="8" w:color="auto"/>
            </w:tcBorders>
            <w:gridSpan w:val="6"/>
          </w:tcPr>
          <w:p>
            <w:pPr>
              <w:jc w:val="center"/>
              <w:ind w:right="211"/>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74"/>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5"/>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except employees)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691,677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tcBorders>
              <w:bottom w:val="single" w:sz="8" w:color="auto"/>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498,735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192,942</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6"/>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289,212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253,087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156,817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0"/>
        </w:trPr>
        <w:tc>
          <w:tcPr>
            <w:tcW w:w="2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5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Number of employees at quarter</w:t>
            </w: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20" w:type="dxa"/>
            <w:vAlign w:val="bottom"/>
          </w:tcPr>
          <w:p>
            <w:pPr>
              <w:spacing w:after="0"/>
              <w:rPr>
                <w:sz w:val="24"/>
                <w:szCs w:val="24"/>
                <w:color w:val="auto"/>
              </w:rPr>
            </w:pPr>
          </w:p>
        </w:tc>
        <w:tc>
          <w:tcPr>
            <w:tcW w:w="28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Percentage of Revenues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Period-to-Period</w:t>
            </w:r>
          </w:p>
        </w:tc>
        <w:tc>
          <w:tcPr>
            <w:tcW w:w="13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2"/>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5"/>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938,703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264,933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administrative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284,834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248,370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36,464</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567,122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513,527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53,595</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3"/>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211,338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547,960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363,145</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77,127</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3"/>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422,831</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315,143</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107,688</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employee salaries, incentives, and benefits for personnel directly involved in delivering software products, operating SaaS infrastructure, and providing support, implementation and consulting services; overhead, facilities and data center costs; software royalty fees; consumer reporting agency data and processing services; third-party hosting fees related to our SaaS services; travel costs; and outside services.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increase in cost of revenues of $3.6 million was primarily attributable to a $3.0 million increase in infrastructure and facilities costs and a $0.6 million increase in personnel, labor and other costs. The increase in infrastructure and facilities costs was primarily attributable to an increase in third-party data center hosting costs. Cost of revenues as a percentage of revenues decreased to 13% during the quarter ended March 31, 2026 from 18% during the quarter ended March 31, 2025, primarily due to increased sales of our higher-margin Scores products.</w:t>
      </w:r>
    </w:p>
    <w:p>
      <w:pPr>
        <w:spacing w:after="0" w:line="126" w:lineRule="exact"/>
        <w:rPr>
          <w:sz w:val="20"/>
          <w:szCs w:val="20"/>
          <w:color w:val="auto"/>
        </w:rPr>
      </w:pPr>
    </w:p>
    <w:p>
      <w:pPr>
        <w:jc w:val="both"/>
        <w:ind w:firstLine="405"/>
        <w:spacing w:after="0" w:line="243" w:lineRule="auto"/>
        <w:rPr>
          <w:sz w:val="20"/>
          <w:szCs w:val="20"/>
          <w:color w:val="auto"/>
        </w:rPr>
      </w:pPr>
      <w:r>
        <w:rPr>
          <w:rFonts w:ascii="Times New Roman" w:cs="Times New Roman" w:eastAsia="Times New Roman" w:hAnsi="Times New Roman"/>
          <w:sz w:val="18"/>
          <w:szCs w:val="18"/>
          <w:color w:val="auto"/>
        </w:rPr>
        <w:t>The year-to-date period-over-period increase in cost of revenues of $3.5 million was primarily attributable to a $4.7 million increase in infrastructure and facilities costs, partially offset by a $1.2 million decrease in direct materials and other costs. The increase in infrastructure and facilities costs was primarily attributable to an increase in third-party data center hosting costs. The decrease in direct materials and other costs was primarily attributable to decreased telecommunications costs that support 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Customer Communications Services revenue. Cost of revenues as a percentage of revenues decreased to 15% during the six months ended March 31, 2026 from 19% during the six months ended March 31, 2025, primarily due to increased sales of our higher-margin Scores products.</w:t>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overhead costs incurred in the development of new products and services, including research of mathematical and statistical models and development of new versions of Software products.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quarter-over-prior year quarter increase in research and development expenses of $8.9 million was primarily attributable to a $6.0 million increase in infrastructure and facilities costs and a $4.8 million increase in personnel and labor costs, partially offset by a $1.9 million decrease in outside services and other costs. The increase in infrastructure and facilities costs was primarily attributable to increased third-party data center hosting costs. The increase in personnel and labor costs was primarily attributable to increased headcount and increased incentive costs. The decrease in outside services and other costs was primarily attributable to decreased third-party contractor costs. Research and development expenses as a percentage of revenues decreased to 8% during the quarter ended March 31, 2026 from 9% during the quarter ended March 31, 2025.</w:t>
      </w:r>
    </w:p>
    <w:p>
      <w:pPr>
        <w:spacing w:after="0" w:line="133"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year-to-date period-over-period increase in research and development expenses of $13.6 million was primarily attributable to a $10.0 million increase in infrastructure and facilities costs and a $7.2 million increase in personnel and labor costs, partially offset by a $3.6 million decrease in outside services and other costs. The increase in infrastructure and facilities costs was primarily attributable to increased third-party data center hosting costs. The increase in personnel and labor costs was primarily attributable to increased headcount, increased share-based compensation costs, and increased incentive costs. The decrease in outside services and other costs was primarily attributable to decreased third-party contractor costs. Research and development expenses as a percentage of revenues decreased to 9% during the quarter ended March 31, 2026 from 10% during the quarter ended March 31, 2025.</w:t>
      </w:r>
    </w:p>
    <w:p>
      <w:pPr>
        <w:spacing w:after="0" w:line="23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consist principally of employee salaries, incentives, commissions and benefits; travel costs; overhead costs; advertising and other promotional expenses; corporate facilities expenses; legal expenses; and business development expenses.</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quarter-over-prior year quarter increase in selling, general and administrative expenses of $23.7 million was primarily attributable to a $15.8 million increase in personnel and labor costs and a $7.9 million increase in marketing and other costs. The increase in personnel and labor costs was primarily attributable to increased headcount, increased share-based compensation costs, increased incentive costs, and increased commission costs. The increase in marketing and other costs was primarily attributable to increased advertising and other promotional costs. Selling, general and administrative expenses as a percentage of revenues decreased to 21% during the quarter ended March 31, 2026 from 24% during the quarter ended March 31, 2025.</w:t>
      </w:r>
    </w:p>
    <w:p>
      <w:pPr>
        <w:spacing w:after="0" w:line="1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year-to-date period-over-period increase in selling, general and administrative expenses of $36.5 million was primarily attributable to a $24.8 million increase in personnel and labor costs and an $11.7 million increase in marketing and other costs. The increase in personnel and labor costs was primarily attributable to increased headcount, increased share-based compensation costs, and increased commission costs. The increase in marketing and other costs was primarily attributable to increased advertising and other promotional costs, increased third-party consulting costs, and increased third-party contractor costs. Selling, general and administrative expenses as a percentage of revenues decreased to 23% during the six months ended March 31, 2026 from 26% during the six months ended March 31, 2025.</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Interest expense includes interest on the senior notes issued in March 2026, May 2025, December 2021, December 2019 and May 2018, as well as interest and credit agreement fees on the revolving line of credit and, for the prior year quarter and prior year-to-date period, term loans. On our condensed consolidated statements of income and comprehensive income, interest expense is netted with interest income, which is derived primarily from the investment of funds in excess of our immediate operating requirements.</w:t>
      </w:r>
    </w:p>
    <w:p>
      <w:pPr>
        <w:spacing w:after="0" w:line="12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net interest expense of $13.2 million was primarily attributable to the $1.5 billion of 2025 Senior Notes (as defined below) and the $1.0 billion of 2026 Senior Notes (as defined below), partially offset by a lower average outstanding balance and a lower average interest rate on borrowings under our credit agreement during the quarter ended March 31, 2026.</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year-to-date period-over-period increase in interest expense of $25.7 million was primarily attributable to the $1.5 billion of 2025 Senior Notes (as defined below) and the $1.0 billion of 2026 Senior Notes (as defined below), partially offset by a lower average outstanding balance and a lower average interest rate on borrowings under our credit agreement during the six months ended March 31, 2026.</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expense, net consists primarily of unrealized investment gains/losses and realized gains/losses on marketable securities classified as trading securities, exchange rate gains/losses resulting from remeasurement of foreign-currency-denominated receivables and cash balances held by our various reporting entities into their respective functional currencies at period-end market rates, net of the impact of offsetting foreign currency forward contracts, and other non-operating items.</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other expense, net of $0.6 million was primarily attributable to a decrease in foreign exchange rate gains resulting from remeasurement of foreign-currency-denominated receivables and cash balances held by our various reporting entities into their respective functional currencies at period-end market rates.</w:t>
      </w:r>
    </w:p>
    <w:p>
      <w:pPr>
        <w:spacing w:after="0" w:line="12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year-to-date period-over-period increase in other expense, net of $0.8 million was primarily attributable to an increase in foreign exchange rate losses resulting from remeasurement of foreign-currency-denominated receivables and cash balances held by our various reporting entities into their respective functional currencies at period-end market rates.</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25.7% and 23.7% during the quarters ended March 31, 2026 and 2025, respectively, and 22.8% and 13.2% during the six months ended March 31, 2026 and 2025, respectively. The provision for income taxes during interim quarterly reporting periods is based on our estimates of the effective tax rates for the full fiscal year. The effective tax rate in any quarter can also be affected positively or negatively by adjustments that are required to be reported in the specific quarter of resolution.</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tax rates for the quarters and six months ended March 31, 2026 and 2025 were favorably impacted by the recording of excess tax benefits relating to stock awards. The impact is dependent upon grants of share-based compensation and the future stock price in relation to the fair value of awards on the grant date. The decrease in stock price for awards that vested in December 2025 resulted in a decreased net excess tax benefit for the six months ended March 31,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summary information on a segment basis related to our operating income for the quarters and six-month periods ended March 31,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4"/>
            <w:vMerge w:val="continue"/>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476"/>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2026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432,476</w:t>
            </w:r>
          </w:p>
        </w:tc>
        <w:tc>
          <w:tcPr>
            <w:tcW w:w="1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4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167,506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166,776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(40,942)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(41,704)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402,465</w:t>
            </w:r>
          </w:p>
        </w:tc>
        <w:tc>
          <w:tcPr>
            <w:tcW w:w="12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245,648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156,817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Scores</w:t>
            </w: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3"/>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20" w:type="dxa"/>
            <w:vAlign w:val="bottom"/>
            <w:gridSpan w:val="4"/>
          </w:tcPr>
          <w:p>
            <w:pPr>
              <w:jc w:val="right"/>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5"/>
          </w:tcPr>
          <w:p>
            <w:pPr>
              <w:jc w:val="right"/>
              <w:ind w:right="60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3"/>
          </w:tcPr>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474,973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297,039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216,704</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201,696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(42,497)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(32,069)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(154,110)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(138,372)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432,476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264,970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quarter-over-prior year quarter increase in operating income of $156.8 million was primarily attributable to a $192.9 million increase in segment revenues, partially offset by a $26.2 million increase in segment operating expenses, a $6.3 million increase in corporate expenses, and a $3.6 million increase in share-based compensation expense.</w:t>
      </w:r>
    </w:p>
    <w:p>
      <w:pPr>
        <w:spacing w:after="0" w:line="12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At the segment level, the quarter-over-prior year quarter increase in segment operating income of $166.8 million was the result of a $167.5 million increase in our Scores segment operating income, partially offset by a $0.7 million decrease in our Software segment operating income.</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increase in Scores segment operating income of $167.5 million was due to a $177.9 million increase in segment revenue, partially offset by a $10.4 million increase in segment operating expenses. Scores segment operating income as a percentage of segment revenue increased to 91% from 89%, primarily due to higher business-to-business scores revenue driven by a higher unit price and an increase in volume of mortgage originations.</w:t>
      </w:r>
    </w:p>
    <w:p>
      <w:pPr>
        <w:spacing w:after="0" w:line="12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quarter-over-prior year quarter decrease in Software segment operating income of $0.7 million was due to a $15.7 million increase in segment operating expenses, partially offset by a $15.0 million increase in segment revenue. Software segment operating income as a percentage of segment revenue decreased to 29% from 31%, primarily attributable to an increase in third-party data center hosting costs and a decrease in sales of higher-margin software recognized at a point in time.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2"/>
          </w:tcPr>
          <w:p>
            <w:pPr>
              <w:jc w:val="center"/>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700,329</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468,741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231,588</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121,208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124,066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821,537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592,807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8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(95,444)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(85,273)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share-based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(89,579)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(82,358)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636,514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425,176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211,338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Scores</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131"/>
        </w:trPr>
        <w:tc>
          <w:tcPr>
            <w:tcW w:w="2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380" w:type="dxa"/>
            <w:vAlign w:val="bottom"/>
            <w:gridSpan w:val="6"/>
          </w:tcPr>
          <w:p>
            <w:pPr>
              <w:ind w:left="32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60" w:type="dxa"/>
            <w:vAlign w:val="bottom"/>
            <w:gridSpan w:val="4"/>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60" w:type="dxa"/>
            <w:vAlign w:val="bottom"/>
            <w:gridSpan w:val="6"/>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20" w:type="dxa"/>
            <w:vAlign w:val="bottom"/>
            <w:gridSpan w:val="4"/>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95"/>
        </w:trPr>
        <w:tc>
          <w:tcPr>
            <w:tcW w:w="2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Borders>
              <w:bottom w:val="single" w:sz="8" w:color="auto"/>
            </w:tcBorders>
          </w:tcPr>
          <w:p>
            <w:pPr>
              <w:spacing w:after="0"/>
              <w:rPr>
                <w:sz w:val="16"/>
                <w:szCs w:val="16"/>
                <w:color w:val="auto"/>
              </w:rPr>
            </w:pPr>
          </w:p>
        </w:tc>
      </w:tr>
      <w:tr>
        <w:trPr>
          <w:trHeight w:val="195"/>
        </w:trPr>
        <w:tc>
          <w:tcPr>
            <w:tcW w:w="2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3"/>
          </w:tcPr>
          <w:p>
            <w:pPr>
              <w:jc w:val="cente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779,507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532,714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9"/>
              </w:rPr>
              <w:t>424,129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405,989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(79,178)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(63,973)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0"/>
              <w:spacing w:after="0"/>
              <w:rPr>
                <w:sz w:val="20"/>
                <w:szCs w:val="20"/>
                <w:color w:val="auto"/>
              </w:rPr>
            </w:pPr>
            <w:r>
              <w:rPr>
                <w:rFonts w:ascii="Times New Roman" w:cs="Times New Roman" w:eastAsia="Times New Roman" w:hAnsi="Times New Roman"/>
                <w:sz w:val="18"/>
                <w:szCs w:val="18"/>
                <w:color w:val="auto"/>
              </w:rPr>
              <w:t>(302,921)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(281,923)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700,329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468,741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60"/>
              <w:spacing w:after="0"/>
              <w:rPr>
                <w:sz w:val="20"/>
                <w:szCs w:val="20"/>
                <w:color w:val="auto"/>
              </w:rPr>
            </w:pPr>
            <w:r>
              <w:rPr>
                <w:rFonts w:ascii="Times New Roman" w:cs="Times New Roman" w:eastAsia="Times New Roman" w:hAnsi="Times New Roman"/>
                <w:sz w:val="18"/>
                <w:szCs w:val="18"/>
                <w:color w:val="auto"/>
                <w:w w:val="99"/>
              </w:rPr>
              <w:t>121,208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year-to-date period-over-period increase of $211.3 million in operating income was primarily attributable to a $264.9 million increase in segment revenues, partially offset by a $36.2 million increase in segment operating expenses, a $10.2 million increase in corporate expenses, and a $7.2 million increase in share-based compensation expense.</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At the segment level, the year-to-date period-over-period increase of $228.7 million in segment operating income was the result of a $231.6 million increase in our Scores segment operating income, partially offset by a $2.9 million decrease in our Software segment operating income.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year-to-date period-over-period $231.6 million increase in Scores segment operating income was attributable to a $246.8 million increase in segment revenue, partially offset by a $15.2 million increase in segment operating expenses. Scores segment operating income as a percentage of segment revenue increased to 90% from 88%, primarily due to higher business-to-business scores revenue driven by a higher unit price and an increase in volume of mortgage originations.</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year-to-date period-over-period $2.9 million decrease in Software segment operating income was due to a $21.0 million increase in segment operating expenses, partially offset by an $18.1 million increase in segment revenue. Software segment operating income as a percentage of segment revenue decreased to 29% from 31%, primarily attributable to an increase in third-party data center hosting costs and a decrease in sales of higher-margin software recognized at a point in time.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As of March 31, 2026, we had $219.4 million in cash and cash equivalents, which included $104.0 million held by our foreign subsidiaries. We believe our cash and cash equivalents balances, including those held by our foreign subsidiaries, as well as available borrowings from our $1.0 billion revolving line of credit and anticipated cash flows from operating activities, will be sufficient to fund our working and other capital requirements for at least the next 12 months and thereafter for the foreseeable future. Under our current financing arrangements, we have no significant debt obligations maturing over the next 12 months. For jurisdictions outside the U.S. where cash may be repatriated in the future, the Company expects the net impact of any repatriations to be immaterial to the Company’s overall tax liability.</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evaluate the merits of acquiring technology or businesses, or establishing strategic relationships with or investing in these businesses. We may elect to use available cash and cash equivalents to fund such activities in the future. In the event additional needs for cash arise, or if we refinance our existing debt, we may raise additional funds from a combination of sources, including the potential issuance of debt or equity securities. Additional financing might not be available on terms favorable to us, or at all. If adequate funds were not available or were not available on acceptable terms, our ability to take advantage of unanticipated opportunities or respond to competitive pressures could be limited.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Period-to-Period Change</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4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397,440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268,915</w:t>
            </w:r>
          </w:p>
        </w:tc>
        <w:tc>
          <w:tcPr>
            <w:tcW w:w="68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(247,723)</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89,309</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primary method for funding operations and growth has been through cash flows generated from operating activities. Net cash provided by operating activities increased to $397.4 million during the six months ended March 31, 2026 from $268.9 million during the six months ended March 31, 2025. The $128.5 million increase was attributable to a $107.7 million increase in net income and a $35.9 million increase in non-cash items, partially offset by a $15.1 million decrease due to the timing of receipts and payments in our ordinary course of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to $21.1 million for the six months ended March 31, 2026 from $19.9 million for the six months ended March 31, 2025. The $1.3 million increase was primarily attributable to a $3.6 million increase in capitalized internal-use software costs, partially offset by a $2.5 million decrease in purchases of property and equipment.</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increased to $289.2 million for the six months ended March 31, 2026 from $247.7 million for the six months ended March 31, 2025. The $41.5 million increase was primarily attributable to a $396.8 million increase in repurchases of common stock, a $327.5 million increase in payments, net of proceeds, on our revolving line of credit and term loans, and the $400.0 million repayment of 2018 Senior Notes (as defined below), partially offset by the proceeds from the issuance of our $1.0 billion 2026 Senior Notes (as defined below) and a $92.8 million decrease in taxes paid related to net share settlement of equity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June 2025, our Board of Directors approved a stock repurchase program (the “June 2025 program”), replacing our previously authorized July 2024 stock repurchase program, which was terminated prior to its expiration. The June 2025 program was open-ended and authorized repurchases of shares of our common stock from time to time up to an aggregate cost of $1.0 billion in the open market or in negotiated transactions. In February 2026, our Board of Directors approved a new stock repurchase program (the “February 2026 program”), replacing the June 2025 program, which was terminated prior to its expiration. The February 2026 program is open-ended and authorizes repurchases of shares of our common stock from time to time up to an aggregate cost of $1.5 billion in the open market or in negotiated transactions. The February 2026 program remains in effect until the total authorized amount is expended or until further action by our Board of Directors. As of March 31, 2026, we had $1.1 billion remaining under the February 2026 program. We expended $611.3 million and $773.9 million during the quarter and six months ended March 31, 2026, respectively, under the June 2025 program and the February 2026 program. We expended $207.0 million and $366.8 million during the quarter and six months ended March 31, 2025, respectively, under previously authorized stock repurchase programs.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 of Credit</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have a $1.0 billion unsecured revolving line of credit with a syndicate of banks that matures on May 13, 2030. Borrowings under the revolving line of credit can be used for working capital and general corporate purposes and may also be used for the refinancing of existing debt, acquisitions, and the repurchase of our common stock.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In addition, we must pay certain credit facility fees. The credit agreement contains certain restrictive covenants including a maximum consolidated leverage ratio of 3.5 to 1.0, subject to a step up to 4.0 to 1.0 following certain permitted acquisitions and subject to certain conditions, and contains other covenants typical of an unsecured credit facility.</w:t>
      </w:r>
    </w:p>
    <w:p>
      <w:pPr>
        <w:spacing w:after="0" w:line="13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we had $265.0 million in borrowings outstanding under the revolving line of credit at a weighted-average interest rate of 4.931%, and we were in compliance with all financial covenants under the credit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2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May 8, 2018, we issued $400 million of senior notes in a private offering to qualified institutional investors (the “2018 Senior Notes”). The 2018 Senior Notes required interest payments semi-annually at a rate of 5.25% per annum and were to mature on May 15, 2026. On March 26, 2026, prior to the maturity date, we repaid in full the 2018 Senior Notes, utilizing proceeds from the issuance of the 2026 Senior Notes (as defined below). On December 6, 2019, we issued $350 million of senior notes in a private offering to qualified institutional investors (the “2019 Senior Notes”). The 2019 Senior Notes require interest payments semi-annually at a rate of 4.00% per annum and will mature on June 15, 2028. On December 17, 2021, we issued $550 million of additional senior notes of the same class as the 2019 Senior Notes in a private offering to qualified institutional investors (the “2021 Senior Notes”). The 2021 Senior Notes require interest payments semi-annually at a rate of 4.00% per annum and will mature on June 15, 2028, the same date as the 2019 Senior Notes. On May 13, 2025, we issued $1.5 billion of senior notes in a private offering to qualified institutional investors (the “2025 Senior Notes”). The 2025 Senior Notes require interest payments semi-annually at a rate of 6.00% per annum and will mature on May 15, 2033. On March 20, 2026, we issued $1.0 billion of senior notes in a private offering to qualified institutional investors (the “2026 Senior Notes,” and collectively with the 2018 Senior Notes, the 2019 Senior Notes, the 2021 Senior Notes, and the 2025 Senior Notes, the “Senior Notes”). The 2026 Senior Notes require interest payments semi-annually at a rate of 6.25% per annum and will mature on September 15, 2034. The indentures for the Senior Notes contain certain covenants typical of unsecured obligations. As of March 31, 2026, the carrying value of the Senior Notes was $3.4 billion and we were in compliance with all financial covenants under these obligations.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U.S. GAAP. These accounting principles require management to make certain judgments and assumptions that affect the reported amounts of assets and liabilities and the disclosure of contingent assets and liabilities as of the date of the condensed consolidated financial statements, and the reported amounts of revenues and expenses during the reporting period. We periodically evaluate our estimates including those relating to revenue recognition, goodwill resulting from business combinations and other long-lived assets — impairment assessment, share-based compensation, income taxes, and contingencies and litigation. We base our estimates on historical experience and various other assumptions that we believe to be reasonable based on the specific circumstances, the results of which form the basis for making judgments about the carrying value of certain assets and liabilities that are not readily apparent from other sources. Actual results may differ from these estimates and such differences could be material to our financial condition and results of operations. Critical accounting estimates are those that involve a significant level of estimation uncertainty and have had or are reasonably likely to have a material impact on our financial condition and results of operations.</w:t>
      </w:r>
    </w:p>
    <w:p>
      <w:pPr>
        <w:spacing w:after="0" w:line="14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critical accounting estimates disclosed in Part II, Item 7 “Management’s Discussion and Analysis of Financial Condition and Results of Operations” of our Annual Report on Form 10-K for the fiscal year ended September 30, 2025 (“Annual Report on Form 10-K”). There have been no significant changes from the critical accounting estimates disclosed in our Annual Report on Form 10-K.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information about recent accounting pronouncements not yet adopted and the impact on our consolidated financial statements, refer to Part I, Item 1, “Unaudited Financial Statements,” Note 1, “Nature of Business” in our accompanying Notes to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Disclosures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and foreign exchange rates. We do not use derivative financial instruments for speculative or trading purposes.</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consisting of bank deposits and money market funds. The funds provide daily liquidity and may be subject to interest rate risk and fall in value if market interest rates increase. We do not expect our operating expenses to be affected to any significant degree by a sudden change in market interest rates. The following table presents the principal amounts and related weighted-average yields for our investments with interest rate risk at March 31, 2026 and September 30,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340" w:type="dxa"/>
            <w:vAlign w:val="bottom"/>
          </w:tcPr>
          <w:p>
            <w:pPr>
              <w:spacing w:after="0"/>
              <w:rPr>
                <w:sz w:val="16"/>
                <w:szCs w:val="16"/>
                <w:color w:val="auto"/>
              </w:rPr>
            </w:pPr>
          </w:p>
        </w:tc>
      </w:tr>
      <w:tr>
        <w:trPr>
          <w:trHeight w:val="23"/>
        </w:trPr>
        <w:tc>
          <w:tcPr>
            <w:tcW w:w="2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28"/>
        </w:trPr>
        <w:tc>
          <w:tcPr>
            <w:tcW w:w="20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center"/>
              <w:ind w:right="38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tcBorders>
              <w:top w:val="single" w:sz="8" w:color="auto"/>
            </w:tcBorders>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344"/>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340" w:type="dxa"/>
            <w:vAlign w:val="bottom"/>
            <w:tcBorders>
              <w:top w:val="single" w:sz="8" w:color="auto"/>
            </w:tcBorders>
          </w:tcPr>
          <w:p>
            <w:pPr>
              <w:jc w:val="center"/>
              <w:ind w:right="122"/>
              <w:spacing w:after="0" w:line="12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96"/>
        </w:trPr>
        <w:tc>
          <w:tcPr>
            <w:tcW w:w="20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80" w:type="dxa"/>
            <w:vAlign w:val="bottom"/>
            <w:tcBorders>
              <w:bottom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Yield</w:t>
            </w:r>
          </w:p>
        </w:tc>
      </w:tr>
      <w:tr>
        <w:trPr>
          <w:trHeight w:val="196"/>
        </w:trPr>
        <w:tc>
          <w:tcPr>
            <w:tcW w:w="2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8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6"/>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219,419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8"/>
                <w:szCs w:val="18"/>
                <w:color w:val="auto"/>
              </w:rPr>
              <w:t>219,419</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2.75 %  $</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134,136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284"/>
              <w:spacing w:after="0"/>
              <w:rPr>
                <w:sz w:val="20"/>
                <w:szCs w:val="20"/>
                <w:color w:val="auto"/>
              </w:rPr>
            </w:pPr>
            <w:r>
              <w:rPr>
                <w:rFonts w:ascii="Times New Roman" w:cs="Times New Roman" w:eastAsia="Times New Roman" w:hAnsi="Times New Roman"/>
                <w:sz w:val="18"/>
                <w:szCs w:val="18"/>
                <w:color w:val="auto"/>
              </w:rPr>
              <w:t>134,136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bl>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Senior Notes may increase or decrease due to various factors, including fluctuations in market interest rates and fluctuations in general economic conditions. See “Management’s Discussion and Analysis of Financial Condition and Results of Operations – Capital Resources and Liquidity” for additional information on the Senior Notes. The following table presents the face values and fair values for the Senior Notes at March 31, 2026 and September 30,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16"/>
                <w:szCs w:val="16"/>
                <w:color w:val="auto"/>
              </w:rPr>
            </w:pPr>
          </w:p>
        </w:tc>
        <w:tc>
          <w:tcPr>
            <w:tcW w:w="272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7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200" w:type="dxa"/>
            <w:vAlign w:val="bottom"/>
            <w:gridSpan w:val="2"/>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rPr>
              <w:t>The 2018 Senior Notes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399,500</w:t>
            </w:r>
          </w:p>
        </w:tc>
      </w:tr>
      <w:tr>
        <w:trPr>
          <w:trHeight w:val="229"/>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2019</w:t>
            </w:r>
          </w:p>
        </w:tc>
        <w:tc>
          <w:tcPr>
            <w:tcW w:w="44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99"/>
              </w:rPr>
              <w:t>Senior Notes and the 2021 Senior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875,250</w:t>
            </w:r>
          </w:p>
        </w:tc>
      </w:tr>
      <w:tr>
        <w:trPr>
          <w:trHeight w:val="230"/>
        </w:trPr>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 2025</w:t>
            </w:r>
          </w:p>
        </w:tc>
        <w:tc>
          <w:tcPr>
            <w:tcW w:w="4460" w:type="dxa"/>
            <w:vAlign w:val="bottom"/>
            <w:shd w:val="clear" w:color="auto" w:fill="CCEEFF"/>
          </w:tcPr>
          <w:p>
            <w:pPr>
              <w:jc w:val="right"/>
              <w:ind w:right="341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1,518,750</w:t>
            </w:r>
          </w:p>
        </w:tc>
      </w:tr>
      <w:tr>
        <w:trPr>
          <w:trHeight w:val="230"/>
        </w:trPr>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2026</w:t>
            </w:r>
          </w:p>
        </w:tc>
        <w:tc>
          <w:tcPr>
            <w:tcW w:w="446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Senior Notes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2,793,500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interest rate risk with respect to our unsecured revolving line of credit. Interest rates on amounts borrowed under the revolving line of credit are based on (i) an adjusted base rate, which is the greatest of (a) the prime rate, (b) the Federal Funds rate plus 0.5%, and (c) the Daily Simple Secured Overnight Financing Rate (“SOFR”) plus 1%, plus, in each case, an applicable margin, (ii) the Daily Simple SOFR plus an applicable margin (or, if such rate is no longer available, a successor benchmark rate determined in accordance with the terms of the credit agreement), or (iii) term SOFR (without a credit spread adjustment) plus an applicable margin (or, if such rate is no longer available, a successor benchmark rate determined in accordance with the terms of the credit agreement). The applicable margin for base rate borrowings and for SOFR borrowings is determined based on our consolidated leverage ratio. The applicable margin for base rate borrowings ranges from 0% to 0.75% per annum and for SOFR borrowings ranges from 1% to 1.75% per annum. A change in interest rates on this variable rate debt impacts the interest incurred and cash flows, but does not impact the fair value of the instrument. As of March 31, 2026, we had $265.0 million in borrowings outstanding under the revolving line of credit at a weighted-average interest rate of 4.931%.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maintain a program to manage our foreign exchange rate risk on existing foreign-currency-denominated receivables and cash balances by entering into forward contracts to sell or buy foreign currencies. At period end, foreign-currency-denominated receivables and cash balances held by our various reporting entities are remeasured into their respective functional currencies at current market rates. The change in value from this remeasurement is then reported as a foreign exchange gain or loss for that period in our accompanying condensed consolidated statements of income and comprehensive income and the resulting gain or loss on the forward contract mitigates the foreign exchange rate risk of the associated assets. All of our foreign currency forward contracts have maturity periods of less than three months. Such derivative financial instruments are subject to market risk.</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summarize our outstanding foreign currency forward contracts, by currency, at March 31, 2026 and September 30,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15,400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95"/>
        </w:trPr>
        <w:tc>
          <w:tcPr>
            <w:tcW w:w="5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31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35"/>
        </w:trPr>
        <w:tc>
          <w:tcPr>
            <w:tcW w:w="5980" w:type="dxa"/>
            <w:vAlign w:val="bottom"/>
          </w:tcPr>
          <w:p>
            <w:pPr>
              <w:spacing w:after="0"/>
              <w:rPr>
                <w:sz w:val="11"/>
                <w:szCs w:val="11"/>
                <w:color w:val="auto"/>
              </w:rPr>
            </w:pPr>
          </w:p>
        </w:tc>
        <w:tc>
          <w:tcPr>
            <w:tcW w:w="1480" w:type="dxa"/>
            <w:vAlign w:val="bottom"/>
          </w:tcPr>
          <w:p>
            <w:pPr>
              <w:jc w:val="center"/>
              <w:ind w:left="599"/>
              <w:spacing w:after="0" w:line="135" w:lineRule="exact"/>
              <w:rPr>
                <w:sz w:val="20"/>
                <w:szCs w:val="20"/>
                <w:color w:val="auto"/>
              </w:rPr>
            </w:pPr>
            <w:r>
              <w:rPr>
                <w:rFonts w:ascii="Times New Roman" w:cs="Times New Roman" w:eastAsia="Times New Roman" w:hAnsi="Times New Roman"/>
                <w:sz w:val="14"/>
                <w:szCs w:val="14"/>
                <w:b w:val="1"/>
                <w:bCs w:val="1"/>
                <w:color w:val="auto"/>
              </w:rPr>
              <w:t>Foreign</w:t>
            </w:r>
          </w:p>
        </w:tc>
        <w:tc>
          <w:tcPr>
            <w:tcW w:w="6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vMerge w:val="restart"/>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Borders>
              <w:bottom w:val="single" w:sz="8" w:color="auto"/>
            </w:tcBorders>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 foreign currency:</w:t>
            </w:r>
          </w:p>
        </w:tc>
        <w:tc>
          <w:tcPr>
            <w:tcW w:w="14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Euro (EUR)</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 foreign currency:</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British pound (GBP)</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0" w:type="dxa"/>
            <w:vAlign w:val="bottom"/>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Singapore dollar (SGD)</w:t>
            </w:r>
          </w:p>
        </w:tc>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0" w:type="dxa"/>
            <w:vAlign w:val="bottom"/>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foreign currency forward contracts were entered into on March 31, 2026 and September 30, 2025; therefore, their fair value was $0 on each of these 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FICO’s management, including the Chief Executive Officer (“CEO”) and Chief Financial Officer (“CFO”), of the effectiveness of the design and operation of FICO’s disclosure controls and procedures (as defined in Rules 13a-15(e) or 15d-15(e) under the Securities Exchange Act of 1934, as amended (the “Exchange Act”)) as of the end of the period covered by this quarterly report. Based on that evaluation, the CEO and CFO have concluded that FICO’s disclosure controls and procedures were effective as of March 31, 2026 to ensure that information required to be disclosed by FICO in reports that it files or submits under the Exchange Act is recorded, processed, summarized and reported within the time periods specified in SEC rules and forms. In addition, the disclosure controls and procedures are designed to ensure that information required to be disclosed is accumulated and communicated to management, including the CEO and CFO, allowing timely decisions regarding required disclosure.</w:t>
      </w:r>
    </w:p>
    <w:p>
      <w:pPr>
        <w:spacing w:after="0" w:line="2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No change in FICO’s internal control over financial reporting was identified in connection with the evaluation required by Rules 13a-15 or 15d-15 of the Exchange Act that occurred during the period covered by this quarterly report and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FICO is a defendant in consolidated putative class action lawsuits brought in the Northern District of Illinois against FICO and the credit bureaus, Equifax, Experian and TransUnion, alleging antitrust claims in connection with the distribution of FICO Scores. On November 24, 2024, the court ruled on FICO’s and the credit bureaus’ motions to dismiss the plaintiffs’ amended complaints. The court dismissed with prejudice all claims in the lawsuit other than a Sherman Act Section 2 claim and accompanying state law claims against FICO, which were allowed to proceed through the discovery stage of the litigation. FICO intends to vigorously defend against the remaining claims in this proceeding.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in Part I, Item 1A “Risk Factors” in our Annual Report on Form 10-K for our fiscal year ended September 30, 2025 (our “Annual Report on Form 10-K”). The risks discussed in our Annual Report on Form 10-K could materially affect our business, financial condition and future results. The risks described in our Annual Report on Form 10-K are not the only risks facing us. Additional risks and uncertainties not currently known to us or that we currently deem to be insignificant also may materially and adversely affect our business, financial condition or operating results in the future. There have been no material changes from the risk factors disclosed in our Annual Report on Form 10-K.</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Maximum Dollar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jc w:val="center"/>
              <w:ind w:right="141"/>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80" w:type="dxa"/>
            <w:vAlign w:val="bottom"/>
            <w:gridSpan w:val="3"/>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Purchased </w:t>
            </w:r>
            <w:r>
              <w:rPr>
                <w:rFonts w:ascii="Times New Roman" w:cs="Times New Roman" w:eastAsia="Times New Roman" w:hAnsi="Times New Roman"/>
                <w:sz w:val="17"/>
                <w:szCs w:val="17"/>
                <w:b w:val="1"/>
                <w:bCs w:val="1"/>
                <w:color w:val="auto"/>
                <w:w w:val="97"/>
                <w:vertAlign w:val="superscript"/>
              </w:rPr>
              <w:t>(1)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Programs </w:t>
            </w:r>
            <w:r>
              <w:rPr>
                <w:rFonts w:ascii="Times New Roman" w:cs="Times New Roman" w:eastAsia="Times New Roman" w:hAnsi="Times New Roman"/>
                <w:sz w:val="17"/>
                <w:szCs w:val="17"/>
                <w:b w:val="1"/>
                <w:bCs w:val="1"/>
                <w:color w:val="auto"/>
                <w:w w:val="97"/>
                <w:vertAlign w:val="superscript"/>
              </w:rPr>
              <w:t>(2)</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103,013,127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1,488,641,912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358,944</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1,183.53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358,865</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1,063,943,242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484,762</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1,251.86</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483,856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1,063,943,242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line="28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906 shares delivered in satisfaction of the tax withholding obligations resulting from the vesting of restricted stock units held by employees during the quarter ended March 31, 2026.</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our Board of Directors approved a stock repurchase program (the “June 2025 program”), replacing our previously authorized July 2024 stock repurchase program, which was terminated prior to its expiration. The June 2025 program was open-ended and authorized repurchases of shares of our common stock from time to time up to an aggregate cost of $1.0 billion in the open market or in negotiated transactions. In February 2026, our Board of Directors approved a new stock repurchase program (the “February 2026 program”), replacing the June 2025 program, which was terminated prior to its expiration. The February 2026 program is open-ended and authorizes repurchases of shares of our common stock from time to time up to an aggregate cost of $1.5 billion in the open market or in negotiated transactions. The February 2026 program remains in effect until the total authorized amount is expended or until further action by our Board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19, 2026, Eva Manolis, a member of our Board of Directors, entered into a pre-arranged trading plan that is intended to satisfy the affirmative defense of Rule 10b5-1(c) of the Exchange Act. This plan provides for the sale of up to 1,934 shares of our common stock and terminates on the earlier of the close of business on March 4, 2027 or the date all shares are sold thereunder.</w:t>
      </w:r>
    </w:p>
    <w:p>
      <w:pPr>
        <w:spacing w:after="0" w:line="12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26, 2026, William Lansing, our Chief Executive Officer and a member of our Board of Directors, terminated the pre-arranged trading plan that he had entered into on November 20, 2025 and that was intended to satisfy the affirmative defense of Rule 10b5-1(c) of the Exchange Act. This plan provided for the sale by Mr. Lansing and the Lansing Revocable Trust of up to 47,904 shares of our common stock, plus a number of shares of our common stock resulting from the vesting of up to 7,829 shares minus the number of shares ultimately withheld for tax withholding purposes, and was originally scheduled to terminate on the earlier of the close of business on December 18, 2026 or the date all shares were sold thereunder.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11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3.3</w:t>
      </w:r>
    </w:p>
    <w:p>
      <w:pPr>
        <w:spacing w:after="0" w:line="34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4.1</w:t>
      </w:r>
    </w:p>
    <w:p>
      <w:pPr>
        <w:spacing w:after="0" w:line="266"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31.1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31.2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32.1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32.2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101.INS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101.SCH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101.CAL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101.DEF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101.LAB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101.PRE *</w:t>
      </w:r>
    </w:p>
    <w:p>
      <w:pPr>
        <w:spacing w:after="0" w:line="77"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8"/>
          <w:szCs w:val="18"/>
          <w:color w:val="auto"/>
        </w:rPr>
        <w:t>104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3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48"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Restated Certificate of Incorporation of Fair Isaac Corporation, dated March 4, 2026. (Incorporated by reference to Exhibit 3.2 to the</w:t>
        </w:r>
      </w:hyperlink>
      <w:r>
        <w:rPr>
          <w:rFonts w:ascii="Times New Roman" w:cs="Times New Roman" w:eastAsia="Times New Roman" w:hAnsi="Times New Roman"/>
          <w:sz w:val="18"/>
          <w:szCs w:val="18"/>
          <w:u w:val="single" w:color="auto"/>
          <w:color w:val="0000FF"/>
        </w:rPr>
        <w:t xml:space="preserve"> </w:t>
      </w:r>
      <w:hyperlink r:id="rId65">
        <w:r>
          <w:rPr>
            <w:rFonts w:ascii="Times New Roman" w:cs="Times New Roman" w:eastAsia="Times New Roman" w:hAnsi="Times New Roman"/>
            <w:sz w:val="18"/>
            <w:szCs w:val="18"/>
            <w:u w:val="single" w:color="auto"/>
            <w:color w:val="0000FF"/>
          </w:rPr>
          <w:t>Company’s Form 8-K filed on March 5, 2026.)</w:t>
        </w:r>
      </w:hyperlink>
    </w:p>
    <w:p>
      <w:pPr>
        <w:spacing w:after="0" w:line="41"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Certificate of Amendment of Restated Certificate of Incorporation of Fair Isaac Corporation dated March 4, 2026. (Incorporated by</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reference to Exhibit 3.1 to the Company’s Form 8-K filed on March 5, 2026.)</w:t>
        </w:r>
      </w:hyperlink>
    </w:p>
    <w:p>
      <w:pPr>
        <w:spacing w:after="0" w:line="41" w:lineRule="exact"/>
        <w:rPr>
          <w:sz w:val="20"/>
          <w:szCs w:val="20"/>
          <w:color w:val="auto"/>
        </w:rPr>
      </w:pPr>
    </w:p>
    <w:p>
      <w:pPr>
        <w:spacing w:after="0" w:line="250" w:lineRule="auto"/>
        <w:rPr>
          <w:rFonts w:ascii="Times New Roman" w:cs="Times New Roman" w:eastAsia="Times New Roman" w:hAnsi="Times New Roman"/>
          <w:sz w:val="18"/>
          <w:szCs w:val="18"/>
          <w:u w:val="single" w:color="auto"/>
          <w:color w:val="0000FF"/>
        </w:rPr>
      </w:pPr>
      <w:hyperlink r:id="rId67">
        <w:r>
          <w:rPr>
            <w:rFonts w:ascii="Times New Roman" w:cs="Times New Roman" w:eastAsia="Times New Roman" w:hAnsi="Times New Roman"/>
            <w:sz w:val="18"/>
            <w:szCs w:val="18"/>
            <w:u w:val="single" w:color="auto"/>
            <w:color w:val="0000FF"/>
          </w:rPr>
          <w:t>By-laws of Fair Isaac Corporation. (Incorporated by reference to Exhibit 3.1 to the Company’s Form 10-Q for the quarter ended</w:t>
        </w:r>
      </w:hyperlink>
      <w:r>
        <w:rPr>
          <w:rFonts w:ascii="Times New Roman" w:cs="Times New Roman" w:eastAsia="Times New Roman" w:hAnsi="Times New Roman"/>
          <w:sz w:val="18"/>
          <w:szCs w:val="18"/>
          <w:u w:val="single" w:color="auto"/>
          <w:color w:val="0000FF"/>
        </w:rPr>
        <w:t xml:space="preserve"> </w:t>
      </w:r>
      <w:hyperlink r:id="rId67">
        <w:r>
          <w:rPr>
            <w:rFonts w:ascii="Times New Roman" w:cs="Times New Roman" w:eastAsia="Times New Roman" w:hAnsi="Times New Roman"/>
            <w:sz w:val="18"/>
            <w:szCs w:val="18"/>
            <w:u w:val="single" w:color="auto"/>
            <w:color w:val="0000FF"/>
          </w:rPr>
          <w:t>December 31, 2009.)</w:t>
        </w:r>
      </w:hyperlink>
    </w:p>
    <w:p>
      <w:pPr>
        <w:spacing w:after="0" w:line="4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Indenture dated as of March 20, 2026, by and between the Company and U.S. Bank Trust Company, National Association, as trustee,</w:t>
        </w:r>
      </w:hyperlink>
    </w:p>
    <w:p>
      <w:pPr>
        <w:spacing w:after="0" w:line="2" w:lineRule="exact"/>
        <w:rPr>
          <w:sz w:val="20"/>
          <w:szCs w:val="20"/>
          <w:color w:val="auto"/>
        </w:rPr>
      </w:pPr>
    </w:p>
    <w:p>
      <w:pPr>
        <w:ind w:right="20"/>
        <w:spacing w:after="0" w:line="226" w:lineRule="auto"/>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which includes the form of 6.250% Senior Notes due 2034. (Incorporated by reference to Exhibit 4.1 to the Company’s Form 8-K</w:t>
        </w:r>
      </w:hyperlink>
      <w:r>
        <w:rPr>
          <w:rFonts w:ascii="Times New Roman" w:cs="Times New Roman" w:eastAsia="Times New Roman" w:hAnsi="Times New Roman"/>
          <w:sz w:val="18"/>
          <w:szCs w:val="18"/>
          <w:u w:val="single" w:color="auto"/>
          <w:color w:val="0000FF"/>
        </w:rPr>
        <w:t xml:space="preserve"> </w:t>
      </w:r>
      <w:hyperlink r:id="rId68">
        <w:r>
          <w:rPr>
            <w:rFonts w:ascii="Times New Roman" w:cs="Times New Roman" w:eastAsia="Times New Roman" w:hAnsi="Times New Roman"/>
            <w:sz w:val="18"/>
            <w:szCs w:val="18"/>
            <w:u w:val="single" w:color="auto"/>
            <w:color w:val="0000FF"/>
          </w:rPr>
          <w:t>filed March 20, 2026.)</w:t>
        </w:r>
      </w:hyperlink>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Certifications of CEO.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13a-14(a)/15d-14(a) Certifications of CFO.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 of CEO.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 of CFO.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280" w:space="280"/>
            <w:col w:w="9640"/>
          </w:cols>
          <w:pgMar w:left="320" w:top="121" w:right="379" w:bottom="1440" w:gutter="0" w:footer="0" w:header="0"/>
        </w:sectPr>
      </w:pPr>
    </w:p>
    <w:p>
      <w:pPr>
        <w:spacing w:after="0" w:line="295" w:lineRule="exact"/>
        <w:rPr>
          <w:sz w:val="20"/>
          <w:szCs w:val="20"/>
          <w:color w:val="auto"/>
        </w:rPr>
      </w:pPr>
    </w:p>
    <w:p>
      <w:pPr>
        <w:ind w:left="380" w:hanging="354"/>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2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93"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28, 2026</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STEVEN P. WEBER</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Steven P. Weber</w:t>
            </w:r>
          </w:p>
        </w:tc>
      </w:tr>
      <w:tr>
        <w:trPr>
          <w:trHeight w:val="229"/>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30"/>
        </w:trPr>
        <w:tc>
          <w:tcPr>
            <w:tcW w:w="52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(for Registrant as duly authorized officer and</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as Principal Financial Officer)</w:t>
            </w:r>
          </w:p>
        </w:tc>
      </w:tr>
    </w:tbl>
    <w:p>
      <w:pPr>
        <w:spacing w:after="0" w:line="26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28, 2026</w:t>
      </w:r>
    </w:p>
    <w:p>
      <w:pPr>
        <w:spacing w:after="0" w:line="293" w:lineRule="exact"/>
        <w:rPr>
          <w:sz w:val="20"/>
          <w:szCs w:val="20"/>
          <w:color w:val="auto"/>
        </w:rPr>
      </w:pPr>
    </w:p>
    <w:tbl>
      <w:tblPr>
        <w:tblLayout w:type="fixed"/>
        <w:tblInd w:w="530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S. LEONARD</w:t>
            </w:r>
          </w:p>
        </w:tc>
      </w:tr>
      <w:tr>
        <w:trPr>
          <w:trHeight w:val="216"/>
        </w:trPr>
        <w:tc>
          <w:tcPr>
            <w:tcW w:w="52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S. Leonard</w:t>
            </w:r>
          </w:p>
        </w:tc>
      </w:tr>
      <w:tr>
        <w:trPr>
          <w:trHeight w:val="182"/>
        </w:trPr>
        <w:tc>
          <w:tcPr>
            <w:tcW w:w="520" w:type="dxa"/>
            <w:vAlign w:val="bottom"/>
          </w:tcPr>
          <w:p>
            <w:pPr>
              <w:spacing w:after="0"/>
              <w:rPr>
                <w:sz w:val="15"/>
                <w:szCs w:val="15"/>
                <w:color w:val="auto"/>
              </w:rPr>
            </w:pPr>
          </w:p>
        </w:tc>
        <w:tc>
          <w:tcPr>
            <w:tcW w:w="53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Vice President and Chief Accounting Officer</w:t>
            </w:r>
          </w:p>
        </w:tc>
      </w:tr>
      <w:tr>
        <w:trPr>
          <w:trHeight w:val="236"/>
        </w:trPr>
        <w:tc>
          <w:tcPr>
            <w:tcW w:w="52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Lansing, certify that:</w:t>
      </w:r>
    </w:p>
    <w:p>
      <w:pPr>
        <w:spacing w:after="0" w:line="144"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LANSING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657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Lansing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P. Weber, certify that:</w:t>
      </w:r>
    </w:p>
    <w:p>
      <w:pPr>
        <w:spacing w:after="0" w:line="252"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Fair Isaac Corporation;</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2026</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STEVEN P.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000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Steven P. Weber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LANSING</w:t>
            </w:r>
          </w:p>
        </w:tc>
      </w:tr>
      <w:tr>
        <w:trPr>
          <w:trHeight w:val="218"/>
        </w:trPr>
        <w:tc>
          <w:tcPr>
            <w:tcW w:w="502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Lansing</w:t>
            </w:r>
          </w:p>
        </w:tc>
      </w:tr>
      <w:tr>
        <w:trPr>
          <w:trHeight w:val="234"/>
        </w:trPr>
        <w:tc>
          <w:tcPr>
            <w:tcW w:w="502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Fair Isaac Corporation.</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P. WEBER</w:t>
            </w:r>
          </w:p>
        </w:tc>
      </w:tr>
      <w:tr>
        <w:trPr>
          <w:trHeight w:val="216"/>
        </w:trPr>
        <w:tc>
          <w:tcPr>
            <w:tcW w:w="496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P. Weber</w:t>
            </w:r>
          </w:p>
        </w:tc>
      </w:tr>
      <w:tr>
        <w:trPr>
          <w:trHeight w:val="236"/>
        </w:trPr>
        <w:tc>
          <w:tcPr>
            <w:tcW w:w="496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7"/>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emdash "/>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5" Type="http://schemas.openxmlformats.org/officeDocument/2006/relationships/hyperlink" Target="https://www.sec.gov/Archives/edgar/data/814547/000119312526093964/d106510dex32.htm" TargetMode="External"/><Relationship Id="rId66" Type="http://schemas.openxmlformats.org/officeDocument/2006/relationships/hyperlink" Target="https://www.sec.gov/Archives/edgar/data/814547/000119312526093964/d106510dex31.htm" TargetMode="External"/><Relationship Id="rId67" Type="http://schemas.openxmlformats.org/officeDocument/2006/relationships/hyperlink" Target="https://www.sec.gov/Archives/edgar/data/814547/000095012310009970/c56194exv3w1.htm" TargetMode="External"/><Relationship Id="rId68" Type="http://schemas.openxmlformats.org/officeDocument/2006/relationships/hyperlink" Target="https://www.sec.gov/Archives/edgar/data/814547/000119312526117936/d5622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2026-04-28T16:12:27Z</dcterms:created>
  <dcterms:modified xsi:type="dcterms:W3CDTF">2026-04-28T16:12:27Z</dcterms:modified>
</cp:coreProperties>
</file>