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107315</wp:posOffset>
            </wp:positionV>
            <wp:extent cx="1380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100965</wp:posOffset>
            </wp:positionV>
            <wp:extent cx="1380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29"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spacing w:after="0" w:line="121" w:lineRule="exact"/>
        <w:rPr>
          <w:sz w:val="24"/>
          <w:szCs w:val="24"/>
          <w:color w:val="auto"/>
        </w:rPr>
      </w:pPr>
    </w:p>
    <w:p>
      <w:pPr>
        <w:ind w:left="400" w:right="40" w:hanging="374"/>
        <w:spacing w:after="0" w:line="235" w:lineRule="auto"/>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35" w:lineRule="exact"/>
        <w:rPr>
          <w:sz w:val="24"/>
          <w:szCs w:val="24"/>
          <w:color w:val="auto"/>
        </w:rPr>
      </w:pPr>
    </w:p>
    <w:p>
      <w:pPr>
        <w:ind w:left="400" w:right="60" w:hanging="374"/>
        <w:spacing w:after="0" w:line="235" w:lineRule="auto"/>
        <w:tabs>
          <w:tab w:leader="none" w:pos="4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5"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2"/>
              </w:rPr>
              <w:t>to</w:t>
            </w:r>
          </w:p>
        </w:tc>
      </w:tr>
      <w:tr>
        <w:trPr>
          <w:trHeight w:val="385"/>
        </w:trPr>
        <w:tc>
          <w:tcPr>
            <w:tcW w:w="3460" w:type="dxa"/>
            <w:vAlign w:val="bottom"/>
            <w:gridSpan w:val="5"/>
          </w:tcPr>
          <w:p>
            <w:pPr>
              <w:jc w:val="right"/>
              <w:spacing w:after="0"/>
              <w:rPr>
                <w:sz w:val="20"/>
                <w:szCs w:val="20"/>
                <w:color w:val="auto"/>
              </w:rPr>
            </w:pPr>
            <w:r>
              <w:rPr>
                <w:rFonts w:ascii="Arial" w:cs="Arial" w:eastAsia="Arial" w:hAnsi="Arial"/>
                <w:sz w:val="18"/>
                <w:szCs w:val="18"/>
                <w:b w:val="1"/>
                <w:bCs w:val="1"/>
                <w:color w:val="auto"/>
              </w:rPr>
              <w:t>Commission File Number 1-11689</w:t>
            </w:r>
          </w:p>
        </w:tc>
      </w:tr>
      <w:tr>
        <w:trPr>
          <w:trHeight w:val="108"/>
        </w:trPr>
        <w:tc>
          <w:tcPr>
            <w:tcW w:w="112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4399915</wp:posOffset>
            </wp:positionH>
            <wp:positionV relativeFrom="paragraph">
              <wp:posOffset>-334010</wp:posOffset>
            </wp:positionV>
            <wp:extent cx="571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Fair Isaac Corporation</w:t>
      </w:r>
    </w:p>
    <w:p>
      <w:pPr>
        <w:spacing w:after="0" w:line="71" w:lineRule="exact"/>
        <w:rPr>
          <w:sz w:val="24"/>
          <w:szCs w:val="24"/>
          <w:color w:val="auto"/>
        </w:rPr>
      </w:pPr>
    </w:p>
    <w:tbl>
      <w:tblPr>
        <w:tblLayout w:type="fixed"/>
        <w:tblInd w:w="2080" w:type="dxa"/>
        <w:tblCellMar>
          <w:top w:w="0" w:type="dxa"/>
          <w:left w:w="0" w:type="dxa"/>
          <w:bottom w:w="0" w:type="dxa"/>
          <w:right w:w="0" w:type="dxa"/>
        </w:tblCellMar>
      </w:tblPr>
      <w:tr>
        <w:trPr>
          <w:trHeight w:val="234"/>
        </w:trPr>
        <w:tc>
          <w:tcPr>
            <w:tcW w:w="6140" w:type="dxa"/>
            <w:vAlign w:val="bottom"/>
            <w:gridSpan w:val="3"/>
          </w:tcPr>
          <w:p>
            <w:pPr>
              <w:jc w:val="center"/>
              <w:ind w:left="817"/>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220" w:type="dxa"/>
            <w:vAlign w:val="bottom"/>
          </w:tcPr>
          <w:p>
            <w:pPr>
              <w:spacing w:after="0"/>
              <w:rPr>
                <w:sz w:val="20"/>
                <w:szCs w:val="20"/>
                <w:color w:val="auto"/>
              </w:rPr>
            </w:pPr>
          </w:p>
        </w:tc>
      </w:tr>
      <w:tr>
        <w:trPr>
          <w:trHeight w:val="175"/>
        </w:trPr>
        <w:tc>
          <w:tcPr>
            <w:tcW w:w="2460" w:type="dxa"/>
            <w:vAlign w:val="bottom"/>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430"/>
        </w:trPr>
        <w:tc>
          <w:tcPr>
            <w:tcW w:w="614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3"/>
              </w:rPr>
              <w:t>Delaware</w:t>
            </w:r>
          </w:p>
        </w:tc>
        <w:tc>
          <w:tcPr>
            <w:tcW w:w="1220" w:type="dxa"/>
            <w:vAlign w:val="bottom"/>
          </w:tcPr>
          <w:p>
            <w:pPr>
              <w:jc w:val="center"/>
              <w:ind w:left="21"/>
              <w:spacing w:after="0"/>
              <w:rPr>
                <w:sz w:val="20"/>
                <w:szCs w:val="20"/>
                <w:color w:val="auto"/>
              </w:rPr>
            </w:pPr>
            <w:r>
              <w:rPr>
                <w:rFonts w:ascii="Arial" w:cs="Arial" w:eastAsia="Arial" w:hAnsi="Arial"/>
                <w:sz w:val="18"/>
                <w:szCs w:val="18"/>
                <w:b w:val="1"/>
                <w:bCs w:val="1"/>
                <w:color w:val="auto"/>
                <w:w w:val="91"/>
              </w:rPr>
              <w:t>94-1499887</w:t>
            </w:r>
          </w:p>
        </w:tc>
      </w:tr>
      <w:tr>
        <w:trPr>
          <w:trHeight w:val="186"/>
        </w:trPr>
        <w:tc>
          <w:tcPr>
            <w:tcW w:w="6140" w:type="dxa"/>
            <w:vAlign w:val="bottom"/>
            <w:gridSpan w:val="3"/>
          </w:tcPr>
          <w:p>
            <w:pPr>
              <w:jc w:val="center"/>
              <w:ind w:right="3780"/>
              <w:spacing w:after="0"/>
              <w:rPr>
                <w:sz w:val="20"/>
                <w:szCs w:val="20"/>
                <w:color w:val="auto"/>
              </w:rPr>
            </w:pPr>
            <w:r>
              <w:rPr>
                <w:rFonts w:ascii="Arial" w:cs="Arial" w:eastAsia="Arial" w:hAnsi="Arial"/>
                <w:sz w:val="14"/>
                <w:szCs w:val="14"/>
                <w:b w:val="1"/>
                <w:bCs w:val="1"/>
                <w:color w:val="auto"/>
                <w:w w:val="93"/>
              </w:rPr>
              <w:t>(State or other jurisdiction of</w:t>
            </w:r>
          </w:p>
        </w:tc>
        <w:tc>
          <w:tcPr>
            <w:tcW w:w="1220" w:type="dxa"/>
            <w:vAlign w:val="bottom"/>
          </w:tcPr>
          <w:p>
            <w:pPr>
              <w:jc w:val="center"/>
              <w:ind w:left="21"/>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6140" w:type="dxa"/>
            <w:vAlign w:val="bottom"/>
            <w:gridSpan w:val="3"/>
          </w:tcPr>
          <w:p>
            <w:pPr>
              <w:jc w:val="center"/>
              <w:ind w:right="3780"/>
              <w:spacing w:after="0"/>
              <w:rPr>
                <w:sz w:val="20"/>
                <w:szCs w:val="20"/>
                <w:color w:val="auto"/>
              </w:rPr>
            </w:pPr>
            <w:r>
              <w:rPr>
                <w:rFonts w:ascii="Arial" w:cs="Arial" w:eastAsia="Arial" w:hAnsi="Arial"/>
                <w:sz w:val="14"/>
                <w:szCs w:val="14"/>
                <w:b w:val="1"/>
                <w:bCs w:val="1"/>
                <w:color w:val="auto"/>
                <w:w w:val="94"/>
              </w:rPr>
              <w:t>incorporation or organization)</w:t>
            </w:r>
          </w:p>
        </w:tc>
        <w:tc>
          <w:tcPr>
            <w:tcW w:w="1220" w:type="dxa"/>
            <w:vAlign w:val="bottom"/>
          </w:tcPr>
          <w:p>
            <w:pPr>
              <w:jc w:val="center"/>
              <w:ind w:left="21"/>
              <w:spacing w:after="0"/>
              <w:rPr>
                <w:sz w:val="20"/>
                <w:szCs w:val="20"/>
                <w:color w:val="auto"/>
              </w:rPr>
            </w:pPr>
            <w:r>
              <w:rPr>
                <w:rFonts w:ascii="Arial" w:cs="Arial" w:eastAsia="Arial" w:hAnsi="Arial"/>
                <w:sz w:val="14"/>
                <w:szCs w:val="14"/>
                <w:b w:val="1"/>
                <w:bCs w:val="1"/>
                <w:color w:val="auto"/>
                <w:w w:val="94"/>
              </w:rPr>
              <w:t>Identification No.)</w:t>
            </w:r>
          </w:p>
        </w:tc>
      </w:tr>
      <w:tr>
        <w:trPr>
          <w:trHeight w:val="291"/>
        </w:trPr>
        <w:tc>
          <w:tcPr>
            <w:tcW w:w="614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2"/>
              </w:rPr>
              <w:t>181 Metro Drive, Suite 700</w:t>
            </w:r>
          </w:p>
        </w:tc>
        <w:tc>
          <w:tcPr>
            <w:tcW w:w="1220" w:type="dxa"/>
            <w:vAlign w:val="bottom"/>
          </w:tcPr>
          <w:p>
            <w:pPr>
              <w:jc w:val="center"/>
              <w:ind w:left="41"/>
              <w:spacing w:after="0"/>
              <w:rPr>
                <w:sz w:val="20"/>
                <w:szCs w:val="20"/>
                <w:color w:val="auto"/>
              </w:rPr>
            </w:pPr>
            <w:r>
              <w:rPr>
                <w:rFonts w:ascii="Arial" w:cs="Arial" w:eastAsia="Arial" w:hAnsi="Arial"/>
                <w:sz w:val="18"/>
                <w:szCs w:val="18"/>
                <w:b w:val="1"/>
                <w:bCs w:val="1"/>
                <w:color w:val="auto"/>
                <w:w w:val="89"/>
              </w:rPr>
              <w:t>95110-1346</w:t>
            </w:r>
          </w:p>
        </w:tc>
      </w:tr>
      <w:tr>
        <w:trPr>
          <w:trHeight w:val="225"/>
        </w:trPr>
        <w:tc>
          <w:tcPr>
            <w:tcW w:w="6140" w:type="dxa"/>
            <w:vAlign w:val="bottom"/>
            <w:gridSpan w:val="3"/>
          </w:tcPr>
          <w:p>
            <w:pPr>
              <w:ind w:left="320"/>
              <w:spacing w:after="0"/>
              <w:rPr>
                <w:sz w:val="20"/>
                <w:szCs w:val="20"/>
                <w:color w:val="auto"/>
              </w:rPr>
            </w:pPr>
            <w:r>
              <w:rPr>
                <w:rFonts w:ascii="Arial" w:cs="Arial" w:eastAsia="Arial" w:hAnsi="Arial"/>
                <w:sz w:val="18"/>
                <w:szCs w:val="18"/>
                <w:b w:val="1"/>
                <w:bCs w:val="1"/>
                <w:color w:val="auto"/>
              </w:rPr>
              <w:t>San Jose, California</w:t>
            </w:r>
          </w:p>
        </w:tc>
        <w:tc>
          <w:tcPr>
            <w:tcW w:w="1220" w:type="dxa"/>
            <w:vAlign w:val="bottom"/>
          </w:tcPr>
          <w:p>
            <w:pPr>
              <w:spacing w:after="0"/>
              <w:rPr>
                <w:sz w:val="19"/>
                <w:szCs w:val="19"/>
                <w:color w:val="auto"/>
              </w:rPr>
            </w:pPr>
          </w:p>
        </w:tc>
      </w:tr>
      <w:tr>
        <w:trPr>
          <w:trHeight w:val="186"/>
        </w:trPr>
        <w:tc>
          <w:tcPr>
            <w:tcW w:w="6140" w:type="dxa"/>
            <w:vAlign w:val="bottom"/>
            <w:gridSpan w:val="3"/>
          </w:tcPr>
          <w:p>
            <w:pPr>
              <w:jc w:val="center"/>
              <w:ind w:right="37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20" w:type="dxa"/>
            <w:vAlign w:val="bottom"/>
          </w:tcPr>
          <w:p>
            <w:pPr>
              <w:jc w:val="center"/>
              <w:ind w:left="41"/>
              <w:spacing w:after="0"/>
              <w:rPr>
                <w:sz w:val="20"/>
                <w:szCs w:val="20"/>
                <w:color w:val="auto"/>
              </w:rPr>
            </w:pPr>
            <w:r>
              <w:rPr>
                <w:rFonts w:ascii="Arial" w:cs="Arial" w:eastAsia="Arial" w:hAnsi="Arial"/>
                <w:sz w:val="14"/>
                <w:szCs w:val="14"/>
                <w:b w:val="1"/>
                <w:bCs w:val="1"/>
                <w:color w:val="auto"/>
                <w:w w:val="95"/>
              </w:rPr>
              <w:t>(Zip Code)</w:t>
            </w:r>
          </w:p>
        </w:tc>
      </w:tr>
      <w:tr>
        <w:trPr>
          <w:trHeight w:val="376"/>
        </w:trPr>
        <w:tc>
          <w:tcPr>
            <w:tcW w:w="6140" w:type="dxa"/>
            <w:vAlign w:val="bottom"/>
            <w:gridSpan w:val="3"/>
          </w:tcPr>
          <w:p>
            <w:pPr>
              <w:jc w:val="center"/>
              <w:ind w:left="757"/>
              <w:spacing w:after="0"/>
              <w:rPr>
                <w:sz w:val="20"/>
                <w:szCs w:val="20"/>
                <w:color w:val="auto"/>
              </w:rPr>
            </w:pPr>
            <w:r>
              <w:rPr>
                <w:rFonts w:ascii="Arial" w:cs="Arial" w:eastAsia="Arial" w:hAnsi="Arial"/>
                <w:sz w:val="18"/>
                <w:szCs w:val="18"/>
                <w:b w:val="1"/>
                <w:bCs w:val="1"/>
                <w:color w:val="auto"/>
                <w:w w:val="89"/>
              </w:rPr>
              <w:t>Registrant’s telephone number, including area code: 408-535-1500</w:t>
            </w:r>
          </w:p>
        </w:tc>
        <w:tc>
          <w:tcPr>
            <w:tcW w:w="12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111125</wp:posOffset>
            </wp:positionV>
            <wp:extent cx="1380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3"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254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86"/>
              </w:rPr>
              <w:t>Title of each class</w:t>
            </w:r>
          </w:p>
        </w:tc>
        <w:tc>
          <w:tcPr>
            <w:tcW w:w="24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Trading Symbol(s)</w:t>
            </w:r>
          </w:p>
        </w:tc>
        <w:tc>
          <w:tcPr>
            <w:tcW w:w="400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38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Common Stock, $0.01 par value per share</w:t>
            </w:r>
          </w:p>
        </w:tc>
        <w:tc>
          <w:tcPr>
            <w:tcW w:w="360" w:type="dxa"/>
            <w:vAlign w:val="bottom"/>
          </w:tcPr>
          <w:p>
            <w:pPr>
              <w:spacing w:after="0"/>
              <w:rPr>
                <w:sz w:val="21"/>
                <w:szCs w:val="21"/>
                <w:color w:val="auto"/>
              </w:rPr>
            </w:pPr>
          </w:p>
        </w:tc>
        <w:tc>
          <w:tcPr>
            <w:tcW w:w="2080" w:type="dxa"/>
            <w:vAlign w:val="bottom"/>
            <w:gridSpan w:val="2"/>
          </w:tcPr>
          <w:p>
            <w:pPr>
              <w:jc w:val="center"/>
              <w:ind w:right="660"/>
              <w:spacing w:after="0"/>
              <w:rPr>
                <w:sz w:val="20"/>
                <w:szCs w:val="20"/>
                <w:color w:val="auto"/>
              </w:rPr>
            </w:pPr>
            <w:r>
              <w:rPr>
                <w:rFonts w:ascii="Arial" w:cs="Arial" w:eastAsia="Arial" w:hAnsi="Arial"/>
                <w:sz w:val="18"/>
                <w:szCs w:val="18"/>
                <w:color w:val="auto"/>
                <w:w w:val="97"/>
              </w:rPr>
              <w:t>FICO</w:t>
            </w:r>
          </w:p>
        </w:tc>
        <w:tc>
          <w:tcPr>
            <w:tcW w:w="64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9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jc w:val="both"/>
        <w:ind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3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6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500"/>
        </w:trPr>
        <w:tc>
          <w:tcPr>
            <w:tcW w:w="3400" w:type="dxa"/>
            <w:vAlign w:val="bottom"/>
          </w:tcPr>
          <w:p>
            <w:pPr>
              <w:spacing w:after="0"/>
              <w:rPr>
                <w:sz w:val="20"/>
                <w:szCs w:val="20"/>
                <w:color w:val="auto"/>
              </w:rPr>
            </w:pPr>
            <w:r>
              <w:rPr>
                <w:rFonts w:ascii="Arial" w:cs="Arial" w:eastAsia="Arial" w:hAnsi="Arial"/>
                <w:sz w:val="18"/>
                <w:szCs w:val="18"/>
                <w:color w:val="auto"/>
              </w:rPr>
              <w:t>Non-accelerated filer</w:t>
            </w:r>
          </w:p>
        </w:tc>
        <w:tc>
          <w:tcPr>
            <w:tcW w:w="206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99"/>
        </w:trPr>
        <w:tc>
          <w:tcPr>
            <w:tcW w:w="3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20" w:type="dxa"/>
            <w:vAlign w:val="bottom"/>
            <w:vMerge w:val="restart"/>
          </w:tcPr>
          <w:p>
            <w:pPr>
              <w:ind w:left="140"/>
              <w:spacing w:after="0"/>
              <w:rPr>
                <w:sz w:val="20"/>
                <w:szCs w:val="20"/>
                <w:color w:val="auto"/>
              </w:rPr>
            </w:pPr>
            <w:r>
              <w:rPr>
                <w:rFonts w:ascii="Arial" w:cs="Arial" w:eastAsia="Arial" w:hAnsi="Arial"/>
                <w:sz w:val="18"/>
                <w:szCs w:val="18"/>
                <w:color w:val="auto"/>
              </w:rPr>
              <w:t>Emerging growth company</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8"/>
        </w:trPr>
        <w:tc>
          <w:tcPr>
            <w:tcW w:w="34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48" w:lineRule="exact"/>
        <w:rPr>
          <w:sz w:val="24"/>
          <w:szCs w:val="24"/>
          <w:color w:val="auto"/>
        </w:rPr>
      </w:pPr>
    </w:p>
    <w:p>
      <w:pPr>
        <w:ind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3" w:lineRule="exact"/>
        <w:rPr>
          <w:sz w:val="20"/>
          <w:szCs w:val="20"/>
          <w:color w:val="auto"/>
        </w:rPr>
      </w:pPr>
    </w:p>
    <w:p>
      <w:pPr>
        <w:ind w:left="420" w:hanging="331"/>
        <w:spacing w:after="0" w:line="207" w:lineRule="exact"/>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common stock outstanding on April 16, 2021 was 28,776,867 (excluding 60,079,916 shares held by us as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380" w:type="dxa"/>
            <w:vAlign w:val="bottom"/>
            <w:gridSpan w:val="16"/>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gridSpan w:val="2"/>
          </w:tcPr>
          <w:p>
            <w:pPr>
              <w:ind w:left="580"/>
              <w:spacing w:after="0"/>
              <w:rPr>
                <w:sz w:val="20"/>
                <w:szCs w:val="20"/>
                <w:color w:val="auto"/>
              </w:rPr>
            </w:pPr>
            <w:r>
              <w:rPr>
                <w:rFonts w:ascii="Arial" w:cs="Arial" w:eastAsia="Arial" w:hAnsi="Arial"/>
                <w:sz w:val="18"/>
                <w:szCs w:val="18"/>
                <w:b w:val="1"/>
                <w:bCs w:val="1"/>
                <w:color w:val="auto"/>
              </w:rPr>
              <w:t>TABLE OF CONTENTS</w:t>
            </w: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6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40" w:type="dxa"/>
            <w:vAlign w:val="bottom"/>
            <w:gridSpan w:val="13"/>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 FINANCIAL INFORMATION</w:t>
              </w:r>
            </w:hyperlink>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FF"/>
            </w:tcBorders>
            <w:gridSpan w:val="6"/>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Financial Statements</w:t>
              </w:r>
            </w:hyperlink>
          </w:p>
        </w:tc>
        <w:tc>
          <w:tcPr>
            <w:tcW w:w="1640" w:type="dxa"/>
            <w:vAlign w:val="bottom"/>
            <w:tcBorders>
              <w:top w:val="single" w:sz="8" w:color="0000FF"/>
            </w:tcBorders>
            <w:gridSpan w:val="5"/>
          </w:tcPr>
          <w:p>
            <w:pPr>
              <w:spacing w:after="0"/>
              <w:rPr>
                <w:sz w:val="22"/>
                <w:szCs w:val="22"/>
                <w:color w:val="auto"/>
              </w:rPr>
            </w:pPr>
          </w:p>
        </w:tc>
        <w:tc>
          <w:tcPr>
            <w:tcW w:w="3300" w:type="dxa"/>
            <w:vAlign w:val="bottom"/>
            <w:gridSpan w:val="2"/>
          </w:tcPr>
          <w:p>
            <w:pPr>
              <w:spacing w:after="0"/>
              <w:rPr>
                <w:sz w:val="22"/>
                <w:szCs w:val="22"/>
                <w:color w:val="auto"/>
              </w:rPr>
            </w:pPr>
          </w:p>
        </w:tc>
        <w:tc>
          <w:tcPr>
            <w:tcW w:w="374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Management’s Discussion and Analysis of Financial Condition and Results of Operations</w:t>
              </w:r>
            </w:hyperlink>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1">
              <w:r>
                <w:rPr>
                  <w:rFonts w:ascii="Arial" w:cs="Arial" w:eastAsia="Arial" w:hAnsi="Arial"/>
                  <w:sz w:val="18"/>
                  <w:szCs w:val="18"/>
                  <w:color w:val="0000FF"/>
                  <w:w w:val="79"/>
                </w:rPr>
                <w:t>19</w:t>
              </w:r>
            </w:hyperlink>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40" w:type="dxa"/>
            <w:vAlign w:val="bottom"/>
            <w:gridSpan w:val="1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Quantitative and Qualitative Disclosures About Market Risk</w:t>
              </w:r>
            </w:hyperlink>
          </w:p>
        </w:tc>
        <w:tc>
          <w:tcPr>
            <w:tcW w:w="374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38</w:t>
              </w:r>
            </w:hyperlink>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8"/>
              </w:rPr>
            </w:pPr>
            <w:hyperlink w:anchor="page42">
              <w:r>
                <w:rPr>
                  <w:rFonts w:ascii="Arial" w:cs="Arial" w:eastAsia="Arial" w:hAnsi="Arial"/>
                  <w:sz w:val="18"/>
                  <w:szCs w:val="18"/>
                  <w:color w:val="0000FF"/>
                  <w:w w:val="88"/>
                </w:rPr>
                <w:t>Controls and Procedures</w:t>
              </w:r>
            </w:hyperlink>
          </w:p>
        </w:tc>
        <w:tc>
          <w:tcPr>
            <w:tcW w:w="2560" w:type="dxa"/>
            <w:vAlign w:val="bottom"/>
            <w:tcBorders>
              <w:top w:val="single" w:sz="8" w:color="0000FF"/>
            </w:tcBorders>
            <w:gridSpan w:val="4"/>
          </w:tcPr>
          <w:p>
            <w:pPr>
              <w:spacing w:after="0"/>
              <w:rPr>
                <w:sz w:val="18"/>
                <w:szCs w:val="18"/>
                <w:color w:val="auto"/>
              </w:rPr>
            </w:pPr>
          </w:p>
        </w:tc>
        <w:tc>
          <w:tcPr>
            <w:tcW w:w="2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39</w:t>
              </w:r>
            </w:hyperlink>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40" w:type="dxa"/>
            <w:vAlign w:val="bottom"/>
            <w:gridSpan w:val="13"/>
          </w:tcPr>
          <w:p>
            <w:pPr>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PART II – OTHER INFORMATION</w:t>
              </w:r>
            </w:hyperlink>
          </w:p>
        </w:tc>
        <w:tc>
          <w:tcPr>
            <w:tcW w:w="3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840" w:type="dxa"/>
            <w:vAlign w:val="bottom"/>
            <w:tcBorders>
              <w:top w:val="single" w:sz="8" w:color="0000FF"/>
            </w:tcBorders>
            <w:gridSpan w:val="10"/>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Legal Proceedings</w:t>
              </w:r>
            </w:hyperlink>
          </w:p>
        </w:tc>
        <w:tc>
          <w:tcPr>
            <w:tcW w:w="3600" w:type="dxa"/>
            <w:vAlign w:val="bottom"/>
            <w:gridSpan w:val="3"/>
          </w:tcPr>
          <w:p>
            <w:pPr>
              <w:spacing w:after="0"/>
              <w:rPr>
                <w:sz w:val="22"/>
                <w:szCs w:val="22"/>
                <w:color w:val="auto"/>
              </w:rPr>
            </w:pPr>
          </w:p>
        </w:tc>
        <w:tc>
          <w:tcPr>
            <w:tcW w:w="374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40</w:t>
              </w:r>
            </w:hyperlink>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7"/>
              </w:rPr>
            </w:pPr>
            <w:hyperlink w:anchor="page43">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18"/>
                <w:szCs w:val="18"/>
                <w:color w:val="auto"/>
              </w:rPr>
            </w:pPr>
          </w:p>
        </w:tc>
        <w:tc>
          <w:tcPr>
            <w:tcW w:w="5120" w:type="dxa"/>
            <w:vAlign w:val="bottom"/>
            <w:gridSpan w:val="8"/>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40</w:t>
              </w:r>
            </w:hyperlink>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Unregistered Sales of Equity Securities and Use of Proceeds</w:t>
              </w:r>
            </w:hyperlink>
          </w:p>
        </w:tc>
        <w:tc>
          <w:tcPr>
            <w:tcW w:w="2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53</w:t>
              </w:r>
            </w:hyperlink>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56">
              <w:r>
                <w:rPr>
                  <w:rFonts w:ascii="Arial" w:cs="Arial" w:eastAsia="Arial" w:hAnsi="Arial"/>
                  <w:sz w:val="18"/>
                  <w:szCs w:val="18"/>
                  <w:color w:val="0000FF"/>
                  <w:w w:val="90"/>
                </w:rPr>
                <w:t>Defaults Upon Senior Securities</w:t>
              </w:r>
            </w:hyperlink>
          </w:p>
        </w:tc>
        <w:tc>
          <w:tcPr>
            <w:tcW w:w="4120" w:type="dxa"/>
            <w:vAlign w:val="bottom"/>
            <w:gridSpan w:val="4"/>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53</w:t>
              </w:r>
            </w:hyperlink>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56">
              <w:r>
                <w:rPr>
                  <w:rFonts w:ascii="Arial" w:cs="Arial" w:eastAsia="Arial" w:hAnsi="Arial"/>
                  <w:sz w:val="18"/>
                  <w:szCs w:val="18"/>
                  <w:color w:val="0000FF"/>
                  <w:w w:val="90"/>
                </w:rPr>
                <w:t>Mine Safety Disclosures</w:t>
              </w:r>
            </w:hyperlink>
          </w:p>
        </w:tc>
        <w:tc>
          <w:tcPr>
            <w:tcW w:w="4680" w:type="dxa"/>
            <w:vAlign w:val="bottom"/>
            <w:gridSpan w:val="6"/>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53</w:t>
              </w:r>
            </w:hyperlink>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6440" w:type="dxa"/>
            <w:vAlign w:val="bottom"/>
            <w:gridSpan w:val="13"/>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Other Information</w:t>
              </w:r>
            </w:hyperlink>
          </w:p>
        </w:tc>
        <w:tc>
          <w:tcPr>
            <w:tcW w:w="3740" w:type="dxa"/>
            <w:vAlign w:val="bottom"/>
            <w:gridSpan w:val="3"/>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53</w:t>
              </w:r>
            </w:hyperlink>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56">
              <w:r>
                <w:rPr>
                  <w:rFonts w:ascii="Arial" w:cs="Arial" w:eastAsia="Arial" w:hAnsi="Arial"/>
                  <w:sz w:val="18"/>
                  <w:szCs w:val="18"/>
                  <w:color w:val="0000FF"/>
                  <w:w w:val="91"/>
                </w:rPr>
                <w:t>Exhibits</w:t>
              </w:r>
            </w:hyperlink>
          </w:p>
        </w:tc>
        <w:tc>
          <w:tcPr>
            <w:tcW w:w="700" w:type="dxa"/>
            <w:vAlign w:val="bottom"/>
            <w:tcBorders>
              <w:top w:val="single" w:sz="8" w:color="0000FF"/>
            </w:tcBorders>
            <w:gridSpan w:val="2"/>
          </w:tcPr>
          <w:p>
            <w:pPr>
              <w:spacing w:after="0"/>
              <w:rPr>
                <w:sz w:val="18"/>
                <w:szCs w:val="18"/>
                <w:color w:val="auto"/>
              </w:rPr>
            </w:pPr>
          </w:p>
        </w:tc>
        <w:tc>
          <w:tcPr>
            <w:tcW w:w="5140" w:type="dxa"/>
            <w:vAlign w:val="bottom"/>
            <w:gridSpan w:val="9"/>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54</w:t>
              </w:r>
            </w:hyperlink>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Signatures</w:t>
              </w:r>
            </w:hyperlink>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740" w:type="dxa"/>
            <w:vAlign w:val="bottom"/>
            <w:gridSpan w:val="3"/>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55</w:t>
              </w:r>
            </w:hyperlink>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3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0"/>
              </w:rPr>
              <w:t>September 30, 2020</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(In thousands, except par value data)</w:t>
            </w:r>
          </w:p>
        </w:tc>
        <w:tc>
          <w:tcPr>
            <w:tcW w:w="0" w:type="dxa"/>
            <w:vAlign w:val="bottom"/>
          </w:tcPr>
          <w:p>
            <w:pPr>
              <w:spacing w:after="0"/>
              <w:rPr>
                <w:sz w:val="1"/>
                <w:szCs w:val="1"/>
                <w:color w:val="auto"/>
              </w:rPr>
            </w:pPr>
          </w:p>
        </w:tc>
      </w:tr>
      <w:tr>
        <w:trPr>
          <w:trHeight w:val="231"/>
        </w:trPr>
        <w:tc>
          <w:tcPr>
            <w:tcW w:w="8240" w:type="dxa"/>
            <w:vAlign w:val="bottom"/>
            <w:shd w:val="clear" w:color="auto" w:fill="CCEEFF"/>
          </w:tcPr>
          <w:p>
            <w:pPr>
              <w:ind w:left="388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157,394</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264,804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334,180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Assets held for sale</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48,843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534,078</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25,513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34,897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46,419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57,656</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789,123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812,364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14,629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98,567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105,285</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1,579,608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1,606,240</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shd w:val="clear" w:color="auto" w:fill="CCEEFF"/>
          </w:tcPr>
          <w:p>
            <w:pPr>
              <w:ind w:left="27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23,033</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Accrued compensation and employee benefits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71,347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117,952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accrued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63,367</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100,396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115,159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on debt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Liabilities related to assets held for sale</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414,511</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740,226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739,435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73,207</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1,356,305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1,275,158</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Preferred stock ($0.01 par value; 1,000 shares authorized; none issued and outstanding)</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Common stock ($0.01 par value; 200,000 shares authorized, 88,857 shares issued and 28,829 and 29,096</w:t>
            </w: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outstanding at March 31, 2021 and September 30, 2020, respectively)</w:t>
            </w:r>
          </w:p>
        </w:tc>
        <w:tc>
          <w:tcPr>
            <w:tcW w:w="2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Additional paid-in-capital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1,181,692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1,218,583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Treasury stock, at cost (60,028 and 59,761 shares at March 31, 2021 and September 30, 2020, respectively)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(3,239,109)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(2,997,856)</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2,348,225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2,193,059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(67,793)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(82,995)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223,303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331,082</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1,579,608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1,606,240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3480" w:type="dxa"/>
            <w:vAlign w:val="bottom"/>
            <w:gridSpan w:val="6"/>
          </w:tcPr>
          <w:p>
            <w:pPr>
              <w:ind w:left="880"/>
              <w:spacing w:after="0"/>
              <w:rPr>
                <w:sz w:val="20"/>
                <w:szCs w:val="20"/>
                <w:color w:val="auto"/>
              </w:rPr>
            </w:pPr>
            <w:r>
              <w:rPr>
                <w:rFonts w:ascii="Arial" w:cs="Arial" w:eastAsia="Arial" w:hAnsi="Arial"/>
                <w:sz w:val="14"/>
                <w:szCs w:val="14"/>
                <w:b w:val="1"/>
                <w:bCs w:val="1"/>
                <w:color w:val="auto"/>
              </w:rPr>
              <w:t>Quarter Ended March 31,</w:t>
            </w:r>
          </w:p>
        </w:tc>
        <w:tc>
          <w:tcPr>
            <w:tcW w:w="400" w:type="dxa"/>
            <w:vAlign w:val="bottom"/>
          </w:tcPr>
          <w:p>
            <w:pPr>
              <w:spacing w:after="0"/>
              <w:rPr>
                <w:sz w:val="16"/>
                <w:szCs w:val="16"/>
                <w:color w:val="auto"/>
              </w:rPr>
            </w:pPr>
          </w:p>
        </w:tc>
        <w:tc>
          <w:tcPr>
            <w:tcW w:w="298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87"/>
        </w:trPr>
        <w:tc>
          <w:tcPr>
            <w:tcW w:w="438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4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40" w:type="dxa"/>
            <w:vAlign w:val="bottom"/>
            <w:gridSpan w:val="5"/>
          </w:tcPr>
          <w:p>
            <w:pPr>
              <w:ind w:left="220"/>
              <w:spacing w:after="0"/>
              <w:rPr>
                <w:sz w:val="20"/>
                <w:szCs w:val="20"/>
                <w:color w:val="auto"/>
              </w:rPr>
            </w:pPr>
            <w:r>
              <w:rPr>
                <w:rFonts w:ascii="Arial" w:cs="Arial" w:eastAsia="Arial" w:hAnsi="Arial"/>
                <w:sz w:val="14"/>
                <w:szCs w:val="14"/>
                <w:b w:val="1"/>
                <w:bCs w:val="1"/>
                <w:color w:val="auto"/>
              </w:rPr>
              <w:t>(In thousands, except per share data)</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360"/>
              <w:spacing w:after="0"/>
              <w:rPr>
                <w:sz w:val="20"/>
                <w:szCs w:val="20"/>
                <w:color w:val="auto"/>
              </w:rPr>
            </w:pPr>
            <w:r>
              <w:rPr>
                <w:rFonts w:ascii="Arial" w:cs="Arial" w:eastAsia="Arial" w:hAnsi="Arial"/>
                <w:sz w:val="18"/>
                <w:szCs w:val="18"/>
                <w:color w:val="auto"/>
              </w:rPr>
              <w:t>Transactional and maintenance</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6"/>
              </w:rPr>
              <w:t>280,919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240,702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533,069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461,076</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91,930</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License</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53,469</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revenues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331,361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606,475</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178,897</w:t>
            </w:r>
          </w:p>
        </w:tc>
        <w:tc>
          <w:tcPr>
            <w:tcW w:w="0" w:type="dxa"/>
            <w:vAlign w:val="bottom"/>
          </w:tcPr>
          <w:p>
            <w:pPr>
              <w:spacing w:after="0"/>
              <w:rPr>
                <w:sz w:val="1"/>
                <w:szCs w:val="1"/>
                <w:color w:val="auto"/>
              </w:rPr>
            </w:pPr>
          </w:p>
        </w:tc>
      </w:tr>
      <w:tr>
        <w:trPr>
          <w:trHeight w:val="230"/>
        </w:trPr>
        <w:tc>
          <w:tcPr>
            <w:tcW w:w="43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43,612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39,439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84,263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78,382</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215,486</w:t>
            </w:r>
          </w:p>
        </w:tc>
        <w:tc>
          <w:tcPr>
            <w:tcW w:w="0" w:type="dxa"/>
            <w:vAlign w:val="bottom"/>
          </w:tcPr>
          <w:p>
            <w:pPr>
              <w:spacing w:after="0"/>
              <w:rPr>
                <w:sz w:val="1"/>
                <w:szCs w:val="1"/>
                <w:color w:val="auto"/>
              </w:rPr>
            </w:pPr>
          </w:p>
        </w:tc>
      </w:tr>
      <w:tr>
        <w:trPr>
          <w:trHeight w:val="229"/>
        </w:trPr>
        <w:tc>
          <w:tcPr>
            <w:tcW w:w="438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impairment charges</w:t>
            </w:r>
          </w:p>
        </w:tc>
        <w:tc>
          <w:tcPr>
            <w:tcW w:w="9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0" w:type="dxa"/>
            <w:vAlign w:val="bottom"/>
          </w:tcPr>
          <w:p>
            <w:pPr>
              <w:spacing w:after="0"/>
              <w:rPr>
                <w:sz w:val="1"/>
                <w:szCs w:val="1"/>
                <w:color w:val="auto"/>
              </w:rPr>
            </w:pPr>
          </w:p>
        </w:tc>
      </w:tr>
      <w:tr>
        <w:trPr>
          <w:trHeight w:val="229"/>
        </w:trPr>
        <w:tc>
          <w:tcPr>
            <w:tcW w:w="4380" w:type="dxa"/>
            <w:vAlign w:val="bottom"/>
          </w:tcPr>
          <w:p>
            <w:pPr>
              <w:ind w:left="360"/>
              <w:spacing w:after="0"/>
              <w:rPr>
                <w:sz w:val="20"/>
                <w:szCs w:val="20"/>
                <w:color w:val="auto"/>
              </w:rPr>
            </w:pPr>
            <w:r>
              <w:rPr>
                <w:rFonts w:ascii="Arial" w:cs="Arial" w:eastAsia="Arial" w:hAnsi="Arial"/>
                <w:sz w:val="18"/>
                <w:szCs w:val="18"/>
                <w:color w:val="auto"/>
              </w:rPr>
              <w:t>Gain on sale of product line assets</w:t>
            </w: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8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230,162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232,245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447,855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478,867</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101,199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75,726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195,920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127,608</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(21,022)</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104,359</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(8,850)</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58,288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155,166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113,209</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8"/>
                <w:szCs w:val="18"/>
                <w:color w:val="auto"/>
              </w:rPr>
              <w:t>Other comprehensive gain (loss):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170,368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108,245</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360"/>
              <w:spacing w:after="0"/>
              <w:rPr>
                <w:sz w:val="20"/>
                <w:szCs w:val="20"/>
                <w:color w:val="auto"/>
              </w:rPr>
            </w:pPr>
            <w:r>
              <w:rPr>
                <w:rFonts w:ascii="Arial" w:cs="Arial" w:eastAsia="Arial" w:hAnsi="Arial"/>
                <w:sz w:val="18"/>
                <w:szCs w:val="18"/>
                <w:color w:val="auto"/>
              </w:rPr>
              <w:t>Basic</w:t>
            </w: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used in computing earnings per share:</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8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9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29,109</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80" w:type="dxa"/>
            <w:vAlign w:val="bottom"/>
            <w:vMerge w:val="continue"/>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29,531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29,985</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29,660</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30,076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3140" w:type="dxa"/>
            <w:vAlign w:val="bottom"/>
          </w:tcPr>
          <w:p>
            <w:pPr>
              <w:spacing w:after="0"/>
              <w:rPr>
                <w:sz w:val="16"/>
                <w:szCs w:val="16"/>
                <w:color w:val="auto"/>
              </w:rPr>
            </w:pPr>
          </w:p>
        </w:tc>
        <w:tc>
          <w:tcPr>
            <w:tcW w:w="180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1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ind w:left="40"/>
              <w:spacing w:after="0" w:line="95" w:lineRule="exact"/>
              <w:rPr>
                <w:sz w:val="20"/>
                <w:szCs w:val="20"/>
                <w:color w:val="auto"/>
              </w:rPr>
            </w:pPr>
            <w:r>
              <w:rPr>
                <w:rFonts w:ascii="Arial" w:cs="Arial" w:eastAsia="Arial" w:hAnsi="Arial"/>
                <w:sz w:val="10"/>
                <w:szCs w:val="10"/>
                <w:b w:val="1"/>
                <w:bCs w:val="1"/>
                <w:color w:val="auto"/>
              </w:rPr>
              <w:t>Additional</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gridSpan w:val="2"/>
            <w:vMerge w:val="restart"/>
          </w:tcPr>
          <w:p>
            <w:pPr>
              <w:ind w:left="80"/>
              <w:spacing w:after="0" w:line="95" w:lineRule="exact"/>
              <w:rPr>
                <w:sz w:val="20"/>
                <w:szCs w:val="20"/>
                <w:color w:val="auto"/>
              </w:rPr>
            </w:pPr>
            <w:r>
              <w:rPr>
                <w:rFonts w:ascii="Arial" w:cs="Arial" w:eastAsia="Arial" w:hAnsi="Arial"/>
                <w:sz w:val="10"/>
                <w:szCs w:val="10"/>
                <w:b w:val="1"/>
                <w:bCs w:val="1"/>
                <w:color w:val="auto"/>
              </w:rPr>
              <w:t>Retained</w:t>
            </w:r>
          </w:p>
        </w:tc>
        <w:tc>
          <w:tcPr>
            <w:tcW w:w="120" w:type="dxa"/>
            <w:vAlign w:val="bottom"/>
          </w:tcPr>
          <w:p>
            <w:pPr>
              <w:spacing w:after="0"/>
              <w:rPr>
                <w:sz w:val="4"/>
                <w:szCs w:val="4"/>
                <w:color w:val="auto"/>
              </w:rPr>
            </w:pPr>
          </w:p>
        </w:tc>
        <w:tc>
          <w:tcPr>
            <w:tcW w:w="1240" w:type="dxa"/>
            <w:vAlign w:val="bottom"/>
            <w:gridSpan w:val="2"/>
            <w:vMerge w:val="restart"/>
          </w:tcPr>
          <w:p>
            <w:pPr>
              <w:ind w:left="40"/>
              <w:spacing w:after="0" w:line="95" w:lineRule="exact"/>
              <w:rPr>
                <w:sz w:val="20"/>
                <w:szCs w:val="20"/>
                <w:color w:val="auto"/>
              </w:rPr>
            </w:pPr>
            <w:r>
              <w:rPr>
                <w:rFonts w:ascii="Arial" w:cs="Arial" w:eastAsia="Arial" w:hAnsi="Arial"/>
                <w:sz w:val="10"/>
                <w:szCs w:val="10"/>
                <w:b w:val="1"/>
                <w:bCs w:val="1"/>
                <w:color w:val="auto"/>
              </w:rPr>
              <w:t>Comprehensive</w:t>
            </w:r>
          </w:p>
        </w:tc>
        <w:tc>
          <w:tcPr>
            <w:tcW w:w="300" w:type="dxa"/>
            <w:vAlign w:val="bottom"/>
          </w:tcPr>
          <w:p>
            <w:pPr>
              <w:spacing w:after="0"/>
              <w:rPr>
                <w:sz w:val="4"/>
                <w:szCs w:val="4"/>
                <w:color w:val="auto"/>
              </w:rPr>
            </w:pPr>
          </w:p>
        </w:tc>
        <w:tc>
          <w:tcPr>
            <w:tcW w:w="1060" w:type="dxa"/>
            <w:vAlign w:val="bottom"/>
            <w:vMerge w:val="restart"/>
          </w:tcPr>
          <w:p>
            <w:pPr>
              <w:jc w:val="right"/>
              <w:ind w:right="451"/>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1"/>
        </w:trPr>
        <w:tc>
          <w:tcPr>
            <w:tcW w:w="3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line="20" w:lineRule="exact"/>
              <w:rPr>
                <w:sz w:val="1"/>
                <w:szCs w:val="1"/>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1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Paid-in-Capital</w:t>
            </w:r>
          </w:p>
        </w:tc>
        <w:tc>
          <w:tcPr>
            <w:tcW w:w="10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40" w:type="dxa"/>
            <w:vAlign w:val="bottom"/>
            <w:gridSpan w:val="2"/>
          </w:tcPr>
          <w:p>
            <w:pPr>
              <w:ind w:left="380"/>
              <w:spacing w:after="0"/>
              <w:rPr>
                <w:sz w:val="20"/>
                <w:szCs w:val="20"/>
                <w:color w:val="auto"/>
              </w:rPr>
            </w:pPr>
            <w:r>
              <w:rPr>
                <w:rFonts w:ascii="Arial" w:cs="Arial" w:eastAsia="Arial" w:hAnsi="Arial"/>
                <w:sz w:val="14"/>
                <w:szCs w:val="14"/>
                <w:b w:val="1"/>
                <w:bCs w:val="1"/>
                <w:color w:val="auto"/>
              </w:rPr>
              <w:t>Loss</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Stockholders’ Equity</w:t>
            </w:r>
          </w:p>
        </w:tc>
        <w:tc>
          <w:tcPr>
            <w:tcW w:w="0" w:type="dxa"/>
            <w:vAlign w:val="bottom"/>
          </w:tcPr>
          <w:p>
            <w:pPr>
              <w:spacing w:after="0"/>
              <w:rPr>
                <w:sz w:val="1"/>
                <w:szCs w:val="1"/>
                <w:color w:val="auto"/>
              </w:rPr>
            </w:pPr>
          </w:p>
        </w:tc>
      </w:tr>
      <w:tr>
        <w:trPr>
          <w:trHeight w:val="184"/>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29,236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1,145,893</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(3,035,668)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2,279,551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(65,947)</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324,121</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28,206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28,206</w:t>
            </w:r>
          </w:p>
        </w:tc>
        <w:tc>
          <w:tcPr>
            <w:tcW w:w="0" w:type="dxa"/>
            <w:vAlign w:val="bottom"/>
          </w:tcPr>
          <w:p>
            <w:pPr>
              <w:spacing w:after="0"/>
              <w:rPr>
                <w:sz w:val="1"/>
                <w:szCs w:val="1"/>
                <w:color w:val="auto"/>
              </w:rPr>
            </w:pPr>
          </w:p>
        </w:tc>
      </w:tr>
      <w:tr>
        <w:trPr>
          <w:trHeight w:val="138"/>
        </w:trPr>
        <w:tc>
          <w:tcPr>
            <w:tcW w:w="31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treasury stock under employee stock</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7,593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9,359</w:t>
            </w: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(441)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(205,207)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(205,211)</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68,674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68,674</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(1,846)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(1,846)</w:t>
            </w:r>
          </w:p>
        </w:tc>
        <w:tc>
          <w:tcPr>
            <w:tcW w:w="0" w:type="dxa"/>
            <w:vAlign w:val="bottom"/>
          </w:tcPr>
          <w:p>
            <w:pPr>
              <w:spacing w:after="0"/>
              <w:rPr>
                <w:sz w:val="1"/>
                <w:szCs w:val="1"/>
                <w:color w:val="auto"/>
              </w:rPr>
            </w:pPr>
          </w:p>
        </w:tc>
      </w:tr>
      <w:tr>
        <w:trPr>
          <w:trHeight w:val="208"/>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2021</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28,829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1,181,692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(3,239,109)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2,348,225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(67,793)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223,303</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3140" w:type="dxa"/>
            <w:vAlign w:val="bottom"/>
          </w:tcPr>
          <w:p>
            <w:pPr>
              <w:spacing w:after="0"/>
              <w:rPr>
                <w:sz w:val="16"/>
                <w:szCs w:val="16"/>
                <w:color w:val="auto"/>
              </w:rPr>
            </w:pPr>
          </w:p>
        </w:tc>
        <w:tc>
          <w:tcPr>
            <w:tcW w:w="180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Accumulated Other</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ind w:left="40"/>
              <w:spacing w:after="0" w:line="95" w:lineRule="exact"/>
              <w:rPr>
                <w:sz w:val="20"/>
                <w:szCs w:val="20"/>
                <w:color w:val="auto"/>
              </w:rPr>
            </w:pPr>
            <w:r>
              <w:rPr>
                <w:rFonts w:ascii="Arial" w:cs="Arial" w:eastAsia="Arial" w:hAnsi="Arial"/>
                <w:sz w:val="10"/>
                <w:szCs w:val="10"/>
                <w:b w:val="1"/>
                <w:bCs w:val="1"/>
                <w:color w:val="auto"/>
              </w:rPr>
              <w:t>Additional</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gridSpan w:val="2"/>
            <w:vMerge w:val="restart"/>
          </w:tcPr>
          <w:p>
            <w:pPr>
              <w:ind w:left="80"/>
              <w:spacing w:after="0" w:line="95" w:lineRule="exact"/>
              <w:rPr>
                <w:sz w:val="20"/>
                <w:szCs w:val="20"/>
                <w:color w:val="auto"/>
              </w:rPr>
            </w:pPr>
            <w:r>
              <w:rPr>
                <w:rFonts w:ascii="Arial" w:cs="Arial" w:eastAsia="Arial" w:hAnsi="Arial"/>
                <w:sz w:val="10"/>
                <w:szCs w:val="10"/>
                <w:b w:val="1"/>
                <w:bCs w:val="1"/>
                <w:color w:val="auto"/>
              </w:rPr>
              <w:t>Retained</w:t>
            </w:r>
          </w:p>
        </w:tc>
        <w:tc>
          <w:tcPr>
            <w:tcW w:w="120" w:type="dxa"/>
            <w:vAlign w:val="bottom"/>
          </w:tcPr>
          <w:p>
            <w:pPr>
              <w:spacing w:after="0"/>
              <w:rPr>
                <w:sz w:val="4"/>
                <w:szCs w:val="4"/>
                <w:color w:val="auto"/>
              </w:rPr>
            </w:pPr>
          </w:p>
        </w:tc>
        <w:tc>
          <w:tcPr>
            <w:tcW w:w="1240" w:type="dxa"/>
            <w:vAlign w:val="bottom"/>
            <w:gridSpan w:val="2"/>
            <w:vMerge w:val="restart"/>
          </w:tcPr>
          <w:p>
            <w:pPr>
              <w:ind w:left="40"/>
              <w:spacing w:after="0" w:line="95" w:lineRule="exact"/>
              <w:rPr>
                <w:sz w:val="20"/>
                <w:szCs w:val="20"/>
                <w:color w:val="auto"/>
              </w:rPr>
            </w:pPr>
            <w:r>
              <w:rPr>
                <w:rFonts w:ascii="Arial" w:cs="Arial" w:eastAsia="Arial" w:hAnsi="Arial"/>
                <w:sz w:val="10"/>
                <w:szCs w:val="10"/>
                <w:b w:val="1"/>
                <w:bCs w:val="1"/>
                <w:color w:val="auto"/>
              </w:rPr>
              <w:t>Comprehensive</w:t>
            </w:r>
          </w:p>
        </w:tc>
        <w:tc>
          <w:tcPr>
            <w:tcW w:w="300" w:type="dxa"/>
            <w:vAlign w:val="bottom"/>
          </w:tcPr>
          <w:p>
            <w:pPr>
              <w:spacing w:after="0"/>
              <w:rPr>
                <w:sz w:val="4"/>
                <w:szCs w:val="4"/>
                <w:color w:val="auto"/>
              </w:rPr>
            </w:pPr>
          </w:p>
        </w:tc>
        <w:tc>
          <w:tcPr>
            <w:tcW w:w="1060" w:type="dxa"/>
            <w:vAlign w:val="bottom"/>
            <w:vMerge w:val="restart"/>
          </w:tcPr>
          <w:p>
            <w:pPr>
              <w:jc w:val="right"/>
              <w:ind w:right="451"/>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1"/>
        </w:trPr>
        <w:tc>
          <w:tcPr>
            <w:tcW w:w="3140" w:type="dxa"/>
            <w:vAlign w:val="bottom"/>
            <w:vMerge w:val="continue"/>
          </w:tcPr>
          <w:p>
            <w:pPr>
              <w:spacing w:after="0" w:line="20" w:lineRule="exact"/>
              <w:rPr>
                <w:sz w:val="1"/>
                <w:szCs w:val="1"/>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line="20" w:lineRule="exact"/>
              <w:rPr>
                <w:sz w:val="1"/>
                <w:szCs w:val="1"/>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1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Paid-in-Capital</w:t>
            </w:r>
          </w:p>
        </w:tc>
        <w:tc>
          <w:tcPr>
            <w:tcW w:w="10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40" w:type="dxa"/>
            <w:vAlign w:val="bottom"/>
            <w:gridSpan w:val="2"/>
          </w:tcPr>
          <w:p>
            <w:pPr>
              <w:ind w:left="380"/>
              <w:spacing w:after="0"/>
              <w:rPr>
                <w:sz w:val="20"/>
                <w:szCs w:val="20"/>
                <w:color w:val="auto"/>
              </w:rPr>
            </w:pPr>
            <w:r>
              <w:rPr>
                <w:rFonts w:ascii="Arial" w:cs="Arial" w:eastAsia="Arial" w:hAnsi="Arial"/>
                <w:sz w:val="14"/>
                <w:szCs w:val="14"/>
                <w:b w:val="1"/>
                <w:bCs w:val="1"/>
                <w:color w:val="auto"/>
              </w:rPr>
              <w:t>Loss</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Stockholders’ Equity</w:t>
            </w:r>
          </w:p>
        </w:tc>
        <w:tc>
          <w:tcPr>
            <w:tcW w:w="0" w:type="dxa"/>
            <w:vAlign w:val="bottom"/>
          </w:tcPr>
          <w:p>
            <w:pPr>
              <w:spacing w:after="0"/>
              <w:rPr>
                <w:sz w:val="1"/>
                <w:szCs w:val="1"/>
                <w:color w:val="auto"/>
              </w:rPr>
            </w:pPr>
          </w:p>
        </w:tc>
      </w:tr>
      <w:tr>
        <w:trPr>
          <w:trHeight w:val="184"/>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29,186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1,148,190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(2,843,097)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2,011,569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(75,993)</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240,961</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22,788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22,788</w:t>
            </w:r>
          </w:p>
        </w:tc>
        <w:tc>
          <w:tcPr>
            <w:tcW w:w="0" w:type="dxa"/>
            <w:vAlign w:val="bottom"/>
          </w:tcPr>
          <w:p>
            <w:pPr>
              <w:spacing w:after="0"/>
              <w:rPr>
                <w:sz w:val="1"/>
                <w:szCs w:val="1"/>
                <w:color w:val="auto"/>
              </w:rPr>
            </w:pPr>
          </w:p>
        </w:tc>
      </w:tr>
      <w:tr>
        <w:trPr>
          <w:trHeight w:val="138"/>
        </w:trPr>
        <w:tc>
          <w:tcPr>
            <w:tcW w:w="31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treasury stock under employee stock</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8,930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7,171</w:t>
            </w: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(290)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(95,998)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(96,001)</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58,288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58,288</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(19,056)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(19,056)</w:t>
            </w:r>
          </w:p>
        </w:tc>
        <w:tc>
          <w:tcPr>
            <w:tcW w:w="0" w:type="dxa"/>
            <w:vAlign w:val="bottom"/>
          </w:tcPr>
          <w:p>
            <w:pPr>
              <w:spacing w:after="0"/>
              <w:rPr>
                <w:sz w:val="1"/>
                <w:szCs w:val="1"/>
                <w:color w:val="auto"/>
              </w:rPr>
            </w:pPr>
          </w:p>
        </w:tc>
      </w:tr>
      <w:tr>
        <w:trPr>
          <w:trHeight w:val="208"/>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2020</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29,082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1,169,217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(2,930,165)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2,069,857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(95,049)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214,151</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3140" w:type="dxa"/>
            <w:vAlign w:val="bottom"/>
          </w:tcPr>
          <w:p>
            <w:pPr>
              <w:spacing w:after="0"/>
              <w:rPr>
                <w:sz w:val="16"/>
                <w:szCs w:val="16"/>
                <w:color w:val="auto"/>
              </w:rPr>
            </w:pPr>
          </w:p>
        </w:tc>
        <w:tc>
          <w:tcPr>
            <w:tcW w:w="180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Accumulated Other</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ind w:left="40"/>
              <w:spacing w:after="0" w:line="95" w:lineRule="exact"/>
              <w:rPr>
                <w:sz w:val="20"/>
                <w:szCs w:val="20"/>
                <w:color w:val="auto"/>
              </w:rPr>
            </w:pPr>
            <w:r>
              <w:rPr>
                <w:rFonts w:ascii="Arial" w:cs="Arial" w:eastAsia="Arial" w:hAnsi="Arial"/>
                <w:sz w:val="10"/>
                <w:szCs w:val="10"/>
                <w:b w:val="1"/>
                <w:bCs w:val="1"/>
                <w:color w:val="auto"/>
              </w:rPr>
              <w:t>Additional</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gridSpan w:val="2"/>
            <w:vMerge w:val="restart"/>
          </w:tcPr>
          <w:p>
            <w:pPr>
              <w:ind w:left="80"/>
              <w:spacing w:after="0" w:line="95" w:lineRule="exact"/>
              <w:rPr>
                <w:sz w:val="20"/>
                <w:szCs w:val="20"/>
                <w:color w:val="auto"/>
              </w:rPr>
            </w:pPr>
            <w:r>
              <w:rPr>
                <w:rFonts w:ascii="Arial" w:cs="Arial" w:eastAsia="Arial" w:hAnsi="Arial"/>
                <w:sz w:val="10"/>
                <w:szCs w:val="10"/>
                <w:b w:val="1"/>
                <w:bCs w:val="1"/>
                <w:color w:val="auto"/>
              </w:rPr>
              <w:t>Retained</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Comprehensive</w:t>
            </w:r>
          </w:p>
        </w:tc>
        <w:tc>
          <w:tcPr>
            <w:tcW w:w="300" w:type="dxa"/>
            <w:vAlign w:val="bottom"/>
          </w:tcPr>
          <w:p>
            <w:pPr>
              <w:spacing w:after="0"/>
              <w:rPr>
                <w:sz w:val="4"/>
                <w:szCs w:val="4"/>
                <w:color w:val="auto"/>
              </w:rPr>
            </w:pPr>
          </w:p>
        </w:tc>
        <w:tc>
          <w:tcPr>
            <w:tcW w:w="1060" w:type="dxa"/>
            <w:vAlign w:val="bottom"/>
            <w:vMerge w:val="restart"/>
          </w:tcPr>
          <w:p>
            <w:pPr>
              <w:jc w:val="right"/>
              <w:ind w:right="451"/>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1"/>
        </w:trPr>
        <w:tc>
          <w:tcPr>
            <w:tcW w:w="3140" w:type="dxa"/>
            <w:vAlign w:val="bottom"/>
            <w:vMerge w:val="continue"/>
          </w:tcPr>
          <w:p>
            <w:pPr>
              <w:spacing w:after="0" w:line="20" w:lineRule="exact"/>
              <w:rPr>
                <w:sz w:val="1"/>
                <w:szCs w:val="1"/>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line="20" w:lineRule="exact"/>
              <w:rPr>
                <w:sz w:val="1"/>
                <w:szCs w:val="1"/>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1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Paid-in-Capital</w:t>
            </w:r>
          </w:p>
        </w:tc>
        <w:tc>
          <w:tcPr>
            <w:tcW w:w="10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Stockholders’ Equity</w:t>
            </w:r>
          </w:p>
        </w:tc>
        <w:tc>
          <w:tcPr>
            <w:tcW w:w="0" w:type="dxa"/>
            <w:vAlign w:val="bottom"/>
          </w:tcPr>
          <w:p>
            <w:pPr>
              <w:spacing w:after="0"/>
              <w:rPr>
                <w:sz w:val="1"/>
                <w:szCs w:val="1"/>
                <w:color w:val="auto"/>
              </w:rPr>
            </w:pPr>
          </w:p>
        </w:tc>
      </w:tr>
      <w:tr>
        <w:trPr>
          <w:trHeight w:val="184"/>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2020</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29,096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1,218,583</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(2,997,856)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2,193,059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(82,995)</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331,082</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53,338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53,338</w:t>
            </w:r>
          </w:p>
        </w:tc>
        <w:tc>
          <w:tcPr>
            <w:tcW w:w="0" w:type="dxa"/>
            <w:vAlign w:val="bottom"/>
          </w:tcPr>
          <w:p>
            <w:pPr>
              <w:spacing w:after="0"/>
              <w:rPr>
                <w:sz w:val="1"/>
                <w:szCs w:val="1"/>
                <w:color w:val="auto"/>
              </w:rPr>
            </w:pPr>
          </w:p>
        </w:tc>
      </w:tr>
      <w:tr>
        <w:trPr>
          <w:trHeight w:val="138"/>
        </w:trPr>
        <w:tc>
          <w:tcPr>
            <w:tcW w:w="31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treasury stock under employee stock</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(90,229)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13,964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(76,263)</w:t>
            </w: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(542)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(255,217)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(255,222)</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155,166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155,166</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15,202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15,202</w:t>
            </w:r>
          </w:p>
        </w:tc>
        <w:tc>
          <w:tcPr>
            <w:tcW w:w="0" w:type="dxa"/>
            <w:vAlign w:val="bottom"/>
          </w:tcPr>
          <w:p>
            <w:pPr>
              <w:spacing w:after="0"/>
              <w:rPr>
                <w:sz w:val="1"/>
                <w:szCs w:val="1"/>
                <w:color w:val="auto"/>
              </w:rPr>
            </w:pPr>
          </w:p>
        </w:tc>
      </w:tr>
      <w:tr>
        <w:trPr>
          <w:trHeight w:val="208"/>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2021</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28,829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1,181,692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(3,239,109)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2,348,225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(67,793)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223,303</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3140" w:type="dxa"/>
            <w:vAlign w:val="bottom"/>
          </w:tcPr>
          <w:p>
            <w:pPr>
              <w:spacing w:after="0"/>
              <w:rPr>
                <w:sz w:val="16"/>
                <w:szCs w:val="16"/>
                <w:color w:val="auto"/>
              </w:rPr>
            </w:pPr>
          </w:p>
        </w:tc>
        <w:tc>
          <w:tcPr>
            <w:tcW w:w="180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ind w:left="40"/>
              <w:spacing w:after="0" w:line="95" w:lineRule="exact"/>
              <w:rPr>
                <w:sz w:val="20"/>
                <w:szCs w:val="20"/>
                <w:color w:val="auto"/>
              </w:rPr>
            </w:pPr>
            <w:r>
              <w:rPr>
                <w:rFonts w:ascii="Arial" w:cs="Arial" w:eastAsia="Arial" w:hAnsi="Arial"/>
                <w:sz w:val="10"/>
                <w:szCs w:val="10"/>
                <w:b w:val="1"/>
                <w:bCs w:val="1"/>
                <w:color w:val="auto"/>
              </w:rPr>
              <w:t>Additional</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gridSpan w:val="2"/>
            <w:vMerge w:val="restart"/>
          </w:tcPr>
          <w:p>
            <w:pPr>
              <w:ind w:left="80"/>
              <w:spacing w:after="0" w:line="95" w:lineRule="exact"/>
              <w:rPr>
                <w:sz w:val="20"/>
                <w:szCs w:val="20"/>
                <w:color w:val="auto"/>
              </w:rPr>
            </w:pPr>
            <w:r>
              <w:rPr>
                <w:rFonts w:ascii="Arial" w:cs="Arial" w:eastAsia="Arial" w:hAnsi="Arial"/>
                <w:sz w:val="10"/>
                <w:szCs w:val="10"/>
                <w:b w:val="1"/>
                <w:bCs w:val="1"/>
                <w:color w:val="auto"/>
              </w:rPr>
              <w:t>Retained</w:t>
            </w:r>
          </w:p>
        </w:tc>
        <w:tc>
          <w:tcPr>
            <w:tcW w:w="120" w:type="dxa"/>
            <w:vAlign w:val="bottom"/>
          </w:tcPr>
          <w:p>
            <w:pPr>
              <w:spacing w:after="0"/>
              <w:rPr>
                <w:sz w:val="4"/>
                <w:szCs w:val="4"/>
                <w:color w:val="auto"/>
              </w:rPr>
            </w:pPr>
          </w:p>
        </w:tc>
        <w:tc>
          <w:tcPr>
            <w:tcW w:w="1240" w:type="dxa"/>
            <w:vAlign w:val="bottom"/>
            <w:gridSpan w:val="2"/>
            <w:vMerge w:val="restart"/>
          </w:tcPr>
          <w:p>
            <w:pPr>
              <w:ind w:left="40"/>
              <w:spacing w:after="0" w:line="95" w:lineRule="exact"/>
              <w:rPr>
                <w:sz w:val="20"/>
                <w:szCs w:val="20"/>
                <w:color w:val="auto"/>
              </w:rPr>
            </w:pPr>
            <w:r>
              <w:rPr>
                <w:rFonts w:ascii="Arial" w:cs="Arial" w:eastAsia="Arial" w:hAnsi="Arial"/>
                <w:sz w:val="10"/>
                <w:szCs w:val="10"/>
                <w:b w:val="1"/>
                <w:bCs w:val="1"/>
                <w:color w:val="auto"/>
              </w:rPr>
              <w:t>Comprehensive</w:t>
            </w:r>
          </w:p>
        </w:tc>
        <w:tc>
          <w:tcPr>
            <w:tcW w:w="300" w:type="dxa"/>
            <w:vAlign w:val="bottom"/>
          </w:tcPr>
          <w:p>
            <w:pPr>
              <w:spacing w:after="0"/>
              <w:rPr>
                <w:sz w:val="4"/>
                <w:szCs w:val="4"/>
                <w:color w:val="auto"/>
              </w:rPr>
            </w:pPr>
          </w:p>
        </w:tc>
        <w:tc>
          <w:tcPr>
            <w:tcW w:w="1060" w:type="dxa"/>
            <w:vAlign w:val="bottom"/>
            <w:vMerge w:val="restart"/>
          </w:tcPr>
          <w:p>
            <w:pPr>
              <w:jc w:val="right"/>
              <w:ind w:right="451"/>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3140" w:type="dxa"/>
            <w:vAlign w:val="bottom"/>
            <w:vMerge w:val="continue"/>
          </w:tcPr>
          <w:p>
            <w:pPr>
              <w:spacing w:after="0" w:line="20" w:lineRule="exact"/>
              <w:rPr>
                <w:sz w:val="1"/>
                <w:szCs w:val="1"/>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line="20" w:lineRule="exact"/>
              <w:rPr>
                <w:sz w:val="1"/>
                <w:szCs w:val="1"/>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1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Paid-in-Capital</w:t>
            </w:r>
          </w:p>
        </w:tc>
        <w:tc>
          <w:tcPr>
            <w:tcW w:w="10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40" w:type="dxa"/>
            <w:vAlign w:val="bottom"/>
            <w:gridSpan w:val="2"/>
          </w:tcPr>
          <w:p>
            <w:pPr>
              <w:ind w:left="380"/>
              <w:spacing w:after="0"/>
              <w:rPr>
                <w:sz w:val="20"/>
                <w:szCs w:val="20"/>
                <w:color w:val="auto"/>
              </w:rPr>
            </w:pPr>
            <w:r>
              <w:rPr>
                <w:rFonts w:ascii="Arial" w:cs="Arial" w:eastAsia="Arial" w:hAnsi="Arial"/>
                <w:sz w:val="14"/>
                <w:szCs w:val="14"/>
                <w:b w:val="1"/>
                <w:bCs w:val="1"/>
                <w:color w:val="auto"/>
              </w:rPr>
              <w:t>Loss</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Stockholders’ Equity</w:t>
            </w:r>
          </w:p>
        </w:tc>
        <w:tc>
          <w:tcPr>
            <w:tcW w:w="0" w:type="dxa"/>
            <w:vAlign w:val="bottom"/>
          </w:tcPr>
          <w:p>
            <w:pPr>
              <w:spacing w:after="0"/>
              <w:rPr>
                <w:sz w:val="1"/>
                <w:szCs w:val="1"/>
                <w:color w:val="auto"/>
              </w:rPr>
            </w:pPr>
          </w:p>
        </w:tc>
      </w:tr>
      <w:tr>
        <w:trPr>
          <w:trHeight w:val="184"/>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2019</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28,944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1,225,365</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(2,802,450)</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1,956,648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(90,085)</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289,767</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45,933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45,933</w:t>
            </w:r>
          </w:p>
        </w:tc>
        <w:tc>
          <w:tcPr>
            <w:tcW w:w="0" w:type="dxa"/>
            <w:vAlign w:val="bottom"/>
          </w:tcPr>
          <w:p>
            <w:pPr>
              <w:spacing w:after="0"/>
              <w:rPr>
                <w:sz w:val="1"/>
                <w:szCs w:val="1"/>
                <w:color w:val="auto"/>
              </w:rPr>
            </w:pPr>
          </w:p>
        </w:tc>
      </w:tr>
      <w:tr>
        <w:trPr>
          <w:trHeight w:val="138"/>
        </w:trPr>
        <w:tc>
          <w:tcPr>
            <w:tcW w:w="31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treasury stock under employee stock</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(102,081)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28,291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(73,784)</w:t>
            </w: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(458)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(156,006)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(156,010)</w:t>
            </w:r>
          </w:p>
        </w:tc>
        <w:tc>
          <w:tcPr>
            <w:tcW w:w="0" w:type="dxa"/>
            <w:vAlign w:val="bottom"/>
          </w:tcPr>
          <w:p>
            <w:pPr>
              <w:spacing w:after="0"/>
              <w:rPr>
                <w:sz w:val="1"/>
                <w:szCs w:val="1"/>
                <w:color w:val="auto"/>
              </w:rPr>
            </w:pPr>
          </w:p>
        </w:tc>
      </w:tr>
      <w:tr>
        <w:trPr>
          <w:trHeight w:val="192"/>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113,209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113,209</w:t>
            </w:r>
          </w:p>
        </w:tc>
        <w:tc>
          <w:tcPr>
            <w:tcW w:w="0" w:type="dxa"/>
            <w:vAlign w:val="bottom"/>
          </w:tcPr>
          <w:p>
            <w:pPr>
              <w:spacing w:after="0"/>
              <w:rPr>
                <w:sz w:val="1"/>
                <w:szCs w:val="1"/>
                <w:color w:val="auto"/>
              </w:rPr>
            </w:pPr>
          </w:p>
        </w:tc>
      </w:tr>
      <w:tr>
        <w:trPr>
          <w:trHeight w:val="186"/>
        </w:trPr>
        <w:tc>
          <w:tcPr>
            <w:tcW w:w="314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(4,964)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(4,964)</w:t>
            </w:r>
          </w:p>
        </w:tc>
        <w:tc>
          <w:tcPr>
            <w:tcW w:w="0" w:type="dxa"/>
            <w:vAlign w:val="bottom"/>
          </w:tcPr>
          <w:p>
            <w:pPr>
              <w:spacing w:after="0"/>
              <w:rPr>
                <w:sz w:val="1"/>
                <w:szCs w:val="1"/>
                <w:color w:val="auto"/>
              </w:rPr>
            </w:pPr>
          </w:p>
        </w:tc>
      </w:tr>
      <w:tr>
        <w:trPr>
          <w:trHeight w:val="208"/>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2020</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29,082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1,169,217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(2,930,165)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2,069,857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(95,049)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214,151</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87"/>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155,166</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113,209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13,701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15,535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45,933</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loss on marketable securities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Non-cash operating lease costs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doubtful accounts,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Net loss on sales and abandonment of property and equipment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product line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(13,823)</w:t>
            </w:r>
          </w:p>
        </w:tc>
        <w:tc>
          <w:tcPr>
            <w:tcW w:w="0" w:type="dxa"/>
            <w:vAlign w:val="bottom"/>
          </w:tcPr>
          <w:p>
            <w:pPr>
              <w:spacing w:after="0"/>
              <w:rPr>
                <w:sz w:val="1"/>
                <w:szCs w:val="1"/>
                <w:color w:val="auto"/>
              </w:rPr>
            </w:pPr>
          </w:p>
        </w:tc>
      </w:tr>
      <w:tr>
        <w:trPr>
          <w:trHeight w:val="229"/>
        </w:trPr>
        <w:tc>
          <w:tcPr>
            <w:tcW w:w="8240" w:type="dxa"/>
            <w:vAlign w:val="bottom"/>
          </w:tcPr>
          <w:p>
            <w:pPr>
              <w:ind w:left="112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4,572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(19,656)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29"/>
        </w:trPr>
        <w:tc>
          <w:tcPr>
            <w:tcW w:w="8240" w:type="dxa"/>
            <w:vAlign w:val="bottom"/>
          </w:tcPr>
          <w:p>
            <w:pPr>
              <w:ind w:left="1120"/>
              <w:spacing w:after="0"/>
              <w:rPr>
                <w:sz w:val="20"/>
                <w:szCs w:val="20"/>
                <w:color w:val="auto"/>
              </w:rPr>
            </w:pPr>
            <w:r>
              <w:rPr>
                <w:rFonts w:ascii="Arial" w:cs="Arial" w:eastAsia="Arial" w:hAnsi="Arial"/>
                <w:sz w:val="18"/>
                <w:szCs w:val="18"/>
                <w:color w:val="auto"/>
              </w:rPr>
              <w:t>Accrued compensation and employee benefits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(46,147)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(37,339)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231,470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121,859</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(13,166)</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sales of marketable securities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sale of product line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8,291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distribution from equity investment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(14,958)</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revolving line of credit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251,000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156,000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revolving line of credit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(377,000)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issuance of senior notes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debt issuance costs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Payments on finance leases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treasury stock under employee stock plans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23,216</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Taxes paid related to net share settlement of equity awards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(86,653)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(97,000)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(250,356)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(148,008)</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(196,795)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(100,344)</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Increase in cash and cash equivalents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40,442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157,394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106,426</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197,836</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108,966</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w w:val="91"/>
              </w:rPr>
              <w:t>Cash paid for income taxes, net of refunds of $288 and $1,538 during the six months ended March 31, 2021, and</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18,131</w:t>
            </w:r>
          </w:p>
        </w:tc>
        <w:tc>
          <w:tcPr>
            <w:tcW w:w="120" w:type="dxa"/>
            <w:vAlign w:val="bottom"/>
          </w:tcPr>
          <w:p>
            <w:pPr>
              <w:spacing w:after="0"/>
              <w:rPr>
                <w:sz w:val="15"/>
                <w:szCs w:val="15"/>
                <w:color w:val="auto"/>
              </w:rPr>
            </w:pPr>
          </w:p>
        </w:tc>
        <w:tc>
          <w:tcPr>
            <w:tcW w:w="480" w:type="dxa"/>
            <w:vAlign w:val="bottom"/>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2020, respectively</w:t>
            </w:r>
          </w:p>
        </w:tc>
        <w:tc>
          <w:tcPr>
            <w:tcW w:w="3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16,181</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 included in accounts payable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Unsettled repurchases of common stock</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4,866</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8,002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 incurred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accompanying4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Isaac Corporation</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Incorporated under the laws of the State of Delaware, Fair Isaac Corporation (“FICO”) is a provider of analytic, software and data management products and services that enable businesses to automate, improve and connect decisions. FICO provides a range of analytic solutions, credit scoring and credit account management products and services to banks, credit reporting agencies, credit card processing agencies, insurers, retailers, healthcare organizations and public agencies.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Quarterly Report on Form 10-Q, Fair Isaac Corporation is referred to as “FICO,” “we,” “us,” “our,” or “the Company.”</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17"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We have prepared the accompanying unaudited interim condensed consolidated financial statements in accordance with the instructions to Form 10-Q and the applicable accounting guidance. Consequently, we have not necessarily included all information and footnotes required for audited financial statements. In our opinion, the accompanying unaudited interim condensed consolidated financial statements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Report on Form 10-K for the fiscal year ended September 30, 2020. The interim financial information contained in this report is not necessarily indicative of the results to be expected for any other interim period or for the entire fiscal year.</w:t>
      </w:r>
    </w:p>
    <w:p>
      <w:pPr>
        <w:spacing w:after="0" w:line="11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condensed consolidated financial statements include the accounts of FICO and its subsidiaries. All intercompany accounts and transactions have been eliminated.</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make estimates and assumptions that affect the amounts reported in the financial statements and the disclosures made in the accompanying notes. For example, we use estimates in determining the collectibility of accounts receivable; the appropriate levels of various accruals; variable considerations included in the transaction price for our customer contracts; labor hours in connection with fixed-fee service contracts; the amount of our tax provision; and the realizability of deferred tax assets. We also use estimates in determining the remaining economic lives and carrying values of acquired intangible assets, property and equipment, and other long-lived assets. In addition, we use assumptions to estimate the fair value of reporting units and share-based compensation. Actual results may differ from our estimates.</w:t>
      </w:r>
    </w:p>
    <w:p>
      <w:pPr>
        <w:spacing w:after="0" w:line="21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the impact of the COVID-19 pandemic continues to evolve, estimates and assumptions about future events and their effects cannot be determined with certainty and therefore require increased judgment. These estimates and assumptions may change in future periods and will be recognized in the condensed consolidated financial statements as new events occur and additional information becomes known. To the extent our actual results differ materially from those estimates and assumptions, our future financial statements could be affected. For more information, see Part II, Item 1A “Risk Factors” of this Quarterly Report on Form 10-Q.</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No. 2018-15,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Goodwill and Other (Topic 350): Internal-Use Software </w:t>
      </w:r>
      <w:r>
        <w:rPr>
          <w:rFonts w:ascii="Arial" w:cs="Arial" w:eastAsia="Arial" w:hAnsi="Arial"/>
          <w:sz w:val="18"/>
          <w:szCs w:val="18"/>
          <w:color w:val="auto"/>
        </w:rPr>
        <w:t>(“ASU 2018-15”). ASU 2018-15 aligns the requirements for capitalizing implementation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in a cloud computing arrangement that is a service contract with the requirements for capitalizing implementation costs incurred to develop or obtain internal-use software. We adopted ASU 2018-15 in the first quarter of our fiscal 2021 and the adoption did not have a significant impact on our condensed consolidated financial statements.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and subsequent amendments to the initial guidance: ASU 2018-19, ASU 2019-04, ASU 2019-05 and ASU 2019-11 (collectively, “Topic 326”).</w:t>
      </w:r>
      <w:r>
        <w:rPr>
          <w:rFonts w:ascii="Arial" w:cs="Arial" w:eastAsia="Arial" w:hAnsi="Arial"/>
          <w:sz w:val="17"/>
          <w:szCs w:val="17"/>
          <w:i w:val="1"/>
          <w:iCs w:val="1"/>
          <w:color w:val="auto"/>
        </w:rPr>
        <w:t xml:space="preserve"> </w:t>
      </w:r>
      <w:r>
        <w:rPr>
          <w:rFonts w:ascii="Arial" w:cs="Arial" w:eastAsia="Arial" w:hAnsi="Arial"/>
          <w:sz w:val="17"/>
          <w:szCs w:val="17"/>
          <w:color w:val="auto"/>
        </w:rPr>
        <w:t>Topic 326 requires measurement and recognition of expected credit losses for financial assets held. We adopted Topic 326 in the first quarter of our fiscal 2021 and the adoption did not have a significant impact on our condensed consolidated financial statements.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expect that any recently issued accounting pronouncements will have a significant effect on our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12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spacing w:after="0" w:line="162" w:lineRule="exact"/>
        <w:rPr>
          <w:sz w:val="20"/>
          <w:szCs w:val="20"/>
          <w:color w:val="auto"/>
        </w:rPr>
      </w:pPr>
    </w:p>
    <w:p>
      <w:pPr>
        <w:jc w:val="both"/>
        <w:ind w:left="1300" w:hanging="563"/>
        <w:spacing w:after="0" w:line="263"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uses unadjusted quoted prices that are available in active markets for identical assets or liabilities. Our Level 1 assets are comprised of money market funds and certain marketable securities. We did not have any liabilities that are valued using inputs identified under a Level 1 hierarchy as of March 31, 2021 and September 30, 2020.</w:t>
      </w:r>
    </w:p>
    <w:p>
      <w:pPr>
        <w:spacing w:after="0" w:line="75" w:lineRule="exact"/>
        <w:rPr>
          <w:rFonts w:ascii="Arial" w:cs="Arial" w:eastAsia="Arial" w:hAnsi="Arial"/>
          <w:sz w:val="18"/>
          <w:szCs w:val="18"/>
          <w:color w:val="auto"/>
        </w:rPr>
      </w:pPr>
    </w:p>
    <w:p>
      <w:pPr>
        <w:jc w:val="both"/>
        <w:ind w:left="1300" w:hanging="563"/>
        <w:spacing w:after="0" w:line="254"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did not have any assets that are valued using inputs identified under a Level 2 hierarchy as of March 31, 2021 and September 30, 2020. We measure the fair value of our senior notes based on Level 2 inputs, which include quoted market prices and interest rate spreads of similar securities.</w:t>
      </w:r>
    </w:p>
    <w:p>
      <w:pPr>
        <w:spacing w:after="0" w:line="86" w:lineRule="exact"/>
        <w:rPr>
          <w:rFonts w:ascii="Arial" w:cs="Arial" w:eastAsia="Arial" w:hAnsi="Arial"/>
          <w:sz w:val="18"/>
          <w:szCs w:val="18"/>
          <w:color w:val="auto"/>
        </w:rPr>
      </w:pPr>
    </w:p>
    <w:p>
      <w:pPr>
        <w:jc w:val="both"/>
        <w:ind w:left="1300" w:hanging="563"/>
        <w:spacing w:after="0" w:line="257"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did not have any assets or liabilities that are valued using inputs identified under a Level 3 hierarchy as of March 31, 2021 and September 30, 2020.</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represent financial assets that we measured at fair value on a recurring basis at March 31, 2021 and September 30, 2020: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Active Markets for</w:t>
            </w:r>
          </w:p>
        </w:tc>
        <w:tc>
          <w:tcPr>
            <w:tcW w:w="1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Fair Value as of March 31,</w:t>
            </w:r>
          </w:p>
        </w:tc>
        <w:tc>
          <w:tcPr>
            <w:tcW w:w="0" w:type="dxa"/>
            <w:vAlign w:val="bottom"/>
          </w:tcPr>
          <w:p>
            <w:pPr>
              <w:spacing w:after="0"/>
              <w:rPr>
                <w:sz w:val="1"/>
                <w:szCs w:val="1"/>
                <w:color w:val="auto"/>
              </w:rPr>
            </w:pPr>
          </w:p>
        </w:tc>
      </w:tr>
      <w:tr>
        <w:trPr>
          <w:trHeight w:val="135"/>
        </w:trPr>
        <w:tc>
          <w:tcPr>
            <w:tcW w:w="7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1"/>
                <w:szCs w:val="11"/>
                <w:color w:val="auto"/>
              </w:rPr>
            </w:pPr>
          </w:p>
        </w:tc>
        <w:tc>
          <w:tcPr>
            <w:tcW w:w="17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Identical Instruments</w:t>
            </w:r>
          </w:p>
        </w:tc>
        <w:tc>
          <w:tcPr>
            <w:tcW w:w="1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5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7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3"/>
          </w:tcPr>
          <w:p>
            <w:pPr>
              <w:ind w:left="120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3"/>
                <w:szCs w:val="23"/>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Marketable securities </w:t>
            </w:r>
            <w:r>
              <w:rPr>
                <w:rFonts w:ascii="Arial" w:cs="Arial" w:eastAsia="Arial" w:hAnsi="Arial"/>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30,437</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30,631</w:t>
            </w:r>
          </w:p>
        </w:tc>
        <w:tc>
          <w:tcPr>
            <w:tcW w:w="1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30,631</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Active Markets for</w:t>
            </w:r>
          </w:p>
        </w:tc>
        <w:tc>
          <w:tcPr>
            <w:tcW w:w="1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Fair Value as of September</w:t>
            </w:r>
          </w:p>
        </w:tc>
        <w:tc>
          <w:tcPr>
            <w:tcW w:w="0" w:type="dxa"/>
            <w:vAlign w:val="bottom"/>
          </w:tcPr>
          <w:p>
            <w:pPr>
              <w:spacing w:after="0"/>
              <w:rPr>
                <w:sz w:val="1"/>
                <w:szCs w:val="1"/>
                <w:color w:val="auto"/>
              </w:rPr>
            </w:pPr>
          </w:p>
        </w:tc>
      </w:tr>
      <w:tr>
        <w:trPr>
          <w:trHeight w:val="135"/>
        </w:trPr>
        <w:tc>
          <w:tcPr>
            <w:tcW w:w="7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11"/>
                <w:szCs w:val="11"/>
                <w:color w:val="auto"/>
              </w:rPr>
            </w:pPr>
          </w:p>
        </w:tc>
        <w:tc>
          <w:tcPr>
            <w:tcW w:w="17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Identical Instruments</w:t>
            </w:r>
          </w:p>
        </w:tc>
        <w:tc>
          <w:tcPr>
            <w:tcW w:w="1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5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30, 2020</w:t>
            </w:r>
          </w:p>
        </w:tc>
        <w:tc>
          <w:tcPr>
            <w:tcW w:w="0" w:type="dxa"/>
            <w:vAlign w:val="bottom"/>
          </w:tcPr>
          <w:p>
            <w:pPr>
              <w:spacing w:after="0"/>
              <w:rPr>
                <w:sz w:val="1"/>
                <w:szCs w:val="1"/>
                <w:color w:val="auto"/>
              </w:rPr>
            </w:pPr>
          </w:p>
        </w:tc>
      </w:tr>
      <w:tr>
        <w:trPr>
          <w:trHeight w:val="183"/>
        </w:trPr>
        <w:tc>
          <w:tcPr>
            <w:tcW w:w="7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3"/>
          </w:tcPr>
          <w:p>
            <w:pPr>
              <w:ind w:left="120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3"/>
                <w:szCs w:val="23"/>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35,275</w:t>
            </w:r>
          </w:p>
        </w:tc>
        <w:tc>
          <w:tcPr>
            <w:tcW w:w="10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35,275</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Marketable securities </w:t>
            </w:r>
            <w:r>
              <w:rPr>
                <w:rFonts w:ascii="Arial" w:cs="Arial" w:eastAsia="Arial" w:hAnsi="Arial"/>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25,513</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60,788</w:t>
            </w:r>
          </w:p>
        </w:tc>
        <w:tc>
          <w:tcPr>
            <w:tcW w:w="1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60,788</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5513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303" w:lineRule="exact"/>
        <w:rPr>
          <w:sz w:val="20"/>
          <w:szCs w:val="20"/>
          <w:color w:val="auto"/>
        </w:rPr>
      </w:pPr>
    </w:p>
    <w:p>
      <w:pPr>
        <w:ind w:left="340" w:hanging="332"/>
        <w:spacing w:after="0" w:line="277" w:lineRule="auto"/>
        <w:tabs>
          <w:tab w:leader="none" w:pos="33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cash and cash equivalents on our condensed consolidated balance sheets at March 31, 2021 and September 30, 2020. Not included in these tables are cash deposits of $197.6 million and $122.1 million at March 31, 2021 and September 30, 2020, respectively.</w:t>
      </w:r>
    </w:p>
    <w:p>
      <w:pPr>
        <w:spacing w:after="0" w:line="8"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securities held under a supplemental retirement and savings plan for senior management employees, which are distributed upon termination or retirement of the employees. Included in marketable securities on our condensed consolidated balance sheets at March 31, 2021 and September 30, 2020.</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7 for the fair value of our senior notes.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There were no transfers between Level 1, Level 2, and Level 3 of the fair value hierarchy during the quarters and six-month periods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and 2020.</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Derivative Financial Instruments</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use derivative instruments to manage risks caused by fluctuations in foreign exchange rates. The primary objective of our derivative instruments is to protect the value of foreign-currency-denominated receivable and cash balances from the effects of volatility in foreign exchange rates that might occur prior to conversion to their respective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Singapore dollar.</w:t>
      </w:r>
    </w:p>
    <w:p>
      <w:pPr>
        <w:spacing w:after="0" w:line="18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Foreign-currency-denominated receivable and cash balances are remeasured at foreign exchange rates in effect on the balance sheet date with the effects of changes in foreign exchange rates reported in other income (expense), net. The forward contracts are not designated as hedges and are marked to market through other income (expense),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summarize our outstanding foreign currency forward contracts, by currency, at March 31, 2021 and September 30, 2020:</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6"/>
              </w:rPr>
              <w:t>March 31, 2021</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right"/>
              <w:ind w:right="938"/>
              <w:spacing w:after="0"/>
              <w:rPr>
                <w:sz w:val="20"/>
                <w:szCs w:val="20"/>
                <w:color w:val="auto"/>
              </w:rPr>
            </w:pPr>
            <w:r>
              <w:rPr>
                <w:rFonts w:ascii="Arial" w:cs="Arial" w:eastAsia="Arial" w:hAnsi="Arial"/>
                <w:sz w:val="14"/>
                <w:szCs w:val="14"/>
                <w:b w:val="1"/>
                <w:bCs w:val="1"/>
                <w:color w:val="auto"/>
              </w:rPr>
              <w:t>Contract Amount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4"/>
        </w:trPr>
        <w:tc>
          <w:tcPr>
            <w:tcW w:w="6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jc w:val="center"/>
              <w:ind w:right="379"/>
              <w:spacing w:after="0" w:line="135" w:lineRule="exact"/>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1"/>
                <w:szCs w:val="11"/>
                <w:color w:val="auto"/>
              </w:rPr>
            </w:pPr>
          </w:p>
        </w:tc>
        <w:tc>
          <w:tcPr>
            <w:tcW w:w="14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USD</w:t>
            </w: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188"/>
        </w:trPr>
        <w:tc>
          <w:tcPr>
            <w:tcW w:w="6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79"/>
              <w:spacing w:after="0"/>
              <w:rPr>
                <w:sz w:val="20"/>
                <w:szCs w:val="20"/>
                <w:color w:val="auto"/>
              </w:rPr>
            </w:pPr>
            <w:r>
              <w:rPr>
                <w:rFonts w:ascii="Arial" w:cs="Arial" w:eastAsia="Arial" w:hAnsi="Arial"/>
                <w:sz w:val="14"/>
                <w:szCs w:val="14"/>
                <w:b w:val="1"/>
                <w:bCs w:val="1"/>
                <w:color w:val="auto"/>
                <w:w w:val="97"/>
              </w:rPr>
              <w:t>Currency</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 foreign currency:</w:t>
            </w: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360"/>
              <w:spacing w:after="0"/>
              <w:rPr>
                <w:sz w:val="20"/>
                <w:szCs w:val="20"/>
                <w:color w:val="auto"/>
              </w:rPr>
            </w:pPr>
            <w:r>
              <w:rPr>
                <w:rFonts w:ascii="Arial" w:cs="Arial" w:eastAsia="Arial" w:hAnsi="Arial"/>
                <w:sz w:val="18"/>
                <w:szCs w:val="18"/>
                <w:color w:val="auto"/>
              </w:rPr>
              <w:t>Euro (EUR)</w:t>
            </w:r>
          </w:p>
        </w:tc>
        <w:tc>
          <w:tcPr>
            <w:tcW w:w="440" w:type="dxa"/>
            <w:vAlign w:val="bottom"/>
          </w:tcPr>
          <w:p>
            <w:pPr>
              <w:ind w:left="20"/>
              <w:spacing w:after="0"/>
              <w:rPr>
                <w:sz w:val="20"/>
                <w:szCs w:val="20"/>
                <w:color w:val="auto"/>
              </w:rPr>
            </w:pPr>
            <w:r>
              <w:rPr>
                <w:rFonts w:ascii="Arial" w:cs="Arial" w:eastAsia="Arial" w:hAnsi="Arial"/>
                <w:sz w:val="18"/>
                <w:szCs w:val="18"/>
                <w:color w:val="auto"/>
              </w:rPr>
              <w:t>EUR</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19,200</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22,643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foreign currency:</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360"/>
              <w:spacing w:after="0"/>
              <w:rPr>
                <w:sz w:val="20"/>
                <w:szCs w:val="20"/>
                <w:color w:val="auto"/>
              </w:rPr>
            </w:pPr>
            <w:r>
              <w:rPr>
                <w:rFonts w:ascii="Arial" w:cs="Arial" w:eastAsia="Arial" w:hAnsi="Arial"/>
                <w:sz w:val="18"/>
                <w:szCs w:val="18"/>
                <w:color w:val="auto"/>
              </w:rPr>
              <w:t>British pound (GBP)</w:t>
            </w:r>
          </w:p>
        </w:tc>
        <w:tc>
          <w:tcPr>
            <w:tcW w:w="440" w:type="dxa"/>
            <w:vAlign w:val="bottom"/>
          </w:tcPr>
          <w:p>
            <w:pPr>
              <w:ind w:left="20"/>
              <w:spacing w:after="0"/>
              <w:rPr>
                <w:sz w:val="20"/>
                <w:szCs w:val="20"/>
                <w:color w:val="auto"/>
              </w:rPr>
            </w:pPr>
            <w:r>
              <w:rPr>
                <w:rFonts w:ascii="Arial" w:cs="Arial" w:eastAsia="Arial" w:hAnsi="Arial"/>
                <w:sz w:val="18"/>
                <w:szCs w:val="18"/>
                <w:color w:val="auto"/>
              </w:rPr>
              <w:t>GBP</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14,780</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20,400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Singapore dollar (SGD)</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5,790</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6"/>
        </w:trPr>
        <w:tc>
          <w:tcPr>
            <w:tcW w:w="65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September 30, 2020</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right"/>
              <w:ind w:right="938"/>
              <w:spacing w:after="0"/>
              <w:rPr>
                <w:sz w:val="20"/>
                <w:szCs w:val="20"/>
                <w:color w:val="auto"/>
              </w:rPr>
            </w:pPr>
            <w:r>
              <w:rPr>
                <w:rFonts w:ascii="Arial" w:cs="Arial" w:eastAsia="Arial" w:hAnsi="Arial"/>
                <w:sz w:val="14"/>
                <w:szCs w:val="14"/>
                <w:b w:val="1"/>
                <w:bCs w:val="1"/>
                <w:color w:val="auto"/>
              </w:rPr>
              <w:t>Contract Amount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5"/>
        </w:trPr>
        <w:tc>
          <w:tcPr>
            <w:tcW w:w="6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jc w:val="center"/>
              <w:ind w:right="379"/>
              <w:spacing w:after="0" w:line="135" w:lineRule="exact"/>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1"/>
                <w:szCs w:val="11"/>
                <w:color w:val="auto"/>
              </w:rPr>
            </w:pPr>
          </w:p>
        </w:tc>
        <w:tc>
          <w:tcPr>
            <w:tcW w:w="14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USD</w:t>
            </w: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188"/>
        </w:trPr>
        <w:tc>
          <w:tcPr>
            <w:tcW w:w="6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79"/>
              <w:spacing w:after="0"/>
              <w:rPr>
                <w:sz w:val="20"/>
                <w:szCs w:val="20"/>
                <w:color w:val="auto"/>
              </w:rPr>
            </w:pPr>
            <w:r>
              <w:rPr>
                <w:rFonts w:ascii="Arial" w:cs="Arial" w:eastAsia="Arial" w:hAnsi="Arial"/>
                <w:sz w:val="14"/>
                <w:szCs w:val="14"/>
                <w:b w:val="1"/>
                <w:bCs w:val="1"/>
                <w:color w:val="auto"/>
                <w:w w:val="97"/>
              </w:rPr>
              <w:t>Currency</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 foreign currency:</w:t>
            </w: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360"/>
              <w:spacing w:after="0"/>
              <w:rPr>
                <w:sz w:val="20"/>
                <w:szCs w:val="20"/>
                <w:color w:val="auto"/>
              </w:rPr>
            </w:pPr>
            <w:r>
              <w:rPr>
                <w:rFonts w:ascii="Arial" w:cs="Arial" w:eastAsia="Arial" w:hAnsi="Arial"/>
                <w:sz w:val="18"/>
                <w:szCs w:val="18"/>
                <w:color w:val="auto"/>
              </w:rPr>
              <w:t>Euro (EUR)</w:t>
            </w:r>
          </w:p>
        </w:tc>
        <w:tc>
          <w:tcPr>
            <w:tcW w:w="440" w:type="dxa"/>
            <w:vAlign w:val="bottom"/>
          </w:tcPr>
          <w:p>
            <w:pPr>
              <w:ind w:left="20"/>
              <w:spacing w:after="0"/>
              <w:rPr>
                <w:sz w:val="20"/>
                <w:szCs w:val="20"/>
                <w:color w:val="auto"/>
              </w:rPr>
            </w:pPr>
            <w:r>
              <w:rPr>
                <w:rFonts w:ascii="Arial" w:cs="Arial" w:eastAsia="Arial" w:hAnsi="Arial"/>
                <w:sz w:val="18"/>
                <w:szCs w:val="18"/>
                <w:color w:val="auto"/>
              </w:rPr>
              <w:t>EUR</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15,000</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17,656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foreign currency:</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360"/>
              <w:spacing w:after="0"/>
              <w:rPr>
                <w:sz w:val="20"/>
                <w:szCs w:val="20"/>
                <w:color w:val="auto"/>
              </w:rPr>
            </w:pPr>
            <w:r>
              <w:rPr>
                <w:rFonts w:ascii="Arial" w:cs="Arial" w:eastAsia="Arial" w:hAnsi="Arial"/>
                <w:sz w:val="18"/>
                <w:szCs w:val="18"/>
                <w:color w:val="auto"/>
              </w:rPr>
              <w:t>British pound (GBP)</w:t>
            </w:r>
          </w:p>
        </w:tc>
        <w:tc>
          <w:tcPr>
            <w:tcW w:w="440" w:type="dxa"/>
            <w:vAlign w:val="bottom"/>
          </w:tcPr>
          <w:p>
            <w:pPr>
              <w:ind w:left="20"/>
              <w:spacing w:after="0"/>
              <w:rPr>
                <w:sz w:val="20"/>
                <w:szCs w:val="20"/>
                <w:color w:val="auto"/>
              </w:rPr>
            </w:pPr>
            <w:r>
              <w:rPr>
                <w:rFonts w:ascii="Arial" w:cs="Arial" w:eastAsia="Arial" w:hAnsi="Arial"/>
                <w:sz w:val="18"/>
                <w:szCs w:val="18"/>
                <w:color w:val="auto"/>
              </w:rPr>
              <w:t>GBP</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16,555</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21,300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Singapore dollar (SGD)</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7,815</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foreign currency forward contracts were entered into on March 31, 2021 and September 30, 2020, respectively; therefore, their fair value was $0 on each of these dates.</w:t>
      </w:r>
    </w:p>
    <w:p>
      <w:pPr>
        <w:spacing w:after="0" w:line="17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Gains (losses) on derivative financial instruments were recorded in our condensed consolidated statements of income and comprehensive income as a component of other income (expense), net, and consisted of the following: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80" w:type="dxa"/>
            <w:vAlign w:val="bottom"/>
            <w:gridSpan w:val="4"/>
          </w:tcPr>
          <w:p>
            <w:pPr>
              <w:ind w:left="580"/>
              <w:spacing w:after="0"/>
              <w:rPr>
                <w:sz w:val="20"/>
                <w:szCs w:val="20"/>
                <w:color w:val="auto"/>
              </w:rPr>
            </w:pPr>
            <w:r>
              <w:rPr>
                <w:rFonts w:ascii="Arial" w:cs="Arial" w:eastAsia="Arial" w:hAnsi="Arial"/>
                <w:sz w:val="14"/>
                <w:szCs w:val="14"/>
                <w:b w:val="1"/>
                <w:bCs w:val="1"/>
                <w:color w:val="auto"/>
              </w:rPr>
              <w:t>Quarter Ended March 31,</w:t>
            </w:r>
          </w:p>
        </w:tc>
        <w:tc>
          <w:tcPr>
            <w:tcW w:w="340" w:type="dxa"/>
            <w:vAlign w:val="bottom"/>
          </w:tcPr>
          <w:p>
            <w:pPr>
              <w:spacing w:after="0"/>
              <w:rPr>
                <w:sz w:val="16"/>
                <w:szCs w:val="16"/>
                <w:color w:val="auto"/>
              </w:rPr>
            </w:pPr>
          </w:p>
        </w:tc>
        <w:tc>
          <w:tcPr>
            <w:tcW w:w="2640" w:type="dxa"/>
            <w:vAlign w:val="bottom"/>
            <w:gridSpan w:val="3"/>
          </w:tcPr>
          <w:p>
            <w:pPr>
              <w:ind w:left="260"/>
              <w:spacing w:after="0"/>
              <w:rPr>
                <w:sz w:val="20"/>
                <w:szCs w:val="20"/>
                <w:color w:val="auto"/>
              </w:rPr>
            </w:pPr>
            <w:r>
              <w:rPr>
                <w:rFonts w:ascii="Arial" w:cs="Arial" w:eastAsia="Arial" w:hAnsi="Arial"/>
                <w:sz w:val="14"/>
                <w:szCs w:val="14"/>
                <w:b w:val="1"/>
                <w:bCs w:val="1"/>
                <w:color w:val="auto"/>
              </w:rPr>
              <w:t>Six Months Ended March 31,</w:t>
            </w:r>
          </w:p>
        </w:tc>
      </w:tr>
      <w:tr>
        <w:trPr>
          <w:trHeight w:val="187"/>
        </w:trPr>
        <w:tc>
          <w:tcPr>
            <w:tcW w:w="4580" w:type="dxa"/>
            <w:vAlign w:val="bottom"/>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183"/>
        </w:trPr>
        <w:tc>
          <w:tcPr>
            <w:tcW w:w="4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6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(losses) on foreign currency forward contracts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1,229</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2,915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2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6"/>
          <w:szCs w:val="16"/>
          <w:color w:val="auto"/>
        </w:rPr>
        <w:t>Amortization expense associated with our intangible assets is reflected as a separate operating expense caption — amortization of intangible assets — and is excluded from cost of revenues and selling, general and administrative expenses within the accompanying condensed consolidated statements of</w:t>
      </w:r>
    </w:p>
    <w:p>
      <w:pPr>
        <w:spacing w:after="0"/>
        <w:rPr>
          <w:sz w:val="20"/>
          <w:szCs w:val="20"/>
          <w:color w:val="auto"/>
        </w:rPr>
      </w:pPr>
      <w:r>
        <w:rPr>
          <w:rFonts w:ascii="Arial" w:cs="Arial" w:eastAsia="Arial" w:hAnsi="Arial"/>
          <w:sz w:val="18"/>
          <w:szCs w:val="18"/>
          <w:color w:val="auto"/>
        </w:rPr>
        <w:t>income and comprehensive income. Amortization expense consisted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Quarter Ended March 31,</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Six Months Ended March 31,</w:t>
            </w:r>
          </w:p>
        </w:tc>
      </w:tr>
      <w:tr>
        <w:trPr>
          <w:trHeight w:val="210"/>
        </w:trPr>
        <w:tc>
          <w:tcPr>
            <w:tcW w:w="4160" w:type="dxa"/>
            <w:vAlign w:val="bottom"/>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09"/>
        </w:trPr>
        <w:tc>
          <w:tcPr>
            <w:tcW w:w="4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5"/>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Completed technology</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Customer contracts and relationships</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1,798</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2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Non-compete agreements</w:t>
            </w: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48"/>
        </w:trPr>
        <w:tc>
          <w:tcPr>
            <w:tcW w:w="4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824"/>
        </w:trPr>
        <w:tc>
          <w:tcPr>
            <w:tcW w:w="4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Estimated future intangible asset amortization expense associated with intangible assets existing at March 31, 2021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ind w:left="20"/>
              <w:spacing w:after="0"/>
              <w:rPr>
                <w:sz w:val="20"/>
                <w:szCs w:val="20"/>
                <w:color w:val="auto"/>
              </w:rPr>
            </w:pPr>
            <w:r>
              <w:rPr>
                <w:rFonts w:ascii="Arial" w:cs="Arial" w:eastAsia="Arial" w:hAnsi="Arial"/>
                <w:sz w:val="14"/>
                <w:szCs w:val="14"/>
                <w:b w:val="1"/>
                <w:bCs w:val="1"/>
                <w:color w:val="auto"/>
              </w:rPr>
              <w:t>Year Ending September 30,</w:t>
            </w:r>
          </w:p>
        </w:tc>
        <w:tc>
          <w:tcPr>
            <w:tcW w:w="300" w:type="dxa"/>
            <w:vAlign w:val="bottom"/>
          </w:tcPr>
          <w:p>
            <w:pPr>
              <w:spacing w:after="0"/>
              <w:rPr>
                <w:sz w:val="16"/>
                <w:szCs w:val="16"/>
                <w:color w:val="auto"/>
              </w:rPr>
            </w:pPr>
          </w:p>
        </w:tc>
        <w:tc>
          <w:tcPr>
            <w:tcW w:w="1560" w:type="dxa"/>
            <w:vAlign w:val="bottom"/>
          </w:tcPr>
          <w:p>
            <w:pPr>
              <w:jc w:val="right"/>
              <w:ind w:right="393"/>
              <w:spacing w:after="0"/>
              <w:rPr>
                <w:sz w:val="20"/>
                <w:szCs w:val="20"/>
                <w:color w:val="auto"/>
              </w:rPr>
            </w:pPr>
            <w:r>
              <w:rPr>
                <w:rFonts w:ascii="Arial" w:cs="Arial" w:eastAsia="Arial" w:hAnsi="Arial"/>
                <w:sz w:val="14"/>
                <w:szCs w:val="14"/>
                <w:b w:val="1"/>
                <w:bCs w:val="1"/>
                <w:color w:val="auto"/>
              </w:rPr>
              <w:t>(In thousands)</w:t>
            </w:r>
          </w:p>
        </w:tc>
      </w:tr>
      <w:tr>
        <w:trPr>
          <w:trHeight w:val="236"/>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(excluding the six months ended March 31, 2021)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r>
      <w:tr>
        <w:trPr>
          <w:trHeight w:val="230"/>
        </w:trPr>
        <w:tc>
          <w:tcPr>
            <w:tcW w:w="934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3,400</w:t>
            </w:r>
          </w:p>
        </w:tc>
      </w:tr>
      <w:tr>
        <w:trPr>
          <w:trHeight w:val="229"/>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r>
      <w:tr>
        <w:trPr>
          <w:trHeight w:val="230"/>
        </w:trPr>
        <w:tc>
          <w:tcPr>
            <w:tcW w:w="9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r>
      <w:tr>
        <w:trPr>
          <w:trHeight w:val="248"/>
        </w:trPr>
        <w:tc>
          <w:tcPr>
            <w:tcW w:w="9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changes to goodwill during the six months ended March 31, 2021, both in total and as allocated to our segments: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Applications</w:t>
            </w:r>
          </w:p>
        </w:tc>
        <w:tc>
          <w:tcPr>
            <w:tcW w:w="32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Scores</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Decision Management</w:t>
            </w:r>
          </w:p>
        </w:tc>
        <w:tc>
          <w:tcPr>
            <w:tcW w:w="340" w:type="dxa"/>
            <w:vAlign w:val="bottom"/>
          </w:tcPr>
          <w:p>
            <w:pPr>
              <w:spacing w:after="0"/>
              <w:rPr>
                <w:sz w:val="14"/>
                <w:szCs w:val="14"/>
                <w:color w:val="auto"/>
              </w:rPr>
            </w:pPr>
          </w:p>
        </w:tc>
        <w:tc>
          <w:tcPr>
            <w:tcW w:w="11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5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Software</w:t>
            </w:r>
          </w:p>
        </w:tc>
        <w:tc>
          <w:tcPr>
            <w:tcW w:w="3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1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gridSpan w:val="2"/>
            <w:vMerge w:val="continue"/>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3"/>
          </w:tcPr>
          <w:p>
            <w:pPr>
              <w:ind w:left="720"/>
              <w:spacing w:after="0"/>
              <w:rPr>
                <w:sz w:val="20"/>
                <w:szCs w:val="20"/>
                <w:color w:val="auto"/>
              </w:rPr>
            </w:pPr>
            <w:r>
              <w:rPr>
                <w:rFonts w:ascii="Arial" w:cs="Arial" w:eastAsia="Arial" w:hAnsi="Arial"/>
                <w:sz w:val="14"/>
                <w:szCs w:val="14"/>
                <w:b w:val="1"/>
                <w:bCs w:val="1"/>
                <w:color w:val="auto"/>
                <w:w w:val="93"/>
              </w:rPr>
              <w:t>(In thousands)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596,804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146,648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812,364</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Reclassified as assets held for sale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(27,960)</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572,523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146,648</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69,952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789,123</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Composition of Certain Financial Statement Captions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composition of property and equipment, net and other assets at March 31, 2021 and September 30, 2020: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40" w:type="dxa"/>
            <w:vAlign w:val="bottom"/>
          </w:tcPr>
          <w:p>
            <w:pPr>
              <w:jc w:val="right"/>
              <w:ind w:right="194"/>
              <w:spacing w:after="0"/>
              <w:rPr>
                <w:sz w:val="20"/>
                <w:szCs w:val="20"/>
                <w:color w:val="auto"/>
              </w:rPr>
            </w:pPr>
            <w:r>
              <w:rPr>
                <w:rFonts w:ascii="Arial" w:cs="Arial" w:eastAsia="Arial" w:hAnsi="Arial"/>
                <w:sz w:val="14"/>
                <w:szCs w:val="14"/>
                <w:b w:val="1"/>
                <w:bCs w:val="1"/>
                <w:color w:val="auto"/>
                <w:w w:val="98"/>
              </w:rPr>
              <w:t>September 30,</w:t>
            </w:r>
          </w:p>
        </w:tc>
      </w:tr>
      <w:tr>
        <w:trPr>
          <w:trHeight w:val="188"/>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183"/>
        </w:trPr>
        <w:tc>
          <w:tcPr>
            <w:tcW w:w="8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gridSpan w:val="4"/>
          </w:tcPr>
          <w:p>
            <w:pPr>
              <w:jc w:val="right"/>
              <w:ind w:right="954"/>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154,749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161,119</w:t>
            </w: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(114,700)</w:t>
            </w:r>
          </w:p>
        </w:tc>
      </w:tr>
      <w:tr>
        <w:trPr>
          <w:trHeight w:val="223"/>
        </w:trPr>
        <w:tc>
          <w:tcPr>
            <w:tcW w:w="8240" w:type="dxa"/>
            <w:vAlign w:val="bottom"/>
          </w:tcPr>
          <w:p>
            <w:pPr>
              <w:ind w:left="5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46,419</w:t>
            </w:r>
          </w:p>
        </w:tc>
      </w:tr>
      <w:tr>
        <w:trPr>
          <w:trHeight w:val="21"/>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6"/>
        </w:trPr>
        <w:tc>
          <w:tcPr>
            <w:tcW w:w="8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Long-term receivables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45,994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54,074</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commissions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38,579</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12,632</w:t>
            </w:r>
          </w:p>
        </w:tc>
      </w:tr>
      <w:tr>
        <w:trPr>
          <w:trHeight w:val="248"/>
        </w:trPr>
        <w:tc>
          <w:tcPr>
            <w:tcW w:w="8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105,285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Revolving Line of Credit</w:t>
      </w:r>
    </w:p>
    <w:p>
      <w:pPr>
        <w:spacing w:after="0" w:line="17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We have a $400 million unsecured revolving line of credit with a syndicate of banks that expires on May 8, 2023 with an option to increase it, subject to lender approval, by another $100 million.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 (b) 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In addition, we must pay credit facility fees. The credit facility contains certain restrictive covenants including maintaining a maximum consolidated leverage ratio of 3.25 on an average trailing four-quarter basis, subject to a step up to 3.75 following certain permitted acquisitions; and a minimum interest coverage ratio of 3.00. The credit agreement also contains other covenants typical of unsecured facilities. As of March 31, 2021, we had $225.0 million in borrowings outstanding at a weighted-average interest rate of 1.236% and were in compliance with all financial covenants under this credit facility.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Senior Notes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8, 2018, we issued $400 million of senior notes in a private offering to qualified institutional investors (the “2018 Senior Notes”). The 2018 Senior Notes require interest payments semi-annually at a rate of 5.25% per annum and will mature on May 15, 2026.</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December 6, 2019, we issued $350 million of senior notes in a private offering to qualified institutional investors (the “2019 Senior Notes,” and with the 2018 Senior Notes, the “Senior Notes”). The 2019 Senior Notes require interest payments semi-annually at a rate of 4.00% per annum and will mature on June 15, 2028.</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indentures for the Senior Notes contain certain covenants typical of unsecured obligations.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face values and fair values for the Senior Notes at March 31, 2021 and September 30,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82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6"/>
                <w:szCs w:val="16"/>
                <w:color w:val="auto"/>
              </w:rPr>
            </w:pPr>
          </w:p>
        </w:tc>
        <w:tc>
          <w:tcPr>
            <w:tcW w:w="2780" w:type="dxa"/>
            <w:vAlign w:val="bottom"/>
            <w:gridSpan w:val="4"/>
          </w:tcPr>
          <w:p>
            <w:pPr>
              <w:jc w:val="right"/>
              <w:ind w:right="815"/>
              <w:spacing w:after="0"/>
              <w:rPr>
                <w:sz w:val="20"/>
                <w:szCs w:val="20"/>
                <w:color w:val="auto"/>
              </w:rPr>
            </w:pPr>
            <w:r>
              <w:rPr>
                <w:rFonts w:ascii="Arial" w:cs="Arial" w:eastAsia="Arial" w:hAnsi="Arial"/>
                <w:sz w:val="14"/>
                <w:szCs w:val="14"/>
                <w:b w:val="1"/>
                <w:bCs w:val="1"/>
                <w:color w:val="auto"/>
              </w:rPr>
              <w:t>September 30, 2020</w:t>
            </w:r>
          </w:p>
        </w:tc>
      </w:tr>
      <w:tr>
        <w:trPr>
          <w:trHeight w:val="187"/>
        </w:trPr>
        <w:tc>
          <w:tcPr>
            <w:tcW w:w="516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Face Value (*)</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Face Value (*)</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5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2018 Senior Notes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442,000</w:t>
            </w: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 2019 Senior Notes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358,750</w:t>
            </w:r>
          </w:p>
        </w:tc>
      </w:tr>
      <w:tr>
        <w:trPr>
          <w:trHeight w:val="248"/>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800,750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798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44" w:lineRule="exact"/>
        <w:rPr>
          <w:sz w:val="20"/>
          <w:szCs w:val="20"/>
          <w:color w:val="auto"/>
        </w:rPr>
      </w:pPr>
    </w:p>
    <w:p>
      <w:pPr>
        <w:ind w:firstLine="8"/>
        <w:spacing w:after="0" w:line="277" w:lineRule="auto"/>
        <w:tabs>
          <w:tab w:leader="none" w:pos="229" w:val="left"/>
        </w:tabs>
        <w:numPr>
          <w:ilvl w:val="0"/>
          <w:numId w:val="6"/>
        </w:numPr>
        <w:rPr>
          <w:rFonts w:ascii="Arial" w:cs="Arial" w:eastAsia="Arial" w:hAnsi="Arial"/>
          <w:sz w:val="16"/>
          <w:szCs w:val="16"/>
          <w:color w:val="auto"/>
        </w:rPr>
      </w:pPr>
      <w:r>
        <w:rPr>
          <w:rFonts w:ascii="Arial" w:cs="Arial" w:eastAsia="Arial" w:hAnsi="Arial"/>
          <w:sz w:val="18"/>
          <w:szCs w:val="18"/>
          <w:color w:val="auto"/>
        </w:rPr>
        <w:t>The carrying value of the Senior Notes was the face value reduced by the net debt issuance costs of $9.8 million and $10.6 million at March 31, 2021 and September 30, 2020, respectively.</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Effective Tax Rate</w:t>
      </w:r>
    </w:p>
    <w:p>
      <w:pPr>
        <w:spacing w:after="0" w:line="117"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The effective income tax rates were 25.2% and 6.7% during the quarters ended March 31, 2021 and 2020, respectively, and 13.7% and (8.5)% during the six months ended March 31, 2021 and 2020,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spacing w:after="0" w:line="134"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The effective tax rates for the six months ended March 31, 2021 and 2020 were both impacted by the recording of excess tax benefits relating to stock awards. In addition, stock exercises during the quarter and six months ended March 31, 2020 resulted in an additional increase in excess benefits.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total unrecognized tax benefit for uncertain tax positions was estimated to be $10.2 million and $8.0 million at March 31, 2021 and September 30, 2020, respectively. We recognize interest expense related to unrecognized tax benefits and penalties as part of the provision for income taxes in our condensed consolidated statements of income and comprehensive income. We accrued interest of $0.5 million and $0.4 million related to unrecognized tax benefits as of March 31, 2021 and September 30, 2020, respectively.</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121" w:lineRule="exact"/>
        <w:rPr>
          <w:sz w:val="20"/>
          <w:szCs w:val="20"/>
          <w:color w:val="auto"/>
        </w:rPr>
      </w:pPr>
    </w:p>
    <w:p>
      <w:pPr>
        <w:jc w:val="both"/>
        <w:ind w:firstLine="445"/>
        <w:spacing w:after="0" w:line="324" w:lineRule="auto"/>
        <w:rPr>
          <w:sz w:val="20"/>
          <w:szCs w:val="20"/>
          <w:color w:val="auto"/>
        </w:rPr>
      </w:pPr>
      <w:r>
        <w:rPr>
          <w:rFonts w:ascii="Arial" w:cs="Arial" w:eastAsia="Arial" w:hAnsi="Arial"/>
          <w:sz w:val="18"/>
          <w:szCs w:val="18"/>
          <w:color w:val="auto"/>
        </w:rPr>
        <w:t>The following table presents reconciliations for the numerators and denominators of basic and diluted earnings per share (“EPS”) for the quarters and six-month periods ended March 31, 2021 and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240" w:type="dxa"/>
            <w:vAlign w:val="bottom"/>
            <w:gridSpan w:val="6"/>
          </w:tcPr>
          <w:p>
            <w:pPr>
              <w:ind w:left="780"/>
              <w:spacing w:after="0"/>
              <w:rPr>
                <w:sz w:val="20"/>
                <w:szCs w:val="20"/>
                <w:color w:val="auto"/>
              </w:rPr>
            </w:pPr>
            <w:r>
              <w:rPr>
                <w:rFonts w:ascii="Arial" w:cs="Arial" w:eastAsia="Arial" w:hAnsi="Arial"/>
                <w:sz w:val="14"/>
                <w:szCs w:val="14"/>
                <w:b w:val="1"/>
                <w:bCs w:val="1"/>
                <w:color w:val="auto"/>
              </w:rPr>
              <w:t>Quarter Ended March 31,</w:t>
            </w:r>
          </w:p>
        </w:tc>
        <w:tc>
          <w:tcPr>
            <w:tcW w:w="380" w:type="dxa"/>
            <w:vAlign w:val="bottom"/>
          </w:tcPr>
          <w:p>
            <w:pPr>
              <w:spacing w:after="0"/>
              <w:rPr>
                <w:sz w:val="16"/>
                <w:szCs w:val="16"/>
                <w:color w:val="auto"/>
              </w:rPr>
            </w:pPr>
          </w:p>
        </w:tc>
        <w:tc>
          <w:tcPr>
            <w:tcW w:w="28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March 31,</w:t>
            </w:r>
          </w:p>
        </w:tc>
      </w:tr>
      <w:tr>
        <w:trPr>
          <w:trHeight w:val="187"/>
        </w:trPr>
        <w:tc>
          <w:tcPr>
            <w:tcW w:w="482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183"/>
        </w:trPr>
        <w:tc>
          <w:tcPr>
            <w:tcW w:w="4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1"/>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for diluted and basic earnings per share:</w:t>
            </w:r>
          </w:p>
        </w:tc>
        <w:tc>
          <w:tcPr>
            <w:tcW w:w="9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48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tcPr>
          <w:p>
            <w:pPr>
              <w:jc w:val="right"/>
              <w:ind w:right="737"/>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68,674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58,288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155,166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113,209</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4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 - share:</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4820" w:type="dxa"/>
            <w:vAlign w:val="bottom"/>
          </w:tcPr>
          <w:p>
            <w:pPr>
              <w:ind w:left="360"/>
              <w:spacing w:after="0"/>
              <w:rPr>
                <w:sz w:val="20"/>
                <w:szCs w:val="20"/>
                <w:color w:val="auto"/>
              </w:rPr>
            </w:pPr>
            <w:r>
              <w:rPr>
                <w:rFonts w:ascii="Arial" w:cs="Arial" w:eastAsia="Arial" w:hAnsi="Arial"/>
                <w:sz w:val="18"/>
                <w:szCs w:val="18"/>
                <w:color w:val="auto"/>
              </w:rPr>
              <w:t>Basic weighted-average shares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29,087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29,194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29,107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29,109</w:t>
            </w:r>
          </w:p>
        </w:tc>
      </w:tr>
      <w:tr>
        <w:trPr>
          <w:trHeight w:val="229"/>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securities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23"/>
        </w:trPr>
        <w:tc>
          <w:tcPr>
            <w:tcW w:w="4820" w:type="dxa"/>
            <w:vAlign w:val="bottom"/>
          </w:tcPr>
          <w:p>
            <w:pPr>
              <w:ind w:left="360"/>
              <w:spacing w:after="0"/>
              <w:rPr>
                <w:sz w:val="20"/>
                <w:szCs w:val="20"/>
                <w:color w:val="auto"/>
              </w:rPr>
            </w:pPr>
            <w:r>
              <w:rPr>
                <w:rFonts w:ascii="Arial" w:cs="Arial" w:eastAsia="Arial" w:hAnsi="Arial"/>
                <w:sz w:val="18"/>
                <w:szCs w:val="18"/>
                <w:color w:val="auto"/>
              </w:rPr>
              <w:t>Diluted weighted-average shares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29,531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29,985</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30,076</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4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4820" w:type="dxa"/>
            <w:vAlign w:val="bottom"/>
          </w:tcPr>
          <w:p>
            <w:pPr>
              <w:ind w:left="360"/>
              <w:spacing w:after="0"/>
              <w:rPr>
                <w:sz w:val="20"/>
                <w:szCs w:val="20"/>
                <w:color w:val="auto"/>
              </w:rPr>
            </w:pPr>
            <w:r>
              <w:rPr>
                <w:rFonts w:ascii="Arial" w:cs="Arial" w:eastAsia="Arial" w:hAnsi="Arial"/>
                <w:sz w:val="18"/>
                <w:szCs w:val="18"/>
                <w:color w:val="auto"/>
              </w:rPr>
              <w:t>Basic</w:t>
            </w:r>
          </w:p>
        </w:tc>
        <w:tc>
          <w:tcPr>
            <w:tcW w:w="940" w:type="dxa"/>
            <w:vAlign w:val="bottom"/>
            <w:tcBorders>
              <w:bottom w:val="single" w:sz="8" w:color="auto"/>
            </w:tcBorders>
          </w:tcPr>
          <w:p>
            <w:pPr>
              <w:jc w:val="right"/>
              <w:ind w:right="737"/>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8"/>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94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Anti-dilutive stock-based awards excluded from the calculations of diluted EPS were immaterial during the periods presented.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We are organized into the following three operating segments, each of which is a reportable segment, to align with internal management of our worldwide business operations based on product offerings.</w:t>
      </w:r>
    </w:p>
    <w:p>
      <w:pPr>
        <w:spacing w:after="0" w:line="76" w:lineRule="exact"/>
        <w:rPr>
          <w:sz w:val="20"/>
          <w:szCs w:val="20"/>
          <w:color w:val="auto"/>
        </w:rPr>
      </w:pPr>
    </w:p>
    <w:p>
      <w:pPr>
        <w:jc w:val="both"/>
        <w:ind w:left="1300" w:hanging="563"/>
        <w:spacing w:after="0" w:line="228"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Applications. </w:t>
      </w:r>
      <w:r>
        <w:rPr>
          <w:rFonts w:ascii="Arial" w:cs="Arial" w:eastAsia="Arial" w:hAnsi="Arial"/>
          <w:sz w:val="18"/>
          <w:szCs w:val="18"/>
          <w:color w:val="auto"/>
        </w:rPr>
        <w:t>This segment includes decision management applications designed for a specific type of business problem or process —</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marketing, account origination, customer management, fraud, financial crimes compliance, collections and insurance claims management — as well as associated professional services. These applications are available to our customers as on-premises software, and many are available as hosted, software-as-a-service (“SaaS”) applications through the FICO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Analytic Cloud or Amazon Web Services (“AWS”).</w:t>
      </w:r>
    </w:p>
    <w:p>
      <w:pPr>
        <w:spacing w:after="0" w:line="82" w:lineRule="exact"/>
        <w:rPr>
          <w:rFonts w:ascii="Arial" w:cs="Arial" w:eastAsia="Arial" w:hAnsi="Arial"/>
          <w:sz w:val="18"/>
          <w:szCs w:val="18"/>
          <w:color w:val="auto"/>
        </w:rPr>
      </w:pPr>
    </w:p>
    <w:p>
      <w:pPr>
        <w:jc w:val="both"/>
        <w:ind w:left="1300" w:hanging="563"/>
        <w:spacing w:after="0" w:line="254" w:lineRule="auto"/>
        <w:tabs>
          <w:tab w:leader="none" w:pos="1295"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Scores</w:t>
      </w:r>
      <w:r>
        <w:rPr>
          <w:rFonts w:ascii="Arial" w:cs="Arial" w:eastAsia="Arial" w:hAnsi="Arial"/>
          <w:sz w:val="17"/>
          <w:szCs w:val="17"/>
          <w:color w:val="auto"/>
        </w:rPr>
        <w:t>. This segment includes our business-to-business scoring solutions and services, our business-to-consumer scoring solutions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including myFICO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solutions for consumers, and associated professional services. Our scoring solutions give our clients access to analytics that can be easily integrated into their transaction streams and decision-making processes. Our scoring solutions and services are either distributed through major credit reporting agencies worldwide or sold to our clients directly.</w:t>
      </w:r>
    </w:p>
    <w:p>
      <w:pPr>
        <w:spacing w:after="0" w:line="83" w:lineRule="exact"/>
        <w:rPr>
          <w:rFonts w:ascii="Arial" w:cs="Arial" w:eastAsia="Arial" w:hAnsi="Arial"/>
          <w:sz w:val="17"/>
          <w:szCs w:val="17"/>
          <w:i w:val="1"/>
          <w:iCs w:val="1"/>
          <w:color w:val="auto"/>
        </w:rPr>
      </w:pPr>
    </w:p>
    <w:p>
      <w:pPr>
        <w:jc w:val="both"/>
        <w:ind w:left="1300" w:hanging="563"/>
        <w:spacing w:after="0" w:line="243" w:lineRule="auto"/>
        <w:tabs>
          <w:tab w:leader="none" w:pos="1295"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Decision Management Software. </w:t>
      </w:r>
      <w:r>
        <w:rPr>
          <w:rFonts w:ascii="Arial" w:cs="Arial" w:eastAsia="Arial" w:hAnsi="Arial"/>
          <w:sz w:val="17"/>
          <w:szCs w:val="17"/>
          <w:color w:val="auto"/>
        </w:rPr>
        <w:t>This segment is composed of analytic and decision management software tools that clients can use to</w:t>
      </w:r>
      <w:r>
        <w:rPr>
          <w:rFonts w:ascii="Arial" w:cs="Arial" w:eastAsia="Arial" w:hAnsi="Arial"/>
          <w:sz w:val="17"/>
          <w:szCs w:val="17"/>
          <w:i w:val="1"/>
          <w:iCs w:val="1"/>
          <w:color w:val="auto"/>
        </w:rPr>
        <w:t xml:space="preserve"> </w:t>
      </w:r>
      <w:r>
        <w:rPr>
          <w:rFonts w:ascii="Arial" w:cs="Arial" w:eastAsia="Arial" w:hAnsi="Arial"/>
          <w:sz w:val="17"/>
          <w:szCs w:val="17"/>
          <w:color w:val="auto"/>
        </w:rPr>
        <w:t>create their own custom decision management applications, our FICO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Decision Management Suite, as well as associated professional services. Some of our decision management software is currently delivered as part of the FICO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Decision Management Platform and is increasingly being adopted to connect decisioning solutions or previously disconnected use cases. These tools are available to our customers as on-premises software, through the FICO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Analytic Cloud or AWS.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Our Chief Executive Officer evaluates segment financial performance based on segment revenues and segment operating income. Segment operating expenses consist of direct and indirect costs principally related to personnel, facilities, consulting, travel and depreciation.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expense, amortization expense, various corporate charges and certain other income and expense measures to our segments. These income and expense items are not allocated because they are not considered in evaluating the segment’s operating performance. Our Chief Executive Officer does not evaluate the financial performance of each segment based on its respective assets, nor capital expenditures where depreciation amounts are allocated to the segments from their internal cost centers as described above.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segment information for the quarters and six-month periods ended March 31, 2021 and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center"/>
              <w:ind w:left="894"/>
              <w:spacing w:after="0"/>
              <w:rPr>
                <w:sz w:val="20"/>
                <w:szCs w:val="20"/>
                <w:color w:val="auto"/>
              </w:rPr>
            </w:pPr>
            <w:r>
              <w:rPr>
                <w:rFonts w:ascii="Arial" w:cs="Arial" w:eastAsia="Arial" w:hAnsi="Arial"/>
                <w:sz w:val="14"/>
                <w:szCs w:val="14"/>
                <w:b w:val="1"/>
                <w:bCs w:val="1"/>
                <w:color w:val="auto"/>
                <w:w w:val="96"/>
              </w:rPr>
              <w:t>Quarter Ended March 31, 2021</w:t>
            </w: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9"/>
              </w:rPr>
              <w:t>Decision</w:t>
            </w:r>
          </w:p>
        </w:tc>
        <w:tc>
          <w:tcPr>
            <w:tcW w:w="24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Unallocated</w:t>
            </w: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Applications</w:t>
            </w:r>
          </w:p>
        </w:tc>
        <w:tc>
          <w:tcPr>
            <w:tcW w:w="160" w:type="dxa"/>
            <w:vAlign w:val="bottom"/>
          </w:tcPr>
          <w:p>
            <w:pPr>
              <w:spacing w:after="0"/>
              <w:rPr>
                <w:sz w:val="11"/>
                <w:szCs w:val="11"/>
                <w:color w:val="auto"/>
              </w:rPr>
            </w:pPr>
          </w:p>
        </w:tc>
        <w:tc>
          <w:tcPr>
            <w:tcW w:w="13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Scores</w:t>
            </w:r>
          </w:p>
        </w:tc>
        <w:tc>
          <w:tcPr>
            <w:tcW w:w="18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Management</w:t>
            </w:r>
          </w:p>
        </w:tc>
        <w:tc>
          <w:tcPr>
            <w:tcW w:w="24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5"/>
              </w:rPr>
              <w:t>Corporate</w:t>
            </w:r>
          </w:p>
        </w:tc>
        <w:tc>
          <w:tcPr>
            <w:tcW w:w="32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Software</w:t>
            </w:r>
          </w:p>
        </w:tc>
        <w:tc>
          <w:tcPr>
            <w:tcW w:w="24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Expenses</w:t>
            </w: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720" w:type="dxa"/>
            <w:vAlign w:val="bottom"/>
          </w:tcPr>
          <w:p>
            <w:pPr>
              <w:ind w:left="340"/>
              <w:spacing w:after="0"/>
              <w:rPr>
                <w:sz w:val="20"/>
                <w:szCs w:val="20"/>
                <w:color w:val="auto"/>
              </w:rPr>
            </w:pPr>
            <w:r>
              <w:rPr>
                <w:rFonts w:ascii="Arial" w:cs="Arial" w:eastAsia="Arial" w:hAnsi="Arial"/>
                <w:sz w:val="18"/>
                <w:szCs w:val="18"/>
                <w:color w:val="auto"/>
              </w:rPr>
              <w:t>Transactional and maintenance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96,687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167,212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17,020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280,919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services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720" w:type="dxa"/>
            <w:vAlign w:val="bottom"/>
          </w:tcPr>
          <w:p>
            <w:pPr>
              <w:ind w:left="340"/>
              <w:spacing w:after="0"/>
              <w:rPr>
                <w:sz w:val="20"/>
                <w:szCs w:val="20"/>
                <w:color w:val="auto"/>
              </w:rPr>
            </w:pPr>
            <w:r>
              <w:rPr>
                <w:rFonts w:ascii="Arial" w:cs="Arial" w:eastAsia="Arial" w:hAnsi="Arial"/>
                <w:sz w:val="18"/>
                <w:szCs w:val="18"/>
                <w:color w:val="auto"/>
              </w:rPr>
              <w:t>License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7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segment revenues</w:t>
            </w: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Segment operating expense</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2"/>
              </w:rPr>
              <w:t>(33,392)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3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Segment operating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2"/>
              </w:rPr>
              <w:t>(33,392)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4"/>
              </w:rPr>
              <w:t>Unallocated share-based compensation expense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(28,206)</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 w:type="dxa"/>
            <w:vAlign w:val="bottom"/>
          </w:tcPr>
          <w:p>
            <w:pPr>
              <w:spacing w:after="0"/>
              <w:rPr>
                <w:sz w:val="15"/>
                <w:szCs w:val="15"/>
                <w:color w:val="auto"/>
              </w:rPr>
            </w:pPr>
          </w:p>
        </w:tc>
        <w:tc>
          <w:tcPr>
            <w:tcW w:w="3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amortization expense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101,199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Unallocated interest expense, net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Unallocated other income, net</w:t>
            </w: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Depreciation expense</w:t>
            </w:r>
          </w:p>
        </w:tc>
        <w:tc>
          <w:tcPr>
            <w:tcW w:w="2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4,110</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CEEFF"/>
              <w:bottom w:val="single" w:sz="8" w:color="CCEEFF"/>
            </w:tcBorders>
            <w:vMerge w:val="restart"/>
          </w:tcPr>
          <w:p>
            <w:pPr>
              <w:ind w:left="880"/>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3720" w:type="dxa"/>
            <w:vAlign w:val="bottom"/>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89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10"/>
          </w:tcPr>
          <w:p>
            <w:pPr>
              <w:jc w:val="center"/>
              <w:ind w:left="734"/>
              <w:spacing w:after="0"/>
              <w:rPr>
                <w:sz w:val="20"/>
                <w:szCs w:val="20"/>
                <w:color w:val="auto"/>
              </w:rPr>
            </w:pPr>
            <w:r>
              <w:rPr>
                <w:rFonts w:ascii="Arial" w:cs="Arial" w:eastAsia="Arial" w:hAnsi="Arial"/>
                <w:sz w:val="14"/>
                <w:szCs w:val="14"/>
                <w:b w:val="1"/>
                <w:bCs w:val="1"/>
                <w:color w:val="auto"/>
                <w:w w:val="95"/>
              </w:rPr>
              <w:t>Quarter Ended March 31, 2020</w:t>
            </w:r>
          </w:p>
        </w:tc>
        <w:tc>
          <w:tcPr>
            <w:tcW w:w="10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89"/>
              </w:rPr>
              <w:t>Decision</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jc w:val="center"/>
              <w:ind w:right="420"/>
              <w:spacing w:after="0" w:line="135" w:lineRule="exact"/>
              <w:rPr>
                <w:sz w:val="20"/>
                <w:szCs w:val="20"/>
                <w:color w:val="auto"/>
              </w:rPr>
            </w:pPr>
            <w:r>
              <w:rPr>
                <w:rFonts w:ascii="Arial" w:cs="Arial" w:eastAsia="Arial" w:hAnsi="Arial"/>
                <w:sz w:val="14"/>
                <w:szCs w:val="14"/>
                <w:b w:val="1"/>
                <w:bCs w:val="1"/>
                <w:color w:val="auto"/>
                <w:w w:val="93"/>
              </w:rPr>
              <w:t>Unallocated</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Applications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Scores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Management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jc w:val="center"/>
              <w:ind w:right="440"/>
              <w:spacing w:after="0" w:line="135" w:lineRule="exact"/>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Software</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Expenses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660" w:type="dxa"/>
            <w:vAlign w:val="bottom"/>
          </w:tcPr>
          <w:p>
            <w:pPr>
              <w:ind w:left="280"/>
              <w:spacing w:after="0"/>
              <w:rPr>
                <w:sz w:val="20"/>
                <w:szCs w:val="20"/>
                <w:color w:val="auto"/>
              </w:rPr>
            </w:pPr>
            <w:r>
              <w:rPr>
                <w:rFonts w:ascii="Arial" w:cs="Arial" w:eastAsia="Arial" w:hAnsi="Arial"/>
                <w:sz w:val="18"/>
                <w:szCs w:val="18"/>
                <w:color w:val="auto"/>
              </w:rPr>
              <w:t>Transactional and maintenance</w:t>
            </w: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97,789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127,610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15,303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240,702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CCEEFF"/>
          </w:tcPr>
          <w:p>
            <w:pPr>
              <w:spacing w:after="0"/>
              <w:rPr>
                <w:sz w:val="19"/>
                <w:szCs w:val="19"/>
                <w:color w:val="auto"/>
              </w:rPr>
            </w:pPr>
          </w:p>
        </w:tc>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Professional services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660" w:type="dxa"/>
            <w:vAlign w:val="bottom"/>
          </w:tcPr>
          <w:p>
            <w:pPr>
              <w:ind w:left="280"/>
              <w:spacing w:after="0"/>
              <w:rPr>
                <w:sz w:val="20"/>
                <w:szCs w:val="20"/>
                <w:color w:val="auto"/>
              </w:rPr>
            </w:pPr>
            <w:r>
              <w:rPr>
                <w:rFonts w:ascii="Arial" w:cs="Arial" w:eastAsia="Arial" w:hAnsi="Arial"/>
                <w:sz w:val="18"/>
                <w:szCs w:val="18"/>
                <w:color w:val="auto"/>
              </w:rPr>
              <w:t>License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7,356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11,289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segment revenues</w:t>
            </w:r>
          </w:p>
        </w:tc>
        <w:tc>
          <w:tcPr>
            <w:tcW w:w="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140,279</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129,148</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38,544</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Segment operating expense</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(111,456)</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(15,660)</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Segment operating income (loss)</w:t>
            </w: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113,488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w w:val="94"/>
              </w:rPr>
              <w:t>Unallocated share-based compensation expense</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(22,788)</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Unallocated amortization expense</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75,726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Unallocated interest expense, net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Unallocated other expense, net</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62,464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Depreciation expense</w:t>
            </w:r>
          </w:p>
        </w:tc>
        <w:tc>
          <w:tcPr>
            <w:tcW w:w="240" w:type="dxa"/>
            <w:vAlign w:val="bottom"/>
            <w:tcBorders>
              <w:top w:val="single" w:sz="8" w:color="CCEEFF"/>
              <w:bottom w:val="single" w:sz="8" w:color="CCEEFF"/>
            </w:tcBorders>
            <w:gridSpan w:val="2"/>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4,553</w:t>
            </w: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141</w:t>
            </w: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gridSpan w:val="2"/>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1,158</w:t>
            </w: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CCEEFF"/>
            </w:tcBorders>
            <w:gridSpan w:val="2"/>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108</w:t>
            </w: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40" w:type="dxa"/>
            <w:vAlign w:val="bottom"/>
            <w:gridSpan w:val="2"/>
            <w:vMerge w:val="continue"/>
          </w:tcPr>
          <w:p>
            <w:pPr>
              <w:spacing w:after="0"/>
              <w:rPr>
                <w:sz w:val="17"/>
                <w:szCs w:val="17"/>
                <w:color w:val="auto"/>
              </w:rPr>
            </w:pPr>
          </w:p>
        </w:tc>
        <w:tc>
          <w:tcPr>
            <w:tcW w:w="240" w:type="dxa"/>
            <w:vAlign w:val="bottom"/>
            <w:tcBorders>
              <w:bottom w:val="single" w:sz="8" w:color="auto"/>
            </w:tcBorders>
            <w:gridSpan w:val="2"/>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gridSpan w:val="2"/>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gridSpan w:val="2"/>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bottom w:val="single" w:sz="8" w:color="auto"/>
            </w:tcBorders>
            <w:gridSpan w:val="2"/>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bottom w:val="single" w:sz="8" w:color="auto"/>
            </w:tcBorders>
            <w:gridSpan w:val="2"/>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0"/>
          </w:tcPr>
          <w:p>
            <w:pPr>
              <w:jc w:val="center"/>
              <w:ind w:left="854"/>
              <w:spacing w:after="0"/>
              <w:rPr>
                <w:sz w:val="20"/>
                <w:szCs w:val="20"/>
                <w:color w:val="auto"/>
              </w:rPr>
            </w:pPr>
            <w:r>
              <w:rPr>
                <w:rFonts w:ascii="Arial" w:cs="Arial" w:eastAsia="Arial" w:hAnsi="Arial"/>
                <w:sz w:val="14"/>
                <w:szCs w:val="14"/>
                <w:b w:val="1"/>
                <w:bCs w:val="1"/>
                <w:color w:val="auto"/>
                <w:w w:val="94"/>
              </w:rPr>
              <w:t>Six Months Ended March 31, 2021</w:t>
            </w: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89"/>
              </w:rPr>
              <w:t>Decision</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Unallocated</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Applications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Scores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Management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Software</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Expenses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8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Segment revenues: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Transactional and maintenance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194,418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305,802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533,069</w:t>
            </w:r>
          </w:p>
        </w:tc>
        <w:tc>
          <w:tcPr>
            <w:tcW w:w="1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Professional services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58,232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20,167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79,219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License</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31,487</w:t>
            </w:r>
          </w:p>
        </w:tc>
        <w:tc>
          <w:tcPr>
            <w:tcW w:w="1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660" w:type="dxa"/>
            <w:vAlign w:val="bottom"/>
          </w:tcPr>
          <w:p>
            <w:pPr>
              <w:ind w:left="660"/>
              <w:spacing w:after="0"/>
              <w:rPr>
                <w:sz w:val="20"/>
                <w:szCs w:val="20"/>
                <w:color w:val="auto"/>
              </w:rPr>
            </w:pPr>
            <w:r>
              <w:rPr>
                <w:rFonts w:ascii="Arial" w:cs="Arial" w:eastAsia="Arial" w:hAnsi="Arial"/>
                <w:sz w:val="18"/>
                <w:szCs w:val="18"/>
                <w:color w:val="auto"/>
              </w:rPr>
              <w:t>Total segment revenues</w:t>
            </w: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264,875</w:t>
            </w:r>
          </w:p>
        </w:tc>
        <w:tc>
          <w:tcPr>
            <w:tcW w:w="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313,370</w:t>
            </w:r>
          </w:p>
        </w:tc>
        <w:tc>
          <w:tcPr>
            <w:tcW w:w="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65,530</w:t>
            </w: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643,775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expense</w:t>
            </w: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(202,001)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(43,803)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(90,520)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(63,645)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(399,969)</w:t>
            </w:r>
          </w:p>
        </w:tc>
        <w:tc>
          <w:tcPr>
            <w:tcW w:w="1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660" w:type="dxa"/>
            <w:vAlign w:val="bottom"/>
          </w:tcPr>
          <w:p>
            <w:pPr>
              <w:ind w:left="660"/>
              <w:spacing w:after="0"/>
              <w:rPr>
                <w:sz w:val="20"/>
                <w:szCs w:val="20"/>
                <w:color w:val="auto"/>
              </w:rPr>
            </w:pPr>
            <w:r>
              <w:rPr>
                <w:rFonts w:ascii="Arial" w:cs="Arial" w:eastAsia="Arial" w:hAnsi="Arial"/>
                <w:sz w:val="18"/>
                <w:szCs w:val="18"/>
                <w:color w:val="auto"/>
              </w:rPr>
              <w:t>Segment operating income (loss)</w:t>
            </w: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62,874</w:t>
            </w:r>
          </w:p>
        </w:tc>
        <w:tc>
          <w:tcPr>
            <w:tcW w:w="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269,567</w:t>
            </w:r>
          </w:p>
        </w:tc>
        <w:tc>
          <w:tcPr>
            <w:tcW w:w="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(24,990)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(63,645)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243,806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3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3"/>
              </w:rPr>
              <w:t>Unallocated share-based compensation expense</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(53,338)</w:t>
            </w:r>
          </w:p>
        </w:tc>
        <w:tc>
          <w:tcPr>
            <w:tcW w:w="12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Unallocated amortization expense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7"/>
              </w:rPr>
              <w:t>Unallocated gain on sale of product line assets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1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Operating income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Unallocated interest expense, net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(19,584)</w:t>
            </w:r>
          </w:p>
        </w:tc>
        <w:tc>
          <w:tcPr>
            <w:tcW w:w="1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Unallocated other income, net</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179,784</w:t>
            </w:r>
          </w:p>
        </w:tc>
        <w:tc>
          <w:tcPr>
            <w:tcW w:w="12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Depreciation expense</w:t>
            </w:r>
          </w:p>
        </w:tc>
        <w:tc>
          <w:tcPr>
            <w:tcW w:w="24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8,484</w:t>
            </w: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361</w:t>
            </w: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1,886</w:t>
            </w: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78</w:t>
            </w: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3660" w:type="dxa"/>
            <w:vAlign w:val="bottom"/>
            <w:tcBorders>
              <w:top w:val="single" w:sz="8" w:color="CCEEFF"/>
            </w:tcBorders>
            <w:vMerge w:val="continue"/>
          </w:tcPr>
          <w:p>
            <w:pPr>
              <w:spacing w:after="0"/>
              <w:rPr>
                <w:sz w:val="17"/>
                <w:szCs w:val="17"/>
                <w:color w:val="auto"/>
              </w:rPr>
            </w:pPr>
          </w:p>
        </w:tc>
        <w:tc>
          <w:tcPr>
            <w:tcW w:w="240" w:type="dxa"/>
            <w:vAlign w:val="bottom"/>
            <w:tcBorders>
              <w:top w:val="single" w:sz="8" w:color="CCEEFF"/>
            </w:tcBorders>
            <w:gridSpan w:val="2"/>
            <w:vMerge w:val="continue"/>
          </w:tcPr>
          <w:p>
            <w:pPr>
              <w:spacing w:after="0"/>
              <w:rPr>
                <w:sz w:val="17"/>
                <w:szCs w:val="17"/>
                <w:color w:val="auto"/>
              </w:rPr>
            </w:pPr>
          </w:p>
        </w:tc>
        <w:tc>
          <w:tcPr>
            <w:tcW w:w="1140" w:type="dxa"/>
            <w:vAlign w:val="bottom"/>
            <w:tcBorders>
              <w:top w:val="single" w:sz="8" w:color="CCEEFF"/>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CCEEFF"/>
            </w:tcBorders>
            <w:gridSpan w:val="2"/>
            <w:vMerge w:val="continue"/>
          </w:tcPr>
          <w:p>
            <w:pPr>
              <w:spacing w:after="0"/>
              <w:rPr>
                <w:sz w:val="17"/>
                <w:szCs w:val="17"/>
                <w:color w:val="auto"/>
              </w:rPr>
            </w:pPr>
          </w:p>
        </w:tc>
        <w:tc>
          <w:tcPr>
            <w:tcW w:w="1160" w:type="dxa"/>
            <w:vAlign w:val="bottom"/>
            <w:tcBorders>
              <w:top w:val="single" w:sz="8" w:color="CCEEFF"/>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CCEEFF"/>
            </w:tcBorders>
            <w:gridSpan w:val="2"/>
            <w:vMerge w:val="continue"/>
          </w:tcPr>
          <w:p>
            <w:pPr>
              <w:spacing w:after="0"/>
              <w:rPr>
                <w:sz w:val="17"/>
                <w:szCs w:val="17"/>
                <w:color w:val="auto"/>
              </w:rPr>
            </w:pPr>
          </w:p>
        </w:tc>
        <w:tc>
          <w:tcPr>
            <w:tcW w:w="1180" w:type="dxa"/>
            <w:vAlign w:val="bottom"/>
            <w:tcBorders>
              <w:top w:val="single" w:sz="8" w:color="CCEEFF"/>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top w:val="single" w:sz="8" w:color="CCEEFF"/>
            </w:tcBorders>
            <w:gridSpan w:val="2"/>
            <w:vMerge w:val="continue"/>
          </w:tcPr>
          <w:p>
            <w:pPr>
              <w:spacing w:after="0"/>
              <w:rPr>
                <w:sz w:val="17"/>
                <w:szCs w:val="17"/>
                <w:color w:val="auto"/>
              </w:rPr>
            </w:pPr>
          </w:p>
        </w:tc>
        <w:tc>
          <w:tcPr>
            <w:tcW w:w="1060" w:type="dxa"/>
            <w:vAlign w:val="bottom"/>
            <w:tcBorders>
              <w:top w:val="single" w:sz="8" w:color="CCEEFF"/>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10,809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814"/>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center"/>
              <w:ind w:left="694"/>
              <w:spacing w:after="0"/>
              <w:rPr>
                <w:sz w:val="20"/>
                <w:szCs w:val="20"/>
                <w:color w:val="auto"/>
              </w:rPr>
            </w:pPr>
            <w:r>
              <w:rPr>
                <w:rFonts w:ascii="Arial" w:cs="Arial" w:eastAsia="Arial" w:hAnsi="Arial"/>
                <w:sz w:val="14"/>
                <w:szCs w:val="14"/>
                <w:b w:val="1"/>
                <w:bCs w:val="1"/>
                <w:color w:val="auto"/>
                <w:w w:val="94"/>
              </w:rPr>
              <w:t>Six Months Ended March 31, 2020</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9"/>
              </w:rPr>
              <w:t>Decision</w:t>
            </w:r>
          </w:p>
        </w:tc>
        <w:tc>
          <w:tcPr>
            <w:tcW w:w="280" w:type="dxa"/>
            <w:vAlign w:val="bottom"/>
          </w:tcPr>
          <w:p>
            <w:pPr>
              <w:spacing w:after="0"/>
              <w:rPr>
                <w:sz w:val="11"/>
                <w:szCs w:val="11"/>
                <w:color w:val="auto"/>
              </w:rPr>
            </w:pPr>
          </w:p>
        </w:tc>
        <w:tc>
          <w:tcPr>
            <w:tcW w:w="122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3"/>
              </w:rPr>
              <w:t>Unallocated</w:t>
            </w: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Applications</w:t>
            </w:r>
          </w:p>
        </w:tc>
        <w:tc>
          <w:tcPr>
            <w:tcW w:w="300" w:type="dxa"/>
            <w:vAlign w:val="bottom"/>
          </w:tcPr>
          <w:p>
            <w:pPr>
              <w:spacing w:after="0"/>
              <w:rPr>
                <w:sz w:val="11"/>
                <w:szCs w:val="11"/>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Scores</w:t>
            </w:r>
          </w:p>
        </w:tc>
        <w:tc>
          <w:tcPr>
            <w:tcW w:w="18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Management</w:t>
            </w:r>
          </w:p>
        </w:tc>
        <w:tc>
          <w:tcPr>
            <w:tcW w:w="280" w:type="dxa"/>
            <w:vAlign w:val="bottom"/>
          </w:tcPr>
          <w:p>
            <w:pPr>
              <w:spacing w:after="0"/>
              <w:rPr>
                <w:sz w:val="11"/>
                <w:szCs w:val="11"/>
                <w:color w:val="auto"/>
              </w:rPr>
            </w:pPr>
          </w:p>
        </w:tc>
        <w:tc>
          <w:tcPr>
            <w:tcW w:w="122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5"/>
              </w:rPr>
              <w:t>Corporate</w:t>
            </w:r>
          </w:p>
        </w:tc>
        <w:tc>
          <w:tcPr>
            <w:tcW w:w="320" w:type="dxa"/>
            <w:vAlign w:val="bottom"/>
          </w:tcPr>
          <w:p>
            <w:pPr>
              <w:spacing w:after="0"/>
              <w:rPr>
                <w:sz w:val="11"/>
                <w:szCs w:val="11"/>
                <w:color w:val="auto"/>
              </w:rPr>
            </w:pPr>
          </w:p>
        </w:tc>
        <w:tc>
          <w:tcPr>
            <w:tcW w:w="106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Software</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5"/>
              </w:rPr>
              <w:t>Expenses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720" w:type="dxa"/>
            <w:vAlign w:val="bottom"/>
          </w:tcPr>
          <w:p>
            <w:pPr>
              <w:spacing w:after="0"/>
              <w:rPr>
                <w:sz w:val="20"/>
                <w:szCs w:val="20"/>
                <w:color w:val="auto"/>
              </w:rPr>
            </w:pPr>
            <w:r>
              <w:rPr>
                <w:rFonts w:ascii="Arial" w:cs="Arial" w:eastAsia="Arial" w:hAnsi="Arial"/>
                <w:sz w:val="18"/>
                <w:szCs w:val="18"/>
                <w:color w:val="auto"/>
              </w:rPr>
              <w:t>Segment revenues: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Transactional and maintenance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461,076</w:t>
            </w:r>
          </w:p>
        </w:tc>
        <w:tc>
          <w:tcPr>
            <w:tcW w:w="0" w:type="dxa"/>
            <w:vAlign w:val="bottom"/>
          </w:tcPr>
          <w:p>
            <w:pPr>
              <w:spacing w:after="0"/>
              <w:rPr>
                <w:sz w:val="1"/>
                <w:szCs w:val="1"/>
                <w:color w:val="auto"/>
              </w:rPr>
            </w:pPr>
          </w:p>
        </w:tc>
      </w:tr>
      <w:tr>
        <w:trPr>
          <w:trHeight w:val="229"/>
        </w:trPr>
        <w:tc>
          <w:tcPr>
            <w:tcW w:w="3720" w:type="dxa"/>
            <w:vAlign w:val="bottom"/>
          </w:tcPr>
          <w:p>
            <w:pPr>
              <w:ind w:left="340"/>
              <w:spacing w:after="0"/>
              <w:rPr>
                <w:sz w:val="20"/>
                <w:szCs w:val="20"/>
                <w:color w:val="auto"/>
              </w:rPr>
            </w:pPr>
            <w:r>
              <w:rPr>
                <w:rFonts w:ascii="Arial" w:cs="Arial" w:eastAsia="Arial" w:hAnsi="Arial"/>
                <w:sz w:val="18"/>
                <w:szCs w:val="18"/>
                <w:color w:val="auto"/>
              </w:rPr>
              <w:t>Professional services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69,157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91,930</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53,469</w:t>
            </w:r>
          </w:p>
        </w:tc>
        <w:tc>
          <w:tcPr>
            <w:tcW w:w="0" w:type="dxa"/>
            <w:vAlign w:val="bottom"/>
          </w:tcPr>
          <w:p>
            <w:pPr>
              <w:spacing w:after="0"/>
              <w:rPr>
                <w:sz w:val="1"/>
                <w:szCs w:val="1"/>
                <w:color w:val="auto"/>
              </w:rPr>
            </w:pPr>
          </w:p>
        </w:tc>
      </w:tr>
      <w:tr>
        <w:trPr>
          <w:trHeight w:val="223"/>
        </w:trPr>
        <w:tc>
          <w:tcPr>
            <w:tcW w:w="3720" w:type="dxa"/>
            <w:vAlign w:val="bottom"/>
          </w:tcPr>
          <w:p>
            <w:pPr>
              <w:ind w:left="660"/>
              <w:spacing w:after="0"/>
              <w:rPr>
                <w:sz w:val="20"/>
                <w:szCs w:val="20"/>
                <w:color w:val="auto"/>
              </w:rPr>
            </w:pPr>
            <w:r>
              <w:rPr>
                <w:rFonts w:ascii="Arial" w:cs="Arial" w:eastAsia="Arial" w:hAnsi="Arial"/>
                <w:sz w:val="18"/>
                <w:szCs w:val="18"/>
                <w:color w:val="auto"/>
              </w:rPr>
              <w:t>Total segment revenues</w:t>
            </w: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292,457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244,286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69,732</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606,475</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expense</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(97,999)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(426,832)</w:t>
            </w:r>
          </w:p>
        </w:tc>
        <w:tc>
          <w:tcPr>
            <w:tcW w:w="0" w:type="dxa"/>
            <w:vAlign w:val="bottom"/>
          </w:tcPr>
          <w:p>
            <w:pPr>
              <w:spacing w:after="0"/>
              <w:rPr>
                <w:sz w:val="1"/>
                <w:szCs w:val="1"/>
                <w:color w:val="auto"/>
              </w:rPr>
            </w:pPr>
          </w:p>
        </w:tc>
      </w:tr>
      <w:tr>
        <w:trPr>
          <w:trHeight w:val="223"/>
        </w:trPr>
        <w:tc>
          <w:tcPr>
            <w:tcW w:w="3720" w:type="dxa"/>
            <w:vAlign w:val="bottom"/>
          </w:tcPr>
          <w:p>
            <w:pPr>
              <w:ind w:left="660"/>
              <w:spacing w:after="0"/>
              <w:rPr>
                <w:sz w:val="20"/>
                <w:szCs w:val="20"/>
                <w:color w:val="auto"/>
              </w:rPr>
            </w:pPr>
            <w:r>
              <w:rPr>
                <w:rFonts w:ascii="Arial" w:cs="Arial" w:eastAsia="Arial" w:hAnsi="Arial"/>
                <w:sz w:val="18"/>
                <w:szCs w:val="18"/>
                <w:color w:val="auto"/>
              </w:rPr>
              <w:t>Segment operating income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64,991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179,643</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4"/>
              </w:rPr>
              <w:t>Unallocated share-based compensation expense</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(45,933)</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Unallocated amortization expense</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92"/>
              </w:rPr>
              <w:t>Unallocated restructuring and impairment charges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127,608</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Unallocated interest expense, net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(21,022)</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Unallocated other expense, net</w:t>
            </w: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104,359</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Depreciation expense</w:t>
            </w:r>
          </w:p>
        </w:tc>
        <w:tc>
          <w:tcPr>
            <w:tcW w:w="2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8,902</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2,144</w:t>
            </w: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11,636</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about disaggregated revenue by product deployment methods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ind w:left="1080"/>
              <w:spacing w:after="0"/>
              <w:rPr>
                <w:sz w:val="20"/>
                <w:szCs w:val="20"/>
                <w:color w:val="auto"/>
              </w:rPr>
            </w:pPr>
            <w:r>
              <w:rPr>
                <w:rFonts w:ascii="Arial" w:cs="Arial" w:eastAsia="Arial" w:hAnsi="Arial"/>
                <w:sz w:val="14"/>
                <w:szCs w:val="14"/>
                <w:b w:val="1"/>
                <w:bCs w:val="1"/>
                <w:color w:val="auto"/>
                <w:w w:val="97"/>
              </w:rPr>
              <w:t>Quarter Ended March 31, 2021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40" w:type="dxa"/>
            <w:vAlign w:val="bottom"/>
          </w:tcPr>
          <w:p>
            <w:pPr>
              <w:spacing w:after="0"/>
              <w:rPr>
                <w:sz w:val="16"/>
                <w:szCs w:val="16"/>
                <w:color w:val="auto"/>
              </w:rPr>
            </w:pPr>
          </w:p>
        </w:tc>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Reportable Segments</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On-Premises</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SaaS</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Scores</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Percentage</w:t>
            </w:r>
          </w:p>
        </w:tc>
        <w:tc>
          <w:tcPr>
            <w:tcW w:w="20" w:type="dxa"/>
            <w:vAlign w:val="bottom"/>
          </w:tcPr>
          <w:p>
            <w:pPr>
              <w:spacing w:after="0"/>
              <w:rPr>
                <w:sz w:val="16"/>
                <w:szCs w:val="16"/>
                <w:color w:val="auto"/>
              </w:rPr>
            </w:pPr>
          </w:p>
        </w:tc>
      </w:tr>
      <w:tr>
        <w:trPr>
          <w:trHeight w:val="182"/>
        </w:trPr>
        <w:tc>
          <w:tcPr>
            <w:tcW w:w="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1"/>
        </w:trPr>
        <w:tc>
          <w:tcPr>
            <w:tcW w:w="40" w:type="dxa"/>
            <w:vAlign w:val="bottom"/>
          </w:tcPr>
          <w:p>
            <w:pPr>
              <w:spacing w:after="0"/>
              <w:rPr>
                <w:sz w:val="20"/>
                <w:szCs w:val="20"/>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Applications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66,182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129,514</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20" w:type="dxa"/>
            <w:vAlign w:val="bottom"/>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Scores</w:t>
            </w:r>
          </w:p>
        </w:tc>
        <w:tc>
          <w:tcPr>
            <w:tcW w:w="2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168,719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168,719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51 %</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Decision Management Software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2900" w:type="dxa"/>
            <w:vAlign w:val="bottom"/>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88,469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74,173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168,719</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331,361</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ind w:left="1080"/>
              <w:spacing w:after="0"/>
              <w:rPr>
                <w:sz w:val="20"/>
                <w:szCs w:val="20"/>
                <w:color w:val="auto"/>
              </w:rPr>
            </w:pPr>
            <w:r>
              <w:rPr>
                <w:rFonts w:ascii="Arial" w:cs="Arial" w:eastAsia="Arial" w:hAnsi="Arial"/>
                <w:sz w:val="14"/>
                <w:szCs w:val="14"/>
                <w:b w:val="1"/>
                <w:bCs w:val="1"/>
                <w:color w:val="auto"/>
                <w:w w:val="97"/>
              </w:rPr>
              <w:t>Quarter Ended March 31, 2020</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40" w:type="dxa"/>
            <w:vAlign w:val="bottom"/>
          </w:tcPr>
          <w:p>
            <w:pPr>
              <w:spacing w:after="0"/>
              <w:rPr>
                <w:sz w:val="16"/>
                <w:szCs w:val="16"/>
                <w:color w:val="auto"/>
              </w:rPr>
            </w:pPr>
          </w:p>
        </w:tc>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Reportable Segments</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On-Premises</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SaaS</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Scores</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Percentage</w:t>
            </w:r>
          </w:p>
        </w:tc>
        <w:tc>
          <w:tcPr>
            <w:tcW w:w="20" w:type="dxa"/>
            <w:vAlign w:val="bottom"/>
          </w:tcPr>
          <w:p>
            <w:pPr>
              <w:spacing w:after="0"/>
              <w:rPr>
                <w:sz w:val="16"/>
                <w:szCs w:val="16"/>
                <w:color w:val="auto"/>
              </w:rPr>
            </w:pPr>
          </w:p>
        </w:tc>
      </w:tr>
      <w:tr>
        <w:trPr>
          <w:trHeight w:val="183"/>
        </w:trPr>
        <w:tc>
          <w:tcPr>
            <w:tcW w:w="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1"/>
        </w:trPr>
        <w:tc>
          <w:tcPr>
            <w:tcW w:w="40" w:type="dxa"/>
            <w:vAlign w:val="bottom"/>
          </w:tcPr>
          <w:p>
            <w:pPr>
              <w:spacing w:after="0"/>
              <w:rPr>
                <w:sz w:val="20"/>
                <w:szCs w:val="20"/>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Applications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140,279</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20" w:type="dxa"/>
            <w:vAlign w:val="bottom"/>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Scores</w:t>
            </w:r>
          </w:p>
        </w:tc>
        <w:tc>
          <w:tcPr>
            <w:tcW w:w="2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129,148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129,148</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42 %</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Decision Management Software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2900" w:type="dxa"/>
            <w:vAlign w:val="bottom"/>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105,188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73,635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129,148</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307,971</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8"/>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476"/>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Six Months Ended March 31, 2021</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8"/>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Reportable Segments</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On-Premises</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SaaS</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Scores</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4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2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31"/>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Applications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137,402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127,473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264,875</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Scores</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313,370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313,370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Decision Management Software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3"/>
        </w:trPr>
        <w:tc>
          <w:tcPr>
            <w:tcW w:w="2860" w:type="dxa"/>
            <w:vAlign w:val="bottom"/>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182,467</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147,938</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313,370</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643,775</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2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73"/>
        </w:trPr>
        <w:tc>
          <w:tcPr>
            <w:tcW w:w="28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Six Months Ended March 31, 2020</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188"/>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Reportable Segments</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On-Premises</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SaaS</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Scores</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4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2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31"/>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Applications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162,319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130,138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292,457</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Scores</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244,286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244,286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Decision Management Software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69,732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3"/>
        </w:trPr>
        <w:tc>
          <w:tcPr>
            <w:tcW w:w="2860" w:type="dxa"/>
            <w:vAlign w:val="bottom"/>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214,845</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147,344</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244,286</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606,475</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2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about disaggregated revenue by primary geographical markets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13"/>
          </w:tcPr>
          <w:p>
            <w:pPr>
              <w:jc w:val="center"/>
              <w:ind w:left="936"/>
              <w:spacing w:after="0"/>
              <w:rPr>
                <w:sz w:val="20"/>
                <w:szCs w:val="20"/>
                <w:color w:val="auto"/>
              </w:rPr>
            </w:pPr>
            <w:r>
              <w:rPr>
                <w:rFonts w:ascii="Arial" w:cs="Arial" w:eastAsia="Arial" w:hAnsi="Arial"/>
                <w:sz w:val="14"/>
                <w:szCs w:val="14"/>
                <w:b w:val="1"/>
                <w:bCs w:val="1"/>
                <w:color w:val="auto"/>
                <w:w w:val="95"/>
              </w:rPr>
              <w:t>Quarter Ended March 31, 2021</w:t>
            </w:r>
          </w:p>
        </w:tc>
        <w:tc>
          <w:tcPr>
            <w:tcW w:w="1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Reportable Segments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North America</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Latin America</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5"/>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Europe, Middle East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Asia Pacific</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1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and Africa</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Applications</w:t>
            </w:r>
          </w:p>
        </w:tc>
        <w:tc>
          <w:tcPr>
            <w:tcW w:w="2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70,117</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9,112</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34,913</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15,372</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40" w:type="dxa"/>
            <w:vAlign w:val="bottom"/>
            <w:gridSpan w:val="3"/>
          </w:tcPr>
          <w:p>
            <w:pPr>
              <w:ind w:left="20"/>
              <w:spacing w:after="0"/>
              <w:rPr>
                <w:sz w:val="20"/>
                <w:szCs w:val="20"/>
                <w:color w:val="auto"/>
              </w:rPr>
            </w:pPr>
            <w:r>
              <w:rPr>
                <w:rFonts w:ascii="Arial" w:cs="Arial" w:eastAsia="Arial" w:hAnsi="Arial"/>
                <w:sz w:val="18"/>
                <w:szCs w:val="18"/>
                <w:color w:val="auto"/>
              </w:rPr>
              <w:t>Scores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159,047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5,642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168,719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Decision Management Software</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60" w:type="dxa"/>
            <w:vAlign w:val="bottom"/>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246,678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13"/>
          </w:tcPr>
          <w:p>
            <w:pPr>
              <w:jc w:val="right"/>
              <w:ind w:right="70"/>
              <w:spacing w:after="0"/>
              <w:rPr>
                <w:sz w:val="20"/>
                <w:szCs w:val="20"/>
                <w:color w:val="auto"/>
              </w:rPr>
            </w:pPr>
            <w:r>
              <w:rPr>
                <w:rFonts w:ascii="Arial" w:cs="Arial" w:eastAsia="Arial" w:hAnsi="Arial"/>
                <w:sz w:val="14"/>
                <w:szCs w:val="14"/>
                <w:b w:val="1"/>
                <w:bCs w:val="1"/>
                <w:color w:val="auto"/>
              </w:rPr>
              <w:t>Quarter Ended March 31, 2020</w:t>
            </w: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Reportable Segments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North America</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Latin America</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4"/>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Europe, Middle East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Asia Pacific</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1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and Africa</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Applications</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78,900</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34,271</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17,436</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140,279</w:t>
            </w: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Scores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123,249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2,619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129,148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Decision Management Software</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21,007</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6,920</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38,544</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60" w:type="dxa"/>
            <w:vAlign w:val="bottom"/>
          </w:tcPr>
          <w:p>
            <w:pPr>
              <w:ind w:left="2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223,156</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18,208</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42,911</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23,696</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1"/>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13"/>
          </w:tcPr>
          <w:p>
            <w:pPr>
              <w:jc w:val="center"/>
              <w:ind w:left="956"/>
              <w:spacing w:after="0"/>
              <w:rPr>
                <w:sz w:val="20"/>
                <w:szCs w:val="20"/>
                <w:color w:val="auto"/>
              </w:rPr>
            </w:pPr>
            <w:r>
              <w:rPr>
                <w:rFonts w:ascii="Arial" w:cs="Arial" w:eastAsia="Arial" w:hAnsi="Arial"/>
                <w:sz w:val="14"/>
                <w:szCs w:val="14"/>
                <w:b w:val="1"/>
                <w:bCs w:val="1"/>
                <w:color w:val="auto"/>
                <w:w w:val="95"/>
              </w:rPr>
              <w:t>Six Months Ended March 31, 2021</w:t>
            </w: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60" w:type="dxa"/>
            <w:vAlign w:val="bottom"/>
            <w:vMerge w:val="restart"/>
          </w:tcPr>
          <w:p>
            <w:pPr>
              <w:spacing w:after="0"/>
              <w:rPr>
                <w:sz w:val="20"/>
                <w:szCs w:val="20"/>
                <w:color w:val="auto"/>
              </w:rPr>
            </w:pPr>
            <w:r>
              <w:rPr>
                <w:rFonts w:ascii="Arial" w:cs="Arial" w:eastAsia="Arial" w:hAnsi="Arial"/>
                <w:sz w:val="14"/>
                <w:szCs w:val="14"/>
                <w:b w:val="1"/>
                <w:bCs w:val="1"/>
                <w:color w:val="auto"/>
              </w:rPr>
              <w:t>Reportable Segments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North America</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Latin America</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5"/>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Europe, Middle East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Asia Pacific</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and Africa</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Applications</w:t>
            </w:r>
          </w:p>
        </w:tc>
        <w:tc>
          <w:tcPr>
            <w:tcW w:w="2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149,454</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70,170</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26,912</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Scores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299,457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3,043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7,355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313,370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Decision Management Software</w:t>
            </w: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34,061</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17,698</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7,929</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60" w:type="dxa"/>
            <w:vAlign w:val="bottom"/>
          </w:tcPr>
          <w:p>
            <w:pPr>
              <w:ind w:left="2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482,972</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95,223</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38,356</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643,775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476"/>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center"/>
              <w:ind w:left="956"/>
              <w:spacing w:after="0"/>
              <w:rPr>
                <w:sz w:val="20"/>
                <w:szCs w:val="20"/>
                <w:color w:val="auto"/>
              </w:rPr>
            </w:pPr>
            <w:r>
              <w:rPr>
                <w:rFonts w:ascii="Arial" w:cs="Arial" w:eastAsia="Arial" w:hAnsi="Arial"/>
                <w:sz w:val="14"/>
                <w:szCs w:val="14"/>
                <w:b w:val="1"/>
                <w:bCs w:val="1"/>
                <w:color w:val="auto"/>
                <w:w w:val="95"/>
              </w:rPr>
              <w:t>Six Months Ended March 31, 2020</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rPr>
              <w:t>Reportable Segments</w:t>
            </w:r>
          </w:p>
        </w:tc>
        <w:tc>
          <w:tcPr>
            <w:tcW w:w="200" w:type="dxa"/>
            <w:vAlign w:val="bottom"/>
          </w:tcPr>
          <w:p>
            <w:pPr>
              <w:spacing w:after="0"/>
              <w:rPr>
                <w:sz w:val="11"/>
                <w:szCs w:val="11"/>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North America</w:t>
            </w:r>
          </w:p>
        </w:tc>
        <w:tc>
          <w:tcPr>
            <w:tcW w:w="200" w:type="dxa"/>
            <w:vAlign w:val="bottom"/>
          </w:tcPr>
          <w:p>
            <w:pPr>
              <w:spacing w:after="0"/>
              <w:rPr>
                <w:sz w:val="11"/>
                <w:szCs w:val="11"/>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Latin America</w:t>
            </w:r>
          </w:p>
        </w:tc>
        <w:tc>
          <w:tcPr>
            <w:tcW w:w="100" w:type="dxa"/>
            <w:vAlign w:val="bottom"/>
          </w:tcPr>
          <w:p>
            <w:pPr>
              <w:spacing w:after="0"/>
              <w:rPr>
                <w:sz w:val="11"/>
                <w:szCs w:val="11"/>
                <w:color w:val="auto"/>
              </w:rPr>
            </w:pPr>
          </w:p>
        </w:tc>
        <w:tc>
          <w:tcPr>
            <w:tcW w:w="15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Europe, Middle East</w:t>
            </w:r>
          </w:p>
        </w:tc>
        <w:tc>
          <w:tcPr>
            <w:tcW w:w="300" w:type="dxa"/>
            <w:vAlign w:val="bottom"/>
          </w:tcPr>
          <w:p>
            <w:pPr>
              <w:spacing w:after="0"/>
              <w:rPr>
                <w:sz w:val="11"/>
                <w:szCs w:val="11"/>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Asia Pacific</w:t>
            </w:r>
          </w:p>
        </w:tc>
        <w:tc>
          <w:tcPr>
            <w:tcW w:w="360" w:type="dxa"/>
            <w:vAlign w:val="bottom"/>
          </w:tcPr>
          <w:p>
            <w:pPr>
              <w:spacing w:after="0"/>
              <w:rPr>
                <w:sz w:val="11"/>
                <w:szCs w:val="11"/>
                <w:color w:val="auto"/>
              </w:rPr>
            </w:pPr>
          </w:p>
        </w:tc>
        <w:tc>
          <w:tcPr>
            <w:tcW w:w="11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08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and Africa</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Applications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164,366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292,457</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Scores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233,446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244,286</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Decision Management Software</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69,732</w:t>
            </w:r>
          </w:p>
        </w:tc>
        <w:tc>
          <w:tcPr>
            <w:tcW w:w="0" w:type="dxa"/>
            <w:vAlign w:val="bottom"/>
          </w:tcPr>
          <w:p>
            <w:pPr>
              <w:spacing w:after="0"/>
              <w:rPr>
                <w:sz w:val="1"/>
                <w:szCs w:val="1"/>
                <w:color w:val="auto"/>
              </w:rPr>
            </w:pPr>
          </w:p>
        </w:tc>
      </w:tr>
      <w:tr>
        <w:trPr>
          <w:trHeight w:val="223"/>
        </w:trPr>
        <w:tc>
          <w:tcPr>
            <w:tcW w:w="3080" w:type="dxa"/>
            <w:vAlign w:val="bottom"/>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434,406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91,498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48,229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606,475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color w:val="auto"/>
        </w:rPr>
        <w:t>.</w:t>
      </w:r>
      <w:r>
        <w:rPr>
          <w:rFonts w:ascii="Arial" w:cs="Arial" w:eastAsia="Arial" w:hAnsi="Arial"/>
          <w:sz w:val="18"/>
          <w:szCs w:val="18"/>
          <w:b w:val="1"/>
          <w:bCs w:val="1"/>
          <w:color w:val="auto"/>
        </w:rPr>
        <w:t xml:space="preserve"> Contract Balances and Performance Obligations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9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record a receivable when we satisfy a performance obligation prior to invoicing if only the passage of time is required before payment is due or if we have an unconditional right to consideration before we satisfy a performance obligation. We record a contract asset when we satisfy a performance obligation prior to invoicing but our right to consideration is conditional. We record deferred revenue when the payment is made or due before we satisfy a performance obligation.</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at March 31, 2021 and September 30, 2020 consisted of the following:</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20" w:type="dxa"/>
            <w:vAlign w:val="bottom"/>
          </w:tcPr>
          <w:p>
            <w:pPr>
              <w:jc w:val="right"/>
              <w:ind w:right="314"/>
              <w:spacing w:after="0"/>
              <w:rPr>
                <w:sz w:val="20"/>
                <w:szCs w:val="20"/>
                <w:color w:val="auto"/>
              </w:rPr>
            </w:pPr>
            <w:r>
              <w:rPr>
                <w:rFonts w:ascii="Arial" w:cs="Arial" w:eastAsia="Arial" w:hAnsi="Arial"/>
                <w:sz w:val="14"/>
                <w:szCs w:val="14"/>
                <w:b w:val="1"/>
                <w:bCs w:val="1"/>
                <w:color w:val="auto"/>
              </w:rPr>
              <w:t>September 30,</w:t>
            </w:r>
          </w:p>
        </w:tc>
      </w:tr>
      <w:tr>
        <w:trPr>
          <w:trHeight w:val="188"/>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183"/>
        </w:trPr>
        <w:tc>
          <w:tcPr>
            <w:tcW w:w="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gridSpan w:val="4"/>
          </w:tcPr>
          <w:p>
            <w:pPr>
              <w:jc w:val="right"/>
              <w:ind w:right="1174"/>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40" w:type="dxa"/>
            <w:vAlign w:val="bottom"/>
          </w:tcPr>
          <w:p>
            <w:pPr>
              <w:spacing w:after="0"/>
              <w:rPr>
                <w:sz w:val="20"/>
                <w:szCs w:val="20"/>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Billed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155,838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211,776</w:t>
            </w:r>
          </w:p>
        </w:tc>
      </w:tr>
      <w:tr>
        <w:trPr>
          <w:trHeight w:val="229"/>
        </w:trPr>
        <w:tc>
          <w:tcPr>
            <w:tcW w:w="40" w:type="dxa"/>
            <w:vAlign w:val="bottom"/>
          </w:tcPr>
          <w:p>
            <w:pPr>
              <w:spacing w:after="0"/>
              <w:rPr>
                <w:sz w:val="19"/>
                <w:szCs w:val="19"/>
                <w:color w:val="auto"/>
              </w:rPr>
            </w:pPr>
          </w:p>
        </w:tc>
        <w:tc>
          <w:tcPr>
            <w:tcW w:w="7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Unbilled</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181,550</w:t>
            </w:r>
          </w:p>
        </w:tc>
      </w:tr>
      <w:tr>
        <w:trPr>
          <w:trHeight w:val="223"/>
        </w:trPr>
        <w:tc>
          <w:tcPr>
            <w:tcW w:w="40" w:type="dxa"/>
            <w:vAlign w:val="bottom"/>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5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393,326</w:t>
            </w:r>
          </w:p>
        </w:tc>
      </w:tr>
      <w:tr>
        <w:trPr>
          <w:trHeight w:val="229"/>
        </w:trPr>
        <w:tc>
          <w:tcPr>
            <w:tcW w:w="40" w:type="dxa"/>
            <w:vAlign w:val="bottom"/>
          </w:tcPr>
          <w:p>
            <w:pPr>
              <w:spacing w:after="0"/>
              <w:rPr>
                <w:sz w:val="19"/>
                <w:szCs w:val="19"/>
                <w:color w:val="auto"/>
              </w:rPr>
            </w:pPr>
          </w:p>
        </w:tc>
        <w:tc>
          <w:tcPr>
            <w:tcW w:w="7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allowance for doubtful accounts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(5,072)</w:t>
            </w:r>
          </w:p>
        </w:tc>
      </w:tr>
      <w:tr>
        <w:trPr>
          <w:trHeight w:val="223"/>
        </w:trPr>
        <w:tc>
          <w:tcPr>
            <w:tcW w:w="40" w:type="dxa"/>
            <w:vAlign w:val="bottom"/>
          </w:tcPr>
          <w:p>
            <w:pPr>
              <w:spacing w:after="0"/>
              <w:rPr>
                <w:sz w:val="19"/>
                <w:szCs w:val="19"/>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receivables</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388,254</w:t>
            </w:r>
          </w:p>
        </w:tc>
      </w:tr>
      <w:tr>
        <w:trPr>
          <w:trHeight w:val="223"/>
        </w:trPr>
        <w:tc>
          <w:tcPr>
            <w:tcW w:w="40" w:type="dxa"/>
            <w:vAlign w:val="bottom"/>
          </w:tcPr>
          <w:p>
            <w:pPr>
              <w:spacing w:after="0"/>
              <w:rPr>
                <w:sz w:val="19"/>
                <w:szCs w:val="19"/>
                <w:color w:val="auto"/>
              </w:rPr>
            </w:pPr>
          </w:p>
        </w:tc>
        <w:tc>
          <w:tcPr>
            <w:tcW w:w="7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Less: long-term receivables *</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(54,074)</w:t>
            </w:r>
          </w:p>
        </w:tc>
      </w:tr>
      <w:tr>
        <w:trPr>
          <w:trHeight w:val="248"/>
        </w:trPr>
        <w:tc>
          <w:tcPr>
            <w:tcW w:w="40" w:type="dxa"/>
            <w:vAlign w:val="bottom"/>
          </w:tcPr>
          <w:p>
            <w:pPr>
              <w:spacing w:after="0"/>
              <w:rPr>
                <w:sz w:val="21"/>
                <w:szCs w:val="21"/>
                <w:color w:val="auto"/>
              </w:rPr>
            </w:pPr>
          </w:p>
        </w:tc>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Short-term receivables *</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334,180</w:t>
            </w:r>
          </w:p>
        </w:tc>
      </w:tr>
      <w:tr>
        <w:trPr>
          <w:trHeight w:val="20"/>
        </w:trPr>
        <w:tc>
          <w:tcPr>
            <w:tcW w:w="40" w:type="dxa"/>
            <w:vAlign w:val="bottom"/>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4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5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r>
    </w:tbl>
    <w:p>
      <w:pPr>
        <w:spacing w:after="0" w:line="80" w:lineRule="exact"/>
        <w:rPr>
          <w:sz w:val="20"/>
          <w:szCs w:val="20"/>
          <w:color w:val="auto"/>
        </w:rPr>
      </w:pPr>
    </w:p>
    <w:p>
      <w:pPr>
        <w:ind w:firstLine="8"/>
        <w:spacing w:after="0" w:line="277" w:lineRule="auto"/>
        <w:tabs>
          <w:tab w:leader="none" w:pos="162" w:val="left"/>
        </w:tabs>
        <w:numPr>
          <w:ilvl w:val="0"/>
          <w:numId w:val="8"/>
        </w:numPr>
        <w:rPr>
          <w:rFonts w:ascii="Arial" w:cs="Arial" w:eastAsia="Arial" w:hAnsi="Arial"/>
          <w:sz w:val="18"/>
          <w:szCs w:val="18"/>
          <w:color w:val="auto"/>
        </w:rPr>
      </w:pPr>
      <w:r>
        <w:rPr>
          <w:rFonts w:ascii="Arial" w:cs="Arial" w:eastAsia="Arial" w:hAnsi="Arial"/>
          <w:sz w:val="18"/>
          <w:szCs w:val="18"/>
          <w:color w:val="auto"/>
        </w:rPr>
        <w:t>Short-term receivables and long-term receivables were recorded in accounts receivable, net and other assets, respectively, within the accompanying condensed consolidated balance sheets.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Contract assets balance at March 31, 2021 and September 30, 2020 was immaterial.</w:t>
      </w:r>
    </w:p>
    <w:p>
      <w:pPr>
        <w:spacing w:after="0" w:line="171"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Deferred revenue primarily relates to our maintenance and SaaS contracts billed annually in advance and generally recognized ratably over the term of the service period. Significant changes in the deferred revenues balances during the six months ended March 31, 2021 were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jc w:val="right"/>
              <w:ind w:right="417"/>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9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March 31, 2021</w:t>
            </w:r>
          </w:p>
        </w:tc>
      </w:tr>
      <w:tr>
        <w:trPr>
          <w:trHeight w:val="183"/>
        </w:trPr>
        <w:tc>
          <w:tcPr>
            <w:tcW w:w="9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ind w:right="497"/>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revenues at September 30, 2020 *</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122,141</w:t>
            </w:r>
          </w:p>
        </w:tc>
      </w:tr>
      <w:tr>
        <w:trPr>
          <w:trHeight w:val="229"/>
        </w:trPr>
        <w:tc>
          <w:tcPr>
            <w:tcW w:w="9140" w:type="dxa"/>
            <w:vAlign w:val="bottom"/>
          </w:tcPr>
          <w:p>
            <w:pPr>
              <w:ind w:left="20"/>
              <w:spacing w:after="0"/>
              <w:rPr>
                <w:sz w:val="20"/>
                <w:szCs w:val="20"/>
                <w:color w:val="auto"/>
              </w:rPr>
            </w:pPr>
            <w:r>
              <w:rPr>
                <w:rFonts w:ascii="Arial" w:cs="Arial" w:eastAsia="Arial" w:hAnsi="Arial"/>
                <w:sz w:val="18"/>
                <w:szCs w:val="18"/>
                <w:color w:val="auto"/>
              </w:rPr>
              <w:t>Revenue recognized that was included in the deferred revenues balance at the beginning of the period</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(75,600)</w:t>
            </w:r>
          </w:p>
        </w:tc>
      </w:tr>
      <w:tr>
        <w:trPr>
          <w:trHeight w:val="230"/>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due to billings, excluding amounts recognized as revenue during the period</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78,945</w:t>
            </w:r>
          </w:p>
        </w:tc>
      </w:tr>
      <w:tr>
        <w:trPr>
          <w:trHeight w:val="230"/>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Reclassified as liabilities related to assets held for sale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(16,508)</w:t>
            </w:r>
          </w:p>
        </w:tc>
      </w:tr>
      <w:tr>
        <w:trPr>
          <w:trHeight w:val="248"/>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revenues at March 31, 2021 *</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108,978</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405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303" w:lineRule="exact"/>
        <w:rPr>
          <w:sz w:val="20"/>
          <w:szCs w:val="20"/>
          <w:color w:val="auto"/>
        </w:rPr>
      </w:pPr>
    </w:p>
    <w:p>
      <w:pPr>
        <w:jc w:val="both"/>
        <w:ind w:firstLine="8"/>
        <w:spacing w:after="0" w:line="259" w:lineRule="auto"/>
        <w:tabs>
          <w:tab w:leader="none" w:pos="138"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Deferred revenues at September 30, 2020 included current portion of $115.2 million and long-term portion of $6.9 million that were recorded in deferred revenue and other liabilities, respectively, within the condensed consolidated balance sheets. Deferred revenues at March 31, 2021 included current portion of $100.4 million and long-term portion of $8.6 million that were recorded in deferred revenue and other liabilities, respectively, within the condensed consolidated balance sheets.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provide customers with financing or to receive financing from our customers. Examples include multi-year on-premises licenses that are invoiced annually with revenue recognized upfront, and invoicing at the beginning of a SaaS subscription term with revenue recognized ratably over the contract period.</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spacing w:after="0" w:line="13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that will be recognized in future periods from usage-based royalty from license sales;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SaaS transactional revenue from variable considerations that will be recognized in the distinct service period during which it is earned; and</w:t>
      </w:r>
    </w:p>
    <w:p>
      <w:pPr>
        <w:spacing w:after="0" w:line="20" w:lineRule="exact"/>
        <w:rPr>
          <w:rFonts w:ascii="Arial" w:cs="Arial" w:eastAsia="Arial" w:hAnsi="Arial"/>
          <w:sz w:val="17"/>
          <w:szCs w:val="17"/>
          <w:color w:val="auto"/>
        </w:rPr>
      </w:pPr>
    </w:p>
    <w:p>
      <w:pPr>
        <w:ind w:left="660" w:hanging="328"/>
        <w:spacing w:after="0" w:line="26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from variable considerations that will be recognized in accordance with the “right-to-invoice” practical expedient, such as fees from our professional services billed based on a time and materials basis.</w:t>
      </w:r>
    </w:p>
    <w:p>
      <w:pPr>
        <w:spacing w:after="0" w:line="13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Revenue allocated to remaining performance obligations was $334.4 million as of March 31, 2021, of which we expect to recognize approximately 50% over the next 20 months and the remainder thereafter.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material exposure on an aggregate basis.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Assets Held for Sale</w:t>
      </w:r>
    </w:p>
    <w:p>
      <w:pPr>
        <w:spacing w:after="0" w:line="12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As discussed in Note 14 - Subsequent Events, we entered into an agreement to divest our Collections and Recovery business (“C&amp;R”) on May 4th, 2021. As a result of meeting the criteria to classify the disposal group as held for sale under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the C&amp;R disposal group was classified as held for sale as of March 31, 2021. Assets classified as held for sale are recorded at the lower of their carrying amount or fair value less costs to sell and are not depreciated or amortized. Classification of a disposal group as held for sale occurs when sufficient authority to sell the disposal group has been obtained, the disposal group is available for immediate sale, and its sale is probable within one year. If at any time these criteria are no longer met, the disposal group would be reclassified as held and used. We evaluate the held for sale classification during each reporting period. The C&amp;R disposal group did not meet the requirements for presentation as discontinued operations and is included in income from continuing operations for the three and six months ended March 31, 2021.</w:t>
      </w:r>
    </w:p>
    <w:p>
      <w:pPr>
        <w:spacing w:after="0" w:line="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did not have any assets held for sale as of September 30, 2020. The following table presents the carrying amounts of major classes of assets and liabilities related to assets held for sale with respect to the C&amp;R disposal group as of March 31, 2021.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March 31, 2021</w:t>
            </w:r>
          </w:p>
        </w:tc>
      </w:tr>
      <w:tr>
        <w:trPr>
          <w:trHeight w:val="181"/>
        </w:trPr>
        <w:tc>
          <w:tcPr>
            <w:tcW w:w="9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ind w:right="492"/>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30"/>
        </w:trPr>
        <w:tc>
          <w:tcPr>
            <w:tcW w:w="918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18,310</w:t>
            </w:r>
          </w:p>
        </w:tc>
      </w:tr>
      <w:tr>
        <w:trPr>
          <w:trHeight w:val="229"/>
        </w:trPr>
        <w:tc>
          <w:tcPr>
            <w:tcW w:w="9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29"/>
        </w:trPr>
        <w:tc>
          <w:tcPr>
            <w:tcW w:w="9180" w:type="dxa"/>
            <w:vAlign w:val="bottom"/>
          </w:tcPr>
          <w:p>
            <w:pPr>
              <w:ind w:left="26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27,960</w:t>
            </w:r>
          </w:p>
        </w:tc>
      </w:tr>
      <w:tr>
        <w:trPr>
          <w:trHeight w:val="230"/>
        </w:trPr>
        <w:tc>
          <w:tcPr>
            <w:tcW w:w="9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w:t>
            </w:r>
          </w:p>
        </w:tc>
      </w:tr>
      <w:tr>
        <w:trPr>
          <w:trHeight w:val="223"/>
        </w:trPr>
        <w:tc>
          <w:tcPr>
            <w:tcW w:w="9180" w:type="dxa"/>
            <w:vAlign w:val="bottom"/>
          </w:tcPr>
          <w:p>
            <w:pPr>
              <w:ind w:left="480"/>
              <w:spacing w:after="0"/>
              <w:rPr>
                <w:sz w:val="20"/>
                <w:szCs w:val="20"/>
                <w:color w:val="auto"/>
              </w:rPr>
            </w:pPr>
            <w:r>
              <w:rPr>
                <w:rFonts w:ascii="Arial" w:cs="Arial" w:eastAsia="Arial" w:hAnsi="Arial"/>
                <w:sz w:val="18"/>
                <w:szCs w:val="18"/>
                <w:color w:val="auto"/>
              </w:rPr>
              <w:t>Total assets held for sale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48,843</w:t>
            </w:r>
          </w:p>
        </w:tc>
      </w:tr>
      <w:tr>
        <w:trPr>
          <w:trHeight w:val="20"/>
        </w:trPr>
        <w:tc>
          <w:tcPr>
            <w:tcW w:w="9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9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9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9180" w:type="dxa"/>
            <w:vAlign w:val="bottom"/>
          </w:tcPr>
          <w:p>
            <w:pPr>
              <w:ind w:left="240"/>
              <w:spacing w:after="0"/>
              <w:rPr>
                <w:sz w:val="20"/>
                <w:szCs w:val="20"/>
                <w:color w:val="auto"/>
              </w:rPr>
            </w:pPr>
            <w:r>
              <w:rPr>
                <w:rFonts w:ascii="Arial" w:cs="Arial" w:eastAsia="Arial" w:hAnsi="Arial"/>
                <w:sz w:val="18"/>
                <w:szCs w:val="18"/>
                <w:color w:val="auto"/>
              </w:rPr>
              <w:t>Accrued compensation and employee benefits</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2,131</w:t>
            </w:r>
          </w:p>
        </w:tc>
      </w:tr>
      <w:tr>
        <w:trPr>
          <w:trHeight w:val="229"/>
        </w:trPr>
        <w:tc>
          <w:tcPr>
            <w:tcW w:w="9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16,508</w:t>
            </w:r>
          </w:p>
        </w:tc>
      </w:tr>
      <w:tr>
        <w:trPr>
          <w:trHeight w:val="229"/>
        </w:trPr>
        <w:tc>
          <w:tcPr>
            <w:tcW w:w="91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Operating lease liabilities</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5,251</w:t>
            </w:r>
          </w:p>
        </w:tc>
      </w:tr>
      <w:tr>
        <w:trPr>
          <w:trHeight w:val="248"/>
        </w:trPr>
        <w:tc>
          <w:tcPr>
            <w:tcW w:w="91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 related to assets held for sale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23,989</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May 4th, 2021, we signed a definitive agreement to sell our C&amp;R business. The transaction is expected to close in our current fiscal year, subject to customary closing conditions. The decision to sell the C&amp;R business was the result of management’s decision to divest non-platform businesses and focus resources on the growth of our FICO Decision Management Platform. Our C&amp;R business is part of the Applications segment.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ind w:firstLine="445"/>
        <w:spacing w:after="0" w:line="266" w:lineRule="auto"/>
        <w:rPr>
          <w:sz w:val="20"/>
          <w:szCs w:val="20"/>
          <w:color w:val="auto"/>
        </w:rPr>
      </w:pPr>
      <w:r>
        <w:rPr>
          <w:rFonts w:ascii="Arial" w:cs="Arial" w:eastAsia="Arial" w:hAnsi="Arial"/>
          <w:sz w:val="16"/>
          <w:szCs w:val="16"/>
          <w:i w:val="1"/>
          <w:iCs w:val="1"/>
          <w:color w:val="auto"/>
        </w:rPr>
        <w:t xml:space="preserve">Statements contained in this report that are not statements of historical fact should be considered forward-looking statements within the meaning of the Private Securities Litigation Reform Act of 1995 (the “PSLRA”).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PSLRA. Examples of forward-looking statements include, but are not limited to: (i) projections of revenue, income or loss, expenses, earnings or loss per share, the payment or nonpayment of dividends, capital structure and other statements concerning future financial performance; (ii) 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results of business combinations; (v) statements regarding business relationships with vendors, customers or collaborators, including the proportion of revenues generated from international as opposed to domestic customers; and (vi) statements regarding products, their characteristics, performance, sales potential or effect in the hands of customers. Words such as “believes,” “anticipates,” “expects,” “intends,” “targeted,” “should,” “potential,” “goals,” “strategy,” “outlook,” “plan,” “estimated,” “will,” variations of these terms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II, Item 1A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 xml:space="preserve"> of this Quarterly Report on Form 10-Q (including the impact of COVID-19 on macroeconomic conditions and our business, operations and personnel). The performance of our business and our securities may be adversely affected by these factors and by other factors common to other businesses and investments, or to the general economy. Forward-looking statements are qualified by some or all of these risk factors. Therefore, you should consider these risk factors with caution and form your own critical and independent conclusions about the likely effect of these risk factors on our future performance. Such forward-looking statements speak only as of the date on which statements are made, and we undertake no obligation to update any forward-looking statement to reflect events or circumstances after the date on which such statement is made to reflect the occurrence of unanticipated events or circumstances. Readers should carefully review the disclosures and the risk factors described in this and other documents we file from time to time with the SEC, including our Quarterly Reports on Form 10-Q and Current Reports on Form 8-K.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45"/>
        <w:spacing w:after="0" w:line="280" w:lineRule="auto"/>
        <w:rPr>
          <w:sz w:val="20"/>
          <w:szCs w:val="20"/>
          <w:color w:val="auto"/>
        </w:rPr>
      </w:pPr>
      <w:r>
        <w:rPr>
          <w:rFonts w:ascii="Arial" w:cs="Arial" w:eastAsia="Arial" w:hAnsi="Arial"/>
          <w:sz w:val="16"/>
          <w:szCs w:val="16"/>
          <w:color w:val="auto"/>
        </w:rPr>
        <w:t>We use analytics to help businesses automate, improve and connect decisions across their enterprise — an approach we commonly refer to as decision management. Our predictive analytics, which includes the industry-standard FICO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Score, and our decision management technologies leverage the use of data and mathematical algorithms to predict, categorize, and describe consumer behavior in order to power hundreds of billions of customer decisions each year. We help thousands of companies in over 100 countries use our decision management technology to target and acquire customers more efficiently, increase customer value, detect and reduce fraud and credit losses, measure and manage credit risk, maintain regulatory compliance, lower operating expenses, and enter new markets more profitably. Most leading banks and credit card issuers rely on our solutions, as do insurers, retailers, telecommunications providers, automotive companies, pharmaceutical companies, healthcare organizations, public agencies and organizations in other industries. We also serve consumers through online services that enable people to purchase and understand their FICO</w:t>
      </w:r>
      <w:r>
        <w:rPr>
          <w:rFonts w:ascii="Arial" w:cs="Arial" w:eastAsia="Arial" w:hAnsi="Arial"/>
          <w:sz w:val="9"/>
          <w:szCs w:val="9"/>
          <w:color w:val="auto"/>
        </w:rPr>
        <w:t>®</w:t>
      </w:r>
      <w:r>
        <w:rPr>
          <w:rFonts w:ascii="Arial" w:cs="Arial" w:eastAsia="Arial" w:hAnsi="Arial"/>
          <w:sz w:val="16"/>
          <w:szCs w:val="16"/>
          <w:color w:val="auto"/>
        </w:rPr>
        <w:t xml:space="preserve"> Scores, the standard measure of consumer credit risk in the U.S., and empower them to manage their financial health. Most of our solutions address customer engagement, including customer acquisition, customer onboarding, customer servicing and management, and customer protection. We also help businesses improve non-customer decisions such as streamlining transaction and claims processing, and optimizing logistics. Our solutions enable users to make decisions that are more precise, consistent and agile, and that systematically advance business goals. This helps our clients to reduce the cost of doing business, increase revenues and profitability, reduce losses from risks and fraud, and increase customer loyalty.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6"/>
          <w:szCs w:val="16"/>
          <w:color w:val="auto"/>
        </w:rPr>
        <w:t>A significant portion of our revenues are derived from the sale of products and services within the banking (including consumer credit) industry, and 90% and 86% of our revenues were derived from within this industry during the quarters ended March 31, 2021 and 2020, respectively, and 87% and 85% of our revenues were derived from within this industry during the six months ended March 31, 2021 and 2020, respectively. In addition, we derive a significant share of revenues from transactional or unit-based software license fees, transactional fees derived under credit scoring and SaaS subscription services arrangements, and annual software maintenance fees. Arrangements with transactional or unit-based pricing accounted for 85% and 78% of our revenues during the quarters ended March 31, 2021 and 2020, respectively. Arrangements with transactional or unit-based pricing accounted for 83% and 76% of our revenues during the six months ended March 31, 2021 and 2020, respectively. We derive a significant portion of our revenues from clients outside the U.S. International revenues accounted for 29% and 32% of total consolidated revenues for the quarters ended March 31, 2021 and 2020, respectively, and 29% and 32% of total consolidated revenues for the six months ended March 31, 2021 and 2020, respectively.</w:t>
      </w:r>
    </w:p>
    <w:p>
      <w:pPr>
        <w:spacing w:after="0" w:line="11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6"/>
          <w:szCs w:val="16"/>
          <w:color w:val="auto"/>
        </w:rPr>
        <w:t>Revenue increased 8% to $331.4 million during the quarter ended March 31, 2021 from $308.0 million for the quarter ended March 31, 2020, and 6% to $643.8 million during the six months ended March 31, 2021 from $606.5 million during the six months ended March 31, 2020. We continue to drive growth in our Scores segment. Scores revenue increased 31% to $168.7 million during the quarter ended March 31, 2021 from $129.1 million during the quarter ended March 31, 2020, and 28% to $313.4 million during the six months ended March 31, 2021 from $244.3 million during the six months ended March 31, 2020. Scores operating income increased 29% to $146.5 million during the quarter ended March 31, 2021 from $113.5 million during the quarter ended March 31, 2020, and 28% to $269.6 million during the six months ended March 31, 2021 from $210.9 million during the six months ended March 31, 2020. For our Applications and Decision Management Software segments, revenue decreased 9% to $162.6 million during the quarter ended March 31, 2021 from $178.8 million during the quarter ended March 31, 2020, and 9% to $330.4 million during the six months ended March 31, 2021 from $362.2 million during the six months ended March 31, 2020. The decrease was largely attributable to the shift in the timing of revenue recognition on our term license subscription sales, as described below; as well as our recent strategic shift to emphasize software over services.</w:t>
      </w:r>
    </w:p>
    <w:p>
      <w:pPr>
        <w:spacing w:after="0" w:line="63"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During fiscal 2020, we changed our practice of selling term software licenses with separate license and maintenance components to a single software subscription contract with license and maintenance bundled. This transition was substantially completed by the end of the first quarter of our fiscal 2021. This transition has shifted the timing of our revenue recognition on these subscription sales, resulting in less revenue recognized upfront and more revenue recognized over the term of these subscriptions. As a result, we expect a negative impact to our revenue recognized from term software licenses throughout the rest of our fiscal 2021. This does not change total revenue recognized over the life of a contract. In addition, this change does not negatively impact our cash flows.</w:t>
      </w:r>
    </w:p>
    <w:p>
      <w:pPr>
        <w:spacing w:after="0" w:line="13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color w:val="auto"/>
        </w:rPr>
        <w:t>Operating income increased 34% to $101.2 million during the quarter ended March 31, 2021 from $75.7 million during the quarter ended March 31, 2020, and net income increased 18% to $68.7 million during the quarter ended March 31, 2021 from $58.3 million during the quarter ended March 31, 2020. Operating income increased 54% to $195.9 million during the six months ended March 31, 2021 from $127.6 million during the six months ended March 31, 2020, and net income increased 37% to $155.2 million from $113.2 million, primarily driven by higher operating income during the six months ended March 31, 2021, partially offset by lower excess tax benefits related to stock-based compensation.</w:t>
      </w:r>
    </w:p>
    <w:p>
      <w:pPr>
        <w:spacing w:after="0" w:line="12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continued to advance our cloud-enabled, platform-based software strategy by exiting less strategic areas of our business in order to increase our focus on the FICO Decision Management Platform. In May 2021, we signed a definitive agreement to sell our Collections and Recovery (“C&amp;R”) business. The transaction is expected to close in our current fiscal year, subject to customary closing conditions.</w:t>
      </w:r>
    </w:p>
    <w:p>
      <w:pPr>
        <w:spacing w:after="0" w:line="130"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continue to enhance stockholder value by returning cash to stockholders through our stock repurchase program. During the quarter and six months ended March 31, 2021, we repurchased approximately 440,588 shares at a total repurchase price of $205.2 million and 541,738 shares at a total repurchase price of $255.2 million, respectively. As of March 31, 2021, we had $471.3 million remaining under our current stock repurchase program. We intend to include the C&amp;R sale proceeds in a $200 million Accelerated Share Repurchase program following the close of the transaction.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color w:val="auto"/>
        </w:rPr>
        <w:t>As the COVID-19 pandemic persists, our focus remains on promoting employee health and safety, serving our customers and ensuring business continuity. For a discussion of the variety of measures we have taken, as well as the impacts on and risks to our business from COVID-19, please refer to “COVID-19 Update” included in Part II, Item 7 “Management’s Discussion and Analysis of Financial Condition and Results of Operations” in our Annual Report on Form 10-K for the fiscal year ended September 30, 2020; certain risk factors included in Part II, Item 1A “Risk Factors” of this Quarterly Report; and the information presented below under “Results of Operations” in this Quarterly Report.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w:t>
      </w:r>
    </w:p>
    <w:p>
      <w:pPr>
        <w:spacing w:after="0" w:line="12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Management regards the volume of bookings achieved as an important indicator of future revenues, but they are not comparable to, nor a substitute for, an analysis of our revenues. Bookings represent contracts signed in the current reporting period that generate current and future revenue streams. While we disclose estimated revenue expected to be recognized in the future related to unsatisfied performance obligations in Note 11 to the accompanying condensed consolidated financial statements, we believe bookings amount is still a meaningful measure of our business as it includes estimated revenues omitted from Note 11, such as usage-based royalties derived from our software licenses, among others.</w:t>
      </w:r>
    </w:p>
    <w:p>
      <w:pPr>
        <w:spacing w:after="0" w:line="1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estimate bookings as of the end of the period in which a contract is signed, and initial booking estimates are not updated in future periods for changes between estimated and actual results. Our calculations have varying degrees of certainty depending on the revenue type and individual contract terms. They are subject to a number of risks and uncertainties concerning timing and contingencies affecting product delivery and performance, and estimates take into consideration contract terms, knowledge of the marketplace and experience with our customers, among other factors. Actual revenue and the timing thereof could differ materially from our initial estimates.</w:t>
      </w:r>
    </w:p>
    <w:p>
      <w:pPr>
        <w:spacing w:after="0" w:line="1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Although many of our contracts contain non-cancelable terms, most of our bookings are transactional or service-related that depend upon certain estimates, such as volume of transactions, number of active accounts, or number of hours incurred. Since these estimates cannot be considered fixed or firm, we do not believe it is appropriate to characterize bookings as backlog. The following paragraphs discuss the key assumptions used to calculate bookings and the susceptibility of these assumptions to variability for each revenue type, as defined in Revenue Recognition in the Critical Accounting Policies and Estimates.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Transactional and Maintenance Bookings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calculate transactional bookings as the total estimated volume of transactions or number of accounts under contract, multiplied by the contractual rate. Transactional contracts generally span multiple years and require estimates of future transaction volumes or number of active accounts. We develop estimates from discussions with our customers and examinations of historical data from similar products and customer arrangements. Differences between estimated bookings and actual results occur due to variability in the volume of transactions or number of active accounts estimated. This variability is primarily caused by the economic trends in our customers’ industries; individual performance of our customers relative to their competitors; and regulatory and other factors that affect the business environment in which our customers operate.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calculate maintenance bookings directly from the terms stated in the contract.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Professional Services Bookings</w:t>
      </w:r>
    </w:p>
    <w:p>
      <w:pPr>
        <w:spacing w:after="0" w:line="11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We calculate professional services bookings as the estimated number of hours to complete a project multiplied by the rate per hour. We estimate the number of hours based on our understanding of the project scope, conversations with customer personnel and our experience in estimating professional services projects. Estimated bookings may differ from actual results primarily due to differences in the actual number of hours incurred.</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License Bookings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Licenses that are sold on a term or perpetual basis when bookings generally equal the fixed amount (including guaranteed minimums) stated in the contract.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Bookings Trend Analysis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Bookings</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Bookings</w:t>
            </w: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Bookings</w:t>
            </w:r>
          </w:p>
        </w:tc>
        <w:tc>
          <w:tcPr>
            <w:tcW w:w="166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over $1</w:t>
            </w: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9"/>
        </w:trPr>
        <w:tc>
          <w:tcPr>
            <w:tcW w:w="5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92"/>
              </w:rPr>
              <w:t xml:space="preserve">Yield </w:t>
            </w:r>
            <w:r>
              <w:rPr>
                <w:rFonts w:ascii="Arial" w:cs="Arial" w:eastAsia="Arial" w:hAnsi="Arial"/>
                <w:sz w:val="18"/>
                <w:szCs w:val="18"/>
                <w:b w:val="1"/>
                <w:bCs w:val="1"/>
                <w:color w:val="auto"/>
                <w:w w:val="92"/>
                <w:vertAlign w:val="superscript"/>
              </w:rPr>
              <w:t>(1)</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Million</w:t>
            </w:r>
          </w:p>
        </w:tc>
        <w:tc>
          <w:tcPr>
            <w:tcW w:w="142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0"/>
              </w:rPr>
              <w:t xml:space="preserve">Term </w:t>
            </w:r>
            <w:r>
              <w:rPr>
                <w:rFonts w:ascii="Arial" w:cs="Arial" w:eastAsia="Arial" w:hAnsi="Arial"/>
                <w:sz w:val="18"/>
                <w:szCs w:val="18"/>
                <w:b w:val="1"/>
                <w:bCs w:val="1"/>
                <w:color w:val="auto"/>
                <w:w w:val="90"/>
                <w:vertAlign w:val="superscript"/>
              </w:rPr>
              <w:t>(2)</w:t>
            </w:r>
          </w:p>
        </w:tc>
        <w:tc>
          <w:tcPr>
            <w:tcW w:w="0" w:type="dxa"/>
            <w:vAlign w:val="bottom"/>
          </w:tcPr>
          <w:p>
            <w:pPr>
              <w:spacing w:after="0"/>
              <w:rPr>
                <w:sz w:val="1"/>
                <w:szCs w:val="1"/>
                <w:color w:val="auto"/>
              </w:rPr>
            </w:pPr>
          </w:p>
        </w:tc>
      </w:tr>
      <w:tr>
        <w:trPr>
          <w:trHeight w:val="181"/>
        </w:trPr>
        <w:tc>
          <w:tcPr>
            <w:tcW w:w="50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(Months)</w:t>
            </w:r>
          </w:p>
        </w:tc>
        <w:tc>
          <w:tcPr>
            <w:tcW w:w="0" w:type="dxa"/>
            <w:vAlign w:val="bottom"/>
          </w:tcPr>
          <w:p>
            <w:pPr>
              <w:spacing w:after="0"/>
              <w:rPr>
                <w:sz w:val="1"/>
                <w:szCs w:val="1"/>
                <w:color w:val="auto"/>
              </w:rPr>
            </w:pPr>
          </w:p>
        </w:tc>
      </w:tr>
      <w:tr>
        <w:trPr>
          <w:trHeight w:val="231"/>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 Ended March 31, 2021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Quarter Ended March 31, 2020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420" w:type="dxa"/>
            <w:vAlign w:val="bottom"/>
          </w:tcPr>
          <w:p>
            <w:pPr>
              <w:jc w:val="right"/>
              <w:ind w:right="8"/>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March 31, 2021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line="230"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(a)</w:t>
            </w:r>
          </w:p>
        </w:tc>
        <w:tc>
          <w:tcPr>
            <w:tcW w:w="0" w:type="dxa"/>
            <w:vAlign w:val="bottom"/>
          </w:tcPr>
          <w:p>
            <w:pPr>
              <w:spacing w:after="0"/>
              <w:rPr>
                <w:sz w:val="1"/>
                <w:szCs w:val="1"/>
                <w:color w:val="auto"/>
              </w:rPr>
            </w:pPr>
          </w:p>
        </w:tc>
      </w:tr>
      <w:tr>
        <w:trPr>
          <w:trHeight w:val="471"/>
        </w:trPr>
        <w:tc>
          <w:tcPr>
            <w:tcW w:w="5080" w:type="dxa"/>
            <w:vAlign w:val="bottom"/>
          </w:tcPr>
          <w:p>
            <w:pPr>
              <w:ind w:left="20"/>
              <w:spacing w:after="0"/>
              <w:rPr>
                <w:sz w:val="20"/>
                <w:szCs w:val="20"/>
                <w:color w:val="auto"/>
              </w:rPr>
            </w:pPr>
            <w:r>
              <w:rPr>
                <w:rFonts w:ascii="Arial" w:cs="Arial" w:eastAsia="Arial" w:hAnsi="Arial"/>
                <w:sz w:val="18"/>
                <w:szCs w:val="18"/>
                <w:color w:val="auto"/>
              </w:rPr>
              <w:t>Six Months Ended March 31, 2020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196.2</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35"/>
                <w:szCs w:val="35"/>
                <w:color w:val="auto"/>
                <w:vertAlign w:val="subscript"/>
              </w:rPr>
              <w:t>NM</w:t>
            </w:r>
            <w:r>
              <w:rPr>
                <w:rFonts w:ascii="Arial" w:cs="Arial" w:eastAsia="Arial" w:hAnsi="Arial"/>
                <w:sz w:val="12"/>
                <w:szCs w:val="12"/>
                <w:color w:val="auto"/>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13798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48"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Bookings yield represents the percentage of revenue recognized from bookings for the periods indicated.</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Weighted-average term of bookings measures the average term over which bookings are expected to be recognized as revenue.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8"/>
        <w:spacing w:after="0" w:line="277" w:lineRule="auto"/>
        <w:tabs>
          <w:tab w:leader="none" w:pos="2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NM - Measure is not meaningful as our estimate of bookings is as of the end of the period in which a contract is signed, and we do not update our initial booking estimates in future periods for changes between estimated and actual results.</w:t>
      </w:r>
    </w:p>
    <w:p>
      <w:pPr>
        <w:spacing w:after="0" w:line="17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Transactional and maintenance bookings were 58% and 44% of total bookings for the quarters ended March 31, 2021 and 2020, respectively. Professional services bookings were 26% and 40% of total bookings for the quarters ended March 31, 2021 and 2020, respectively. License bookings were 16% of total bookings for each of the quarters ended March 31, 2021 and 2020.</w:t>
      </w:r>
    </w:p>
    <w:p>
      <w:pPr>
        <w:spacing w:after="0" w:line="18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Transactional and maintenance bookings were 62% and 40% of total bookings for the six months ended March 31, 2021 and 2020, respectively. Professional services bookings were 25% and 38% of total bookings for the six months ended March 31, 2021 and 2020, respectively. License bookings were 13% and 22% of total bookings for the six months ended March 31, 2021 and 2020,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set forth certain summary information on a segment basis related to our revenues for the quarters and six-month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6"/>
              </w:rPr>
              <w:t>Quarter Ended March 31,</w:t>
            </w:r>
          </w:p>
        </w:tc>
        <w:tc>
          <w:tcPr>
            <w:tcW w:w="2540" w:type="dxa"/>
            <w:vAlign w:val="bottom"/>
            <w:gridSpan w:val="3"/>
          </w:tcPr>
          <w:p>
            <w:pPr>
              <w:jc w:val="right"/>
              <w:ind w:right="454"/>
              <w:spacing w:after="0"/>
              <w:rPr>
                <w:sz w:val="20"/>
                <w:szCs w:val="20"/>
                <w:color w:val="auto"/>
              </w:rPr>
            </w:pPr>
            <w:r>
              <w:rPr>
                <w:rFonts w:ascii="Arial" w:cs="Arial" w:eastAsia="Arial" w:hAnsi="Arial"/>
                <w:sz w:val="14"/>
                <w:szCs w:val="14"/>
                <w:b w:val="1"/>
                <w:bCs w:val="1"/>
                <w:color w:val="auto"/>
              </w:rPr>
              <w:t>Percentage of Revenues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w:t>
            </w:r>
          </w:p>
        </w:tc>
        <w:tc>
          <w:tcPr>
            <w:tcW w:w="3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1220" w:type="dxa"/>
            <w:vAlign w:val="bottom"/>
            <w:tcBorders>
              <w:top w:val="single" w:sz="8" w:color="auto"/>
            </w:tcBorders>
            <w:vMerge w:val="restart"/>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Period-to-Period</w:t>
            </w:r>
          </w:p>
        </w:tc>
        <w:tc>
          <w:tcPr>
            <w:tcW w:w="146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Change</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center"/>
              <w:ind w:left="518"/>
              <w:spacing w:after="0"/>
              <w:rPr>
                <w:sz w:val="20"/>
                <w:szCs w:val="20"/>
                <w:color w:val="auto"/>
              </w:rPr>
            </w:pPr>
            <w:r>
              <w:rPr>
                <w:rFonts w:ascii="Arial" w:cs="Arial" w:eastAsia="Arial" w:hAnsi="Arial"/>
                <w:sz w:val="14"/>
                <w:szCs w:val="14"/>
                <w:b w:val="1"/>
                <w:bCs w:val="1"/>
                <w:color w:val="auto"/>
                <w:w w:val="93"/>
              </w:rPr>
              <w:t>(In thousands)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Applications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140,279</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(10,765)</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Scores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168,719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129,148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39,571</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Decision Management Software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38,544</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331,361</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307,971</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23,390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Six Months Ended March 31,</w:t>
            </w:r>
          </w:p>
        </w:tc>
        <w:tc>
          <w:tcPr>
            <w:tcW w:w="2540" w:type="dxa"/>
            <w:vAlign w:val="bottom"/>
            <w:gridSpan w:val="3"/>
          </w:tcPr>
          <w:p>
            <w:pPr>
              <w:jc w:val="right"/>
              <w:ind w:right="454"/>
              <w:spacing w:after="0"/>
              <w:rPr>
                <w:sz w:val="20"/>
                <w:szCs w:val="20"/>
                <w:color w:val="auto"/>
              </w:rPr>
            </w:pPr>
            <w:r>
              <w:rPr>
                <w:rFonts w:ascii="Arial" w:cs="Arial" w:eastAsia="Arial" w:hAnsi="Arial"/>
                <w:sz w:val="14"/>
                <w:szCs w:val="14"/>
                <w:b w:val="1"/>
                <w:bCs w:val="1"/>
                <w:color w:val="auto"/>
              </w:rPr>
              <w:t>Percentage of Revenues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w:t>
            </w:r>
          </w:p>
        </w:tc>
        <w:tc>
          <w:tcPr>
            <w:tcW w:w="3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1220" w:type="dxa"/>
            <w:vAlign w:val="bottom"/>
            <w:tcBorders>
              <w:top w:val="single" w:sz="8" w:color="auto"/>
            </w:tcBorders>
            <w:vMerge w:val="restart"/>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Period-to-Period</w:t>
            </w:r>
          </w:p>
        </w:tc>
        <w:tc>
          <w:tcPr>
            <w:tcW w:w="146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Change</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3"/>
          </w:tcPr>
          <w:p>
            <w:pPr>
              <w:jc w:val="center"/>
              <w:ind w:left="518"/>
              <w:spacing w:after="0"/>
              <w:rPr>
                <w:sz w:val="20"/>
                <w:szCs w:val="20"/>
                <w:color w:val="auto"/>
              </w:rPr>
            </w:pPr>
            <w:r>
              <w:rPr>
                <w:rFonts w:ascii="Arial" w:cs="Arial" w:eastAsia="Arial" w:hAnsi="Arial"/>
                <w:sz w:val="14"/>
                <w:szCs w:val="14"/>
                <w:b w:val="1"/>
                <w:bCs w:val="1"/>
                <w:color w:val="auto"/>
                <w:w w:val="93"/>
              </w:rPr>
              <w:t>(In thousands)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Applications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264,875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292,457</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(27,582)</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Scores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313,370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244,286</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69,084</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Decision Management Software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65,530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69,732</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643,775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606,475</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37,300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March 31, 2021 Compared to Quarter Ended March 31, 2020</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Applications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Quarter Ended March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Period-to-Period</w:t>
            </w:r>
          </w:p>
        </w:tc>
        <w:tc>
          <w:tcPr>
            <w:tcW w:w="16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67"/>
        </w:trPr>
        <w:tc>
          <w:tcPr>
            <w:tcW w:w="5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Transactional and maintenance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96,687</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27,627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35,134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(7,507)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129,514</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(10,765)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677"/>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Applications segment revenues decreased $10.8 million primarily due to a $7.5 million decrease in services revenue, a $2.2 million decrease in license revenue and a $1.1 million decrease in transactional and maintenance revenue. The decrease in services revenue was primarily due to our recent strategic shift to emphasize software over services. The decrease in license revenue was primarily attributable to the shift in the timing of revenue recognition on our term license subscription sales as a result of changing our practice of selling term licenses with separate license and maintenance components to a single software subscription contract with license and maintenance bundled. The decrease in transactional and maintenance revenue was primarily attributable to a decrease in our fraud solutions revenue, partially offset by an increase in our marketing and compliance solutions revenue.</w:t>
      </w: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Quarter Ended March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Period-to-Period</w:t>
            </w:r>
          </w:p>
        </w:tc>
        <w:tc>
          <w:tcPr>
            <w:tcW w:w="15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67"/>
        </w:trPr>
        <w:tc>
          <w:tcPr>
            <w:tcW w:w="5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580" w:type="dxa"/>
            <w:vAlign w:val="bottom"/>
          </w:tcPr>
          <w:p>
            <w:pPr>
              <w:jc w:val="right"/>
              <w:ind w:right="11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Transactional and maintenance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167,212</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127,610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39,602</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3"/>
        </w:trPr>
        <w:tc>
          <w:tcPr>
            <w:tcW w:w="5080" w:type="dxa"/>
            <w:vAlign w:val="bottom"/>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168,719</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39,571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Scores segment revenues increased $39.6 million due to an increase of $23.8 million in our business-to-business scores revenue and $15.8 million in our business-to-consumer services revenue. The increase in business-to-business scores revenue was primarily attributable to a higher unit price in insurance and auto resellers, as well as an increase in auto and mortgage volumes during the quarter ended March 31, 2021. The increase in business-to-consumer services revenue was attributable to an increase in both royalties derived from direct sales generated from the myFICO.com website and scores sold indirectly to consumers through credit reporting agencies.</w:t>
      </w:r>
    </w:p>
    <w:p>
      <w:pPr>
        <w:spacing w:after="0" w:line="13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Revenues generated from our agreements with Experian, TransUnion, and Equifax accounted for 16%, 13% and 10%, respectively, of our total revenues for the quarter ended March 31, 2021. Revenues generated from our agreements with Experian, TransUnion, and Equifax accounted for 16%, 10% and 8%, respectively, of our total revenues for the quarter ended March 31, 2020. Revenues from these customers included amounts recorded in our other segments.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Decision Management Software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Quarter Ended March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Period-to-Period</w:t>
            </w:r>
          </w:p>
        </w:tc>
        <w:tc>
          <w:tcPr>
            <w:tcW w:w="15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67"/>
        </w:trPr>
        <w:tc>
          <w:tcPr>
            <w:tcW w:w="5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580" w:type="dxa"/>
            <w:vAlign w:val="bottom"/>
          </w:tcPr>
          <w:p>
            <w:pPr>
              <w:jc w:val="right"/>
              <w:ind w:right="11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Transactional and maintenance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center"/>
              <w:ind w:left="618"/>
              <w:spacing w:after="0"/>
              <w:rPr>
                <w:sz w:val="20"/>
                <w:szCs w:val="20"/>
                <w:color w:val="auto"/>
              </w:rPr>
            </w:pPr>
            <w:r>
              <w:rPr>
                <w:rFonts w:ascii="Arial" w:cs="Arial" w:eastAsia="Arial" w:hAnsi="Arial"/>
                <w:sz w:val="18"/>
                <w:szCs w:val="18"/>
                <w:color w:val="auto"/>
                <w:w w:val="88"/>
              </w:rPr>
              <w:t>1,717</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center"/>
              <w:ind w:left="598"/>
              <w:spacing w:after="0"/>
              <w:rPr>
                <w:sz w:val="20"/>
                <w:szCs w:val="20"/>
                <w:color w:val="auto"/>
              </w:rPr>
            </w:pPr>
            <w:r>
              <w:rPr>
                <w:rFonts w:ascii="Arial" w:cs="Arial" w:eastAsia="Arial" w:hAnsi="Arial"/>
                <w:sz w:val="18"/>
                <w:szCs w:val="18"/>
                <w:color w:val="auto"/>
                <w:w w:val="94"/>
              </w:rPr>
              <w:t>(2,488)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598"/>
              <w:spacing w:after="0"/>
              <w:rPr>
                <w:sz w:val="20"/>
                <w:szCs w:val="20"/>
                <w:color w:val="auto"/>
              </w:rPr>
            </w:pPr>
            <w:r>
              <w:rPr>
                <w:rFonts w:ascii="Arial" w:cs="Arial" w:eastAsia="Arial" w:hAnsi="Arial"/>
                <w:sz w:val="18"/>
                <w:szCs w:val="18"/>
                <w:color w:val="auto"/>
                <w:w w:val="94"/>
              </w:rPr>
              <w:t>(4,645)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5100" w:type="dxa"/>
            <w:vAlign w:val="bottom"/>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center"/>
              <w:ind w:left="598"/>
              <w:spacing w:after="0"/>
              <w:rPr>
                <w:sz w:val="20"/>
                <w:szCs w:val="20"/>
                <w:color w:val="auto"/>
              </w:rPr>
            </w:pPr>
            <w:r>
              <w:rPr>
                <w:rFonts w:ascii="Arial" w:cs="Arial" w:eastAsia="Arial" w:hAnsi="Arial"/>
                <w:sz w:val="18"/>
                <w:szCs w:val="18"/>
                <w:color w:val="auto"/>
                <w:w w:val="94"/>
              </w:rPr>
              <w:t>(5,416)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Decision Management Software segment revenues decreased $5.4 million primarily due to a $4.6 million decrease in license revenue and a $2.5 million decrease in services revenue, partially offset by a $1.7 million increase in transactional and maintenance revenue. The decrease in license revenue was primarily attributable to the shift in the timing of revenue recognition on our term license subscription sales as a result of changing our practice of selling term licenses with separate license and maintenance components to a single software subscription contract with license and maintenance bundled. The decrease in services revenue was primarily due to our recent strategic shift to emphasize software over services. The increase in transactional and maintenance revenue was primarily attributable to an increase in SaaS subscription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March 31, 2021 Compared to Six Months Ended March 31, 2020</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Applications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Six Months Ended March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Period-to-Period</w:t>
            </w:r>
          </w:p>
        </w:tc>
        <w:tc>
          <w:tcPr>
            <w:tcW w:w="15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67"/>
        </w:trPr>
        <w:tc>
          <w:tcPr>
            <w:tcW w:w="5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580" w:type="dxa"/>
            <w:vAlign w:val="bottom"/>
          </w:tcPr>
          <w:p>
            <w:pPr>
              <w:jc w:val="right"/>
              <w:ind w:right="11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Transactional and maintenance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194,418</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196,626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58,232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(10,925)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5080" w:type="dxa"/>
            <w:vAlign w:val="bottom"/>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264,875</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(27,582)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Applications segment revenues decreased $27.6 million primarily due to a $14.4 million decrease in license revenue, a $10.9 million decrease in services revenue, and a $2.2 million decrease in transactional and maintenance revenue. The decrease in license revenue was primarily attributable to the shift in the timing of revenue recognition on our term license subscription sales as a result of changing our practice of selling term licenses with separate license and maintenance components to a single software subscription contract with license and maintenance bundled, as well as a decrease in the number and size of term license deals signed or renewed during the six months ended March 31, 2021, mainly in our fraud solutions. The decrease in services revenue was primarily due to our recent strategic shift to emphasize software over services. The decrease in transactional and maintenance revenue was primarily attributable to a decrease in our fraud solutions, partially offset by an increase in our compliance and marketing solutions.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Six Months Ended March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Period-to-Period</w:t>
            </w:r>
          </w:p>
        </w:tc>
        <w:tc>
          <w:tcPr>
            <w:tcW w:w="15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67"/>
        </w:trPr>
        <w:tc>
          <w:tcPr>
            <w:tcW w:w="5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580" w:type="dxa"/>
            <w:vAlign w:val="bottom"/>
          </w:tcPr>
          <w:p>
            <w:pPr>
              <w:jc w:val="right"/>
              <w:ind w:right="11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Transactional and maintenance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305,802</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235,056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70,746</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080" w:type="dxa"/>
            <w:vAlign w:val="bottom"/>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313,370</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69,084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Scores segment revenues increased $69.1 million due to an increase of $40.6 million in our business-to-business scores revenue and $28.5 million in our business-to-consumer services revenue. The increase in business-to-business scores revenue was primarily attributable to a higher unit price in auto, unsecured originations and insurance, and an increase in mortgage and auto volumes, partially offset by a decrease in unsecured originations volume. The increase in business-to-consumer services revenue was attributable to an increase in both royalties derived from scores sold indirectly to consumers through credit reporting agencies and direct sales generated from the myFICO.com website.</w:t>
      </w:r>
    </w:p>
    <w:p>
      <w:pPr>
        <w:spacing w:after="0" w:line="12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Revenues generated from our agreements with Experian, TransUnion, and Equifax accounted for 15%, 12% and 10%, respectively, of our total revenues for the six months ended March 31, 2021. Revenues generated from our agreements with Experian, TransUnion, and Equifax accounted for 14%, 10% and 7%, respectively, of our total revenues for the six months ended March 31, 2020. Revenues from these customers included amounts recorded in our other segments.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Decision Management Software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March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Period-to-Period</w:t>
            </w:r>
          </w:p>
        </w:tc>
        <w:tc>
          <w:tcPr>
            <w:tcW w:w="15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67"/>
        </w:trPr>
        <w:tc>
          <w:tcPr>
            <w:tcW w:w="5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580" w:type="dxa"/>
            <w:vAlign w:val="bottom"/>
          </w:tcPr>
          <w:p>
            <w:pPr>
              <w:jc w:val="right"/>
              <w:ind w:right="11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Transactional and maintenance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center"/>
              <w:ind w:left="618"/>
              <w:spacing w:after="0"/>
              <w:rPr>
                <w:sz w:val="20"/>
                <w:szCs w:val="20"/>
                <w:color w:val="auto"/>
              </w:rPr>
            </w:pPr>
            <w:r>
              <w:rPr>
                <w:rFonts w:ascii="Arial" w:cs="Arial" w:eastAsia="Arial" w:hAnsi="Arial"/>
                <w:sz w:val="18"/>
                <w:szCs w:val="18"/>
                <w:color w:val="auto"/>
                <w:w w:val="88"/>
              </w:rPr>
              <w:t>3,455</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20,167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center"/>
              <w:ind w:left="598"/>
              <w:spacing w:after="0"/>
              <w:rPr>
                <w:sz w:val="20"/>
                <w:szCs w:val="20"/>
                <w:color w:val="auto"/>
              </w:rPr>
            </w:pPr>
            <w:r>
              <w:rPr>
                <w:rFonts w:ascii="Arial" w:cs="Arial" w:eastAsia="Arial" w:hAnsi="Arial"/>
                <w:sz w:val="18"/>
                <w:szCs w:val="18"/>
                <w:color w:val="auto"/>
                <w:w w:val="94"/>
              </w:rPr>
              <w:t>(1,523)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598"/>
              <w:spacing w:after="0"/>
              <w:rPr>
                <w:sz w:val="20"/>
                <w:szCs w:val="20"/>
                <w:color w:val="auto"/>
              </w:rPr>
            </w:pPr>
            <w:r>
              <w:rPr>
                <w:rFonts w:ascii="Arial" w:cs="Arial" w:eastAsia="Arial" w:hAnsi="Arial"/>
                <w:sz w:val="18"/>
                <w:szCs w:val="18"/>
                <w:color w:val="auto"/>
                <w:w w:val="94"/>
              </w:rPr>
              <w:t>(6,134)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5100" w:type="dxa"/>
            <w:vAlign w:val="bottom"/>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65,530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center"/>
              <w:ind w:left="598"/>
              <w:spacing w:after="0"/>
              <w:rPr>
                <w:sz w:val="20"/>
                <w:szCs w:val="20"/>
                <w:color w:val="auto"/>
              </w:rPr>
            </w:pPr>
            <w:r>
              <w:rPr>
                <w:rFonts w:ascii="Arial" w:cs="Arial" w:eastAsia="Arial" w:hAnsi="Arial"/>
                <w:sz w:val="18"/>
                <w:szCs w:val="18"/>
                <w:color w:val="auto"/>
                <w:w w:val="94"/>
              </w:rPr>
              <w:t>(4,202)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Decision Management Software segment revenues decreased $4.2 million primarily due to a $6.1 million decrease in license revenue, and a $1.5 million decrease in services revenue, partially offset by a $3.5 million increase in transactional and maintenance revenue. The decrease in license revenue was primarily attributable to the shift in the timing of revenue recognition on our term license subscription sales as a result of changing our practice of selling term licenses with separate license and maintenance components to a single software subscription contract with license and maintenance bundled. The decrease in services revenue was primarily due to our recent strategic shift to emphasize software over services. The increase in transactional and maintenance revenue was primarily attributable to an increase in SaaS subscription revenue.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Income / Expenses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tables set forth certain summary information related to our condensed consolidated statements of income and comprehensive income for the quarters and six-month periods ended March 31, 2021 and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6"/>
              </w:rPr>
              <w:t>Quarter Ended March 31,</w:t>
            </w:r>
          </w:p>
        </w:tc>
        <w:tc>
          <w:tcPr>
            <w:tcW w:w="30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Percentage of Revenues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41"/>
        </w:trPr>
        <w:tc>
          <w:tcPr>
            <w:tcW w:w="25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Period-to-Period</w:t>
            </w:r>
          </w:p>
        </w:tc>
        <w:tc>
          <w:tcPr>
            <w:tcW w:w="13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13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3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36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Change</w:t>
            </w:r>
          </w:p>
        </w:tc>
        <w:tc>
          <w:tcPr>
            <w:tcW w:w="13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Percentage Change</w:t>
            </w:r>
          </w:p>
        </w:tc>
        <w:tc>
          <w:tcPr>
            <w:tcW w:w="0" w:type="dxa"/>
            <w:vAlign w:val="bottom"/>
          </w:tcPr>
          <w:p>
            <w:pPr>
              <w:spacing w:after="0"/>
              <w:rPr>
                <w:sz w:val="1"/>
                <w:szCs w:val="1"/>
                <w:color w:val="auto"/>
              </w:rPr>
            </w:pPr>
          </w:p>
        </w:tc>
      </w:tr>
      <w:tr>
        <w:trPr>
          <w:trHeight w:val="130"/>
        </w:trPr>
        <w:tc>
          <w:tcPr>
            <w:tcW w:w="25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60" w:type="dxa"/>
            <w:vAlign w:val="bottom"/>
            <w:tcBorders>
              <w:top w:val="single" w:sz="8" w:color="auto"/>
            </w:tcBorders>
            <w:gridSpan w:val="4"/>
          </w:tcPr>
          <w:p>
            <w:pPr>
              <w:jc w:val="center"/>
              <w:ind w:right="231"/>
              <w:spacing w:after="0" w:line="130" w:lineRule="exact"/>
              <w:rPr>
                <w:sz w:val="20"/>
                <w:szCs w:val="20"/>
                <w:color w:val="auto"/>
              </w:rPr>
            </w:pPr>
            <w:r>
              <w:rPr>
                <w:rFonts w:ascii="Arial" w:cs="Arial" w:eastAsia="Arial" w:hAnsi="Arial"/>
                <w:sz w:val="14"/>
                <w:szCs w:val="14"/>
                <w:b w:val="1"/>
                <w:bCs w:val="1"/>
                <w:color w:val="auto"/>
                <w:w w:val="90"/>
              </w:rPr>
              <w:t>(In thousands, except</w:t>
            </w:r>
          </w:p>
        </w:tc>
        <w:tc>
          <w:tcPr>
            <w:tcW w:w="12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54"/>
              <w:spacing w:after="0" w:line="130"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center"/>
              <w:ind w:left="534"/>
              <w:spacing w:after="0"/>
              <w:rPr>
                <w:sz w:val="20"/>
                <w:szCs w:val="20"/>
                <w:color w:val="auto"/>
              </w:rPr>
            </w:pPr>
            <w:r>
              <w:rPr>
                <w:rFonts w:ascii="Arial" w:cs="Arial" w:eastAsia="Arial" w:hAnsi="Arial"/>
                <w:sz w:val="14"/>
                <w:szCs w:val="14"/>
                <w:b w:val="1"/>
                <w:bCs w:val="1"/>
                <w:color w:val="auto"/>
                <w:w w:val="88"/>
              </w:rPr>
              <w:t>employees)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except employees)</w:t>
            </w: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331,361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307,971</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100 %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23,390</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88,139</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360"/>
              <w:spacing w:after="0"/>
              <w:rPr>
                <w:sz w:val="20"/>
                <w:szCs w:val="20"/>
                <w:color w:val="auto"/>
              </w:rPr>
            </w:pPr>
            <w:r>
              <w:rPr>
                <w:rFonts w:ascii="Arial" w:cs="Arial" w:eastAsia="Arial" w:hAnsi="Arial"/>
                <w:sz w:val="18"/>
                <w:szCs w:val="18"/>
                <w:color w:val="auto"/>
                <w:w w:val="96"/>
              </w:rPr>
              <w:t>Research and development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43,612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39,439</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4,173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5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Selling, general and</w:t>
            </w: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97,272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103,465</w:t>
            </w: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w:t>
            </w:r>
          </w:p>
        </w:tc>
        <w:tc>
          <w:tcPr>
            <w:tcW w:w="3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360"/>
              <w:spacing w:after="0" w:line="176" w:lineRule="exact"/>
              <w:rPr>
                <w:sz w:val="20"/>
                <w:szCs w:val="20"/>
                <w:color w:val="auto"/>
              </w:rPr>
            </w:pPr>
            <w:r>
              <w:rPr>
                <w:rFonts w:ascii="Arial" w:cs="Arial" w:eastAsia="Arial" w:hAnsi="Arial"/>
                <w:sz w:val="18"/>
                <w:szCs w:val="18"/>
                <w:color w:val="auto"/>
              </w:rPr>
              <w:t>Amortization of intangible</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15"/>
                <w:szCs w:val="15"/>
                <w:color w:val="auto"/>
              </w:rPr>
            </w:pPr>
          </w:p>
        </w:tc>
        <w:tc>
          <w:tcPr>
            <w:tcW w:w="14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 %</w:t>
            </w:r>
          </w:p>
        </w:tc>
        <w:tc>
          <w:tcPr>
            <w:tcW w:w="160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 %</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36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230,162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232,245</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101,199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75,726</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25,473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91,824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62,464</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29,360</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4,176</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18,974</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58,288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5"/>
              </w:rPr>
              <w:t>Number of employees at quarter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3,953</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4,029</w:t>
            </w: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end</w:t>
            </w:r>
          </w:p>
        </w:tc>
        <w:tc>
          <w:tcPr>
            <w:tcW w:w="3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9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March 31,</w:t>
            </w:r>
          </w:p>
        </w:tc>
        <w:tc>
          <w:tcPr>
            <w:tcW w:w="23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Percentage of Revenues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115"/>
        </w:trPr>
        <w:tc>
          <w:tcPr>
            <w:tcW w:w="25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vMerge w:val="restart"/>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460" w:type="dxa"/>
            <w:vAlign w:val="bottom"/>
            <w:tcBorders>
              <w:top w:val="single" w:sz="8" w:color="auto"/>
            </w:tcBorders>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15" w:lineRule="exact"/>
              <w:rPr>
                <w:sz w:val="20"/>
                <w:szCs w:val="20"/>
                <w:color w:val="auto"/>
              </w:rPr>
            </w:pPr>
            <w:r>
              <w:rPr>
                <w:rFonts w:ascii="Arial" w:cs="Arial" w:eastAsia="Arial" w:hAnsi="Arial"/>
                <w:sz w:val="13"/>
                <w:szCs w:val="13"/>
                <w:b w:val="1"/>
                <w:bCs w:val="1"/>
                <w:color w:val="auto"/>
              </w:rPr>
              <w:t>Period-to-Period</w:t>
            </w:r>
          </w:p>
        </w:tc>
        <w:tc>
          <w:tcPr>
            <w:tcW w:w="130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8"/>
              </w:rPr>
              <w:t>Period</w:t>
            </w:r>
          </w:p>
        </w:tc>
        <w:tc>
          <w:tcPr>
            <w:tcW w:w="0" w:type="dxa"/>
            <w:vAlign w:val="bottom"/>
          </w:tcPr>
          <w:p>
            <w:pPr>
              <w:spacing w:after="0"/>
              <w:rPr>
                <w:sz w:val="1"/>
                <w:szCs w:val="1"/>
                <w:color w:val="auto"/>
              </w:rPr>
            </w:pPr>
          </w:p>
        </w:tc>
      </w:tr>
      <w:tr>
        <w:trPr>
          <w:trHeight w:val="188"/>
        </w:trPr>
        <w:tc>
          <w:tcPr>
            <w:tcW w:w="2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Percentage Change</w:t>
            </w:r>
          </w:p>
        </w:tc>
        <w:tc>
          <w:tcPr>
            <w:tcW w:w="0" w:type="dxa"/>
            <w:vAlign w:val="bottom"/>
          </w:tcPr>
          <w:p>
            <w:pPr>
              <w:spacing w:after="0"/>
              <w:rPr>
                <w:sz w:val="1"/>
                <w:szCs w:val="1"/>
                <w:color w:val="auto"/>
              </w:rPr>
            </w:pPr>
          </w:p>
        </w:tc>
      </w:tr>
      <w:tr>
        <w:trPr>
          <w:trHeight w:val="181"/>
        </w:trPr>
        <w:tc>
          <w:tcPr>
            <w:tcW w:w="25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520" w:type="dxa"/>
            <w:vAlign w:val="bottom"/>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643,775</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606,475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100 %  $</w:t>
            </w:r>
          </w:p>
        </w:tc>
        <w:tc>
          <w:tcPr>
            <w:tcW w:w="1300" w:type="dxa"/>
            <w:vAlign w:val="bottom"/>
          </w:tcPr>
          <w:p>
            <w:pPr>
              <w:jc w:val="right"/>
              <w:spacing w:after="0"/>
              <w:rPr>
                <w:sz w:val="20"/>
                <w:szCs w:val="20"/>
                <w:color w:val="auto"/>
              </w:rPr>
            </w:pPr>
            <w:r>
              <w:rPr>
                <w:rFonts w:ascii="Arial" w:cs="Arial" w:eastAsia="Arial" w:hAnsi="Arial"/>
                <w:sz w:val="18"/>
                <w:szCs w:val="18"/>
                <w:color w:val="auto"/>
              </w:rPr>
              <w:t>37,300</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tcPr>
          <w:p>
            <w:pPr>
              <w:ind w:left="360"/>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177,861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178,897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Research and development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175"/>
        </w:trPr>
        <w:tc>
          <w:tcPr>
            <w:tcW w:w="2520" w:type="dxa"/>
            <w:vAlign w:val="bottom"/>
          </w:tcPr>
          <w:p>
            <w:pPr>
              <w:ind w:left="360"/>
              <w:spacing w:after="0" w:line="176" w:lineRule="exact"/>
              <w:rPr>
                <w:sz w:val="20"/>
                <w:szCs w:val="20"/>
                <w:color w:val="auto"/>
              </w:rPr>
            </w:pPr>
            <w:r>
              <w:rPr>
                <w:rFonts w:ascii="Arial" w:cs="Arial" w:eastAsia="Arial" w:hAnsi="Arial"/>
                <w:sz w:val="18"/>
                <w:szCs w:val="18"/>
                <w:color w:val="auto"/>
              </w:rPr>
              <w:t>Selling, general and</w:t>
            </w: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191,183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215,486</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(24,303)</w:t>
            </w: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520" w:type="dxa"/>
            <w:vAlign w:val="bottom"/>
          </w:tcPr>
          <w:p>
            <w:pPr>
              <w:ind w:left="36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Amortization of intangible</w:t>
            </w: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60" w:type="dxa"/>
            <w:vAlign w:val="bottom"/>
            <w:gridSpan w:val="3"/>
            <w:vMerge w:val="restart"/>
            <w:shd w:val="clear" w:color="auto" w:fill="CCEEFF"/>
          </w:tcPr>
          <w:p>
            <w:pPr>
              <w:jc w:val="right"/>
              <w:ind w:right="960"/>
              <w:spacing w:after="0"/>
              <w:rPr>
                <w:sz w:val="20"/>
                <w:szCs w:val="20"/>
                <w:color w:val="auto"/>
              </w:rPr>
            </w:pPr>
            <w:r>
              <w:rPr>
                <w:rFonts w:ascii="Arial" w:cs="Arial" w:eastAsia="Arial" w:hAnsi="Arial"/>
                <w:sz w:val="18"/>
                <w:szCs w:val="18"/>
                <w:color w:val="auto"/>
              </w:rPr>
              <w:t>— %</w:t>
            </w:r>
          </w:p>
        </w:tc>
        <w:tc>
          <w:tcPr>
            <w:tcW w:w="7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60" w:type="dxa"/>
            <w:vAlign w:val="bottom"/>
            <w:gridSpan w:val="3"/>
            <w:vMerge w:val="continue"/>
            <w:shd w:val="clear" w:color="auto" w:fill="CCEEFF"/>
          </w:tcPr>
          <w:p>
            <w:pPr>
              <w:spacing w:after="0"/>
              <w:rPr>
                <w:sz w:val="19"/>
                <w:szCs w:val="19"/>
                <w:color w:val="auto"/>
              </w:rPr>
            </w:pPr>
          </w:p>
        </w:tc>
        <w:tc>
          <w:tcPr>
            <w:tcW w:w="780" w:type="dxa"/>
            <w:vAlign w:val="bottom"/>
            <w:gridSpan w:val="3"/>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20" w:type="dxa"/>
            <w:vAlign w:val="bottom"/>
          </w:tcPr>
          <w:p>
            <w:pPr>
              <w:ind w:left="360"/>
              <w:spacing w:after="0" w:line="176" w:lineRule="exact"/>
              <w:rPr>
                <w:sz w:val="20"/>
                <w:szCs w:val="20"/>
                <w:color w:val="auto"/>
              </w:rPr>
            </w:pPr>
            <w:r>
              <w:rPr>
                <w:rFonts w:ascii="Arial" w:cs="Arial" w:eastAsia="Arial" w:hAnsi="Arial"/>
                <w:sz w:val="18"/>
                <w:szCs w:val="18"/>
                <w:color w:val="auto"/>
              </w:rPr>
              <w:t>Restructuring and</w:t>
            </w:r>
          </w:p>
        </w:tc>
        <w:tc>
          <w:tcPr>
            <w:tcW w:w="30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60" w:type="dxa"/>
            <w:vAlign w:val="bottom"/>
            <w:gridSpan w:val="3"/>
            <w:vMerge w:val="restart"/>
          </w:tcPr>
          <w:p>
            <w:pPr>
              <w:jc w:val="right"/>
              <w:ind w:right="960"/>
              <w:spacing w:after="0"/>
              <w:rPr>
                <w:sz w:val="20"/>
                <w:szCs w:val="20"/>
                <w:color w:val="auto"/>
              </w:rPr>
            </w:pPr>
            <w:r>
              <w:rPr>
                <w:rFonts w:ascii="Arial" w:cs="Arial" w:eastAsia="Arial" w:hAnsi="Arial"/>
                <w:sz w:val="18"/>
                <w:szCs w:val="18"/>
                <w:color w:val="auto"/>
              </w:rPr>
              <w:t>— %</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520" w:type="dxa"/>
            <w:vAlign w:val="bottom"/>
          </w:tcPr>
          <w:p>
            <w:pPr>
              <w:ind w:left="360"/>
              <w:spacing w:after="0"/>
              <w:rPr>
                <w:sz w:val="20"/>
                <w:szCs w:val="20"/>
                <w:color w:val="auto"/>
              </w:rPr>
            </w:pPr>
            <w:r>
              <w:rPr>
                <w:rFonts w:ascii="Arial" w:cs="Arial" w:eastAsia="Arial" w:hAnsi="Arial"/>
                <w:sz w:val="18"/>
                <w:szCs w:val="18"/>
                <w:color w:val="auto"/>
              </w:rPr>
              <w:t>impairment charges</w:t>
            </w:r>
          </w:p>
        </w:tc>
        <w:tc>
          <w:tcPr>
            <w:tcW w:w="3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7"/>
              </w:rPr>
              <w:t>Gain on sale of product line</w:t>
            </w: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8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gridSpan w:val="3"/>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447,855</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478,867</w:t>
            </w:r>
          </w:p>
        </w:tc>
        <w:tc>
          <w:tcPr>
            <w:tcW w:w="10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(31,012)</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127,608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(21,022)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3"/>
        </w:trPr>
        <w:tc>
          <w:tcPr>
            <w:tcW w:w="25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179,784</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104,359</w:t>
            </w: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75,425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3"/>
        </w:trPr>
        <w:tc>
          <w:tcPr>
            <w:tcW w:w="2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155,166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113,209</w:t>
            </w: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41,957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5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Cost of revenues consists primarily of employee salaries and benefits for personnel directly involved in delivering software products, operating SaaS infrastructure, and providing support, implementation and consulting services; allocated overhead, facilities and data center costs; software royalty fees; credit bureau data and processing services; third-party hosting fees related to our SaaS services; travel costs; and outside services.</w:t>
      </w:r>
    </w:p>
    <w:p>
      <w:pPr>
        <w:spacing w:after="0" w:line="11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quarter-over-prior year quarter increase in cost of revenues of $0.2 million was primarily attributable to a $1.6 million increase in direct materials primarily driven by increased third-party data costs related to increased Scores revenue, partially offset by a $1.5 million decrease in travel activity due to COVID-19. Cost of revenues as a percentage of revenues decreased to 27% during the quarter ended March 31, 2021 from 29% during the quarter ended March 31, 2020 primarily due to increased sales of our higher-margin Scores products.</w:t>
      </w:r>
    </w:p>
    <w:p>
      <w:pPr>
        <w:spacing w:after="0" w:line="133"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year-to-date period over period decrease in cost of revenues of $1.0 million was primarily attributable to a $3.6 million decrease in travel activity due to COVID-19, partially offset by a $2.9 million increase in direct materials primarily driven by increased third-party data costs related to increased Scores revenue. Cost of revenues as a percentage of revenues decreased to 28% during the six months ended March 31, 2021 from 29% during the six months ended March 31, 2020, primarily due to increased sales of our higher-margin Scores products.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Research and development expenses include personnel and related overhead costs incurred in the development of new products and services, including research of mathematical and statistical models and development of new versions of Applications and Decision Management Software products.</w:t>
      </w:r>
    </w:p>
    <w:p>
      <w:pPr>
        <w:spacing w:after="0" w:line="70"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The quarter-over-prior year quarter increase in research and development expenses of $4.2 million was primarily attributable to an increase in labor and personnel costs as a result of increased headcount and increased fringe benefit costs related to our supplemental retirement and savings plan. Research and development expenses as a percentage of revenues was 13% during each of the quarters ended March 31, 2021 and March 31, 2020.</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The year-to-date period over period increase in research and development expenses of $5.9 million was primarily attributable to an increase in labor and personnel costs as a result of increased headcount and increased fringe benefit costs related to our supplemental retirement and savings plan. Research and development expenses as a percentage of revenues was 13% during each of the six months ended March 31, 2021 and March 31, 2020.</w:t>
      </w:r>
    </w:p>
    <w:p>
      <w:pPr>
        <w:spacing w:after="0" w:line="2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Selling, general and administrative expenses consist principally of employee salaries, commissions and benefits; travel costs; overhead costs; advertising and other promotional expenses; corporate facilities expenses; legal expenses; business development expenses; and the cost of operating computer systems.</w:t>
      </w:r>
    </w:p>
    <w:p>
      <w:pPr>
        <w:spacing w:after="0" w:line="13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quarter-over-prior year quarter decrease in selling, general and administrative expenses of $6.2 million was primarily attributable to a $2.7 million decrease in travel activity, a $2.1 million decrease in non-capitalizable commission cost, and a $2.1 million decrease in bad debt expense attributable to estimated losses for customers and industries most impacted by COVID-19 during the second quarter of our fiscal 2020. Selling, general and administrative expenses as a percentage of revenues decreased to 29% during the quarter ended March 31, 2021 from 33% during the quarter ended March 31, 2020.</w:t>
      </w:r>
    </w:p>
    <w:p>
      <w:pPr>
        <w:spacing w:after="0" w:line="13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year-to-date period over period decrease in selling, general and administrative expenses of $24.3 million was primarily attributable to a $7.6 million decrease in travel activity, a $4.5 million decrease in marketing costs primarily driven by a company-wide marketing event held during the first quarter of our fiscal 2020, a $4.7 million decrease in non-capitalizable commission cost, and a $2.1 million decrease in bad debt expense attributable to estimated losses for customers and industries most impacted by COVID-19 during the second quarter of our fiscal 2020. Selling, general and administrative expenses as a percentage of revenues decreased to 30% during the six months ended March 31, 2021 from 36% during the six months ended March 31, 2020.</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Amortization of intangible assets consists of amortization expense related to intangible assets recorded in connection with acquisitions accounted for by the acquisition method of accounting. Our finite-lived intangible assets, consisting primarily of completed technology and customer contracts and relationships, are being amortized using the straight-line method over periods ranging from four to fifteen years.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expense was $0.9 million during the quarter ended March 31, 2021 compared to $1.2 million during the quarter ended March 31, 2020.</w:t>
      </w:r>
    </w:p>
    <w:p>
      <w:pPr>
        <w:spacing w:after="0" w:line="248"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Amortization expense was $1.9 million during the six months ended March 31, 2021 compared to $3.0 million during the six months ended March 31, 2020. The decrease was primarily attributable to certain assets associated with our Tonbeller acquisition becoming fully amortized in January 2020.</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Restructuring and Impairment Charges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restructuring expenses during the quarter and six months ended March 31, 2021.</w:t>
      </w:r>
    </w:p>
    <w:p>
      <w:pPr>
        <w:spacing w:after="0" w:line="1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There were no restructuring expenses during the quarter ended March 31, 2020. During the six months ended March 31, 2020, we incurred employee separation costs of $3.1 million due to the elimination of 69 positions throughout the Company. Cash payments for all the employee separation costs were paid during fiscal 2020.</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 on Sale of Product Line Assets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$7.3 million gain on the sale of product line assets during the six months ended March 31, 2021 was attributable to the sale of all assets related to our cyber risk score operations in October 2020; and the sale of certain assets related to our Applications and Decision Management Software operations to an affiliated joint venture in China in December 2020.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Interest expense includes interest on the senior notes issued in December 2019, May 2018, and July 2010 (which July 2010 senior notes were paid in full at maturity in July 2020), as well as interest and credit facility fees on the revolving line of credit. Our condensed consolidated statements of income and comprehensive income include interest expense netted with interest income, which is derived primarily from the investment of funds in excess of our immediate operating requirements.</w:t>
      </w:r>
    </w:p>
    <w:p>
      <w:pPr>
        <w:spacing w:after="0" w:line="13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quarter-over-prior year quarter decrease in interest expense of $1.3 million was primarily attributable to a lower average outstanding debt balance during the quarter ended March 31, 2021.</w:t>
      </w:r>
    </w:p>
    <w:p>
      <w:pPr>
        <w:spacing w:after="0" w:line="11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year-to-date period over period decrease in interest expense of $1.4 million was primarily attributable to a lower average outstanding debt balance during the six months ended March 31, 2021.</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Other income (expense), net consists primarily of realized investment gains/losses, exchange rate gains/losses resulting from remeasurement of foreign-currency-denominated receivable and cash balances into their respective functional currencies at period-end market rates, net of the impact of offsetting foreign currency forward contracts and other non-operating items.</w:t>
      </w:r>
    </w:p>
    <w:p>
      <w:pPr>
        <w:spacing w:after="0" w:line="13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quarter-over-prior year quarter increase in other income (expense), net of $2.6 million was primarily attributable to an increase in net unrealized gains on our supplemental retirement and savings plan, partially offset by an increase in foreign currency exchange losses.</w:t>
      </w:r>
    </w:p>
    <w:p>
      <w:pPr>
        <w:spacing w:after="0" w:line="11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year-to-date period over period increase in other income (expense), net of $5.7 million was primarily attributable to an increase in net unrealized gains on our supplemental retirement and savings plan during the six months ended March 31, 2021.</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117"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The effective income tax rates were 25.2% and 6.7% during the quarters ended March 31, 2021 and 2020, respectively, and 13.7% and (8.5)% during the six months ended March 31, 2021 and 2020,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spacing w:after="0" w:line="134"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The effective tax rates for the six months ended March 31, 2021 and 2020 were both impacted by the recording of excess tax benefits relating to stock awards. In addition, stock exercises during the quarter and six months ended March 31, 2020 resulted in an additional increase in excess benefits.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tables set forth certain summary information on a segment basis related to our operating income (loss) for the quarters and six-month periods ended March 31, 2021 and 2020:</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rPr>
              <w:t>Quarter Ended March 31,</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Period-to-Period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Segment</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Change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Applications</w:t>
            </w: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27,372</w:t>
            </w:r>
          </w:p>
        </w:tc>
        <w:tc>
          <w:tcPr>
            <w:tcW w:w="1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28,823</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Scores</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146,542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113,488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33,054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Decision Management Software</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Corporate expenses</w:t>
            </w:r>
          </w:p>
        </w:tc>
        <w:tc>
          <w:tcPr>
            <w:tcW w:w="4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(33,392)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(33,785)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393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Total segment operating income</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130,350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30,634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00" w:type="dxa"/>
            <w:vAlign w:val="bottom"/>
            <w:gridSpan w:val="5"/>
          </w:tcPr>
          <w:p>
            <w:pPr>
              <w:spacing w:after="0"/>
              <w:rPr>
                <w:sz w:val="20"/>
                <w:szCs w:val="20"/>
                <w:color w:val="auto"/>
              </w:rPr>
            </w:pPr>
            <w:r>
              <w:rPr>
                <w:rFonts w:ascii="Arial" w:cs="Arial" w:eastAsia="Arial" w:hAnsi="Arial"/>
                <w:sz w:val="18"/>
                <w:szCs w:val="18"/>
                <w:color w:val="auto"/>
              </w:rPr>
              <w:t>Unallocated share-based compensation</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(28,206)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(22,788)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(5,418)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9"/>
              </w:rPr>
              <w:t>Unallocated amortization expense</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101,199</w:t>
            </w:r>
          </w:p>
        </w:tc>
        <w:tc>
          <w:tcPr>
            <w:tcW w:w="12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75,726</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25,473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3"/>
              </w:rPr>
              <w:t>Six Months Ended March 31,</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Period-to-Period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Segment</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Change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Applications</w:t>
            </w: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62,874</w:t>
            </w:r>
          </w:p>
        </w:tc>
        <w:tc>
          <w:tcPr>
            <w:tcW w:w="1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64,991</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Scores</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269,567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210,914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58,653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Decision Management Software</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(28,267)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Corporate expenses</w:t>
            </w:r>
          </w:p>
        </w:tc>
        <w:tc>
          <w:tcPr>
            <w:tcW w:w="4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(63,645)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(67,995)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4,350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Total segment operating income</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243,806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179,643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64,163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gridSpan w:val="5"/>
          </w:tcPr>
          <w:p>
            <w:pPr>
              <w:spacing w:after="0"/>
              <w:rPr>
                <w:sz w:val="20"/>
                <w:szCs w:val="20"/>
                <w:color w:val="auto"/>
              </w:rPr>
            </w:pPr>
            <w:r>
              <w:rPr>
                <w:rFonts w:ascii="Arial" w:cs="Arial" w:eastAsia="Arial" w:hAnsi="Arial"/>
                <w:sz w:val="18"/>
                <w:szCs w:val="18"/>
                <w:color w:val="auto"/>
              </w:rPr>
              <w:t>Unallocated share-based compensation</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(53,338)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(45,933)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(7,405)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9"/>
              </w:rPr>
              <w:t>Unallocated amortization expense</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6"/>
          </w:tcPr>
          <w:p>
            <w:pPr>
              <w:spacing w:after="0"/>
              <w:rPr>
                <w:sz w:val="20"/>
                <w:szCs w:val="20"/>
                <w:color w:val="auto"/>
              </w:rPr>
            </w:pPr>
            <w:r>
              <w:rPr>
                <w:rFonts w:ascii="Arial" w:cs="Arial" w:eastAsia="Arial" w:hAnsi="Arial"/>
                <w:sz w:val="18"/>
                <w:szCs w:val="18"/>
                <w:color w:val="auto"/>
                <w:w w:val="92"/>
              </w:rPr>
              <w:t>Unallocated restructuring and impairment charges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3,104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2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9"/>
              </w:rPr>
              <w:t>Unallocated gain on sale of product line assets</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195,920</w:t>
            </w:r>
          </w:p>
        </w:tc>
        <w:tc>
          <w:tcPr>
            <w:tcW w:w="12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127,608</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68,312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Applications</w:t>
            </w: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208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7"/>
              </w:rPr>
              <w:t>Percentage of</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60" w:type="dxa"/>
            <w:vAlign w:val="bottom"/>
            <w:gridSpan w:val="8"/>
          </w:tcPr>
          <w:p>
            <w:pPr>
              <w:jc w:val="right"/>
              <w:ind w:right="108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left="168"/>
              <w:spacing w:after="0"/>
              <w:rPr>
                <w:sz w:val="20"/>
                <w:szCs w:val="20"/>
                <w:color w:val="auto"/>
              </w:rPr>
            </w:pPr>
            <w:r>
              <w:rPr>
                <w:rFonts w:ascii="Arial" w:cs="Arial" w:eastAsia="Arial" w:hAnsi="Arial"/>
                <w:sz w:val="14"/>
                <w:szCs w:val="14"/>
                <w:b w:val="1"/>
                <w:bCs w:val="1"/>
                <w:color w:val="auto"/>
                <w:w w:val="90"/>
              </w:rPr>
              <w:t>Revenues</w:t>
            </w: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40"/>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ind w:right="335"/>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5"/>
                <w:szCs w:val="15"/>
                <w:color w:val="auto"/>
              </w:rPr>
            </w:pPr>
          </w:p>
        </w:tc>
        <w:tc>
          <w:tcPr>
            <w:tcW w:w="94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96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gridSpan w:val="6"/>
          </w:tcPr>
          <w:p>
            <w:pPr>
              <w:jc w:val="right"/>
              <w:ind w:right="67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129,514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140,279</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264,875</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292,457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w w:val="90"/>
              </w:rPr>
              <w:t>Segment operating expense</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(102,142)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8"/>
              </w:rPr>
              <w:t>(111,456)</w:t>
            </w: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5"/>
              </w:rPr>
              <w:t>(202,001)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(227,466)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4"/>
              </w:rPr>
              <w:t>Segment operating income</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gridSpan w:val="2"/>
          </w:tcPr>
          <w:p>
            <w:pPr>
              <w:jc w:val="right"/>
              <w:ind w:right="682"/>
              <w:spacing w:after="0"/>
              <w:rPr>
                <w:sz w:val="20"/>
                <w:szCs w:val="20"/>
                <w:color w:val="auto"/>
              </w:rPr>
            </w:pPr>
            <w:r>
              <w:rPr>
                <w:rFonts w:ascii="Arial" w:cs="Arial" w:eastAsia="Arial" w:hAnsi="Arial"/>
                <w:sz w:val="18"/>
                <w:szCs w:val="18"/>
                <w:color w:val="auto"/>
                <w:w w:val="89"/>
              </w:rPr>
              <w:t>29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Scores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4"/>
          </w:tcPr>
          <w:p>
            <w:pPr>
              <w:ind w:left="420"/>
              <w:spacing w:after="0"/>
              <w:rPr>
                <w:sz w:val="20"/>
                <w:szCs w:val="20"/>
                <w:color w:val="auto"/>
              </w:rPr>
            </w:pPr>
            <w:r>
              <w:rPr>
                <w:rFonts w:ascii="Arial" w:cs="Arial" w:eastAsia="Arial" w:hAnsi="Arial"/>
                <w:sz w:val="14"/>
                <w:szCs w:val="14"/>
                <w:b w:val="1"/>
                <w:bCs w:val="1"/>
                <w:color w:val="auto"/>
                <w:w w:val="96"/>
              </w:rPr>
              <w:t>Quarter Ended</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260" w:type="dxa"/>
            <w:vAlign w:val="bottom"/>
          </w:tcPr>
          <w:p>
            <w:pPr>
              <w:spacing w:after="0"/>
              <w:rPr>
                <w:sz w:val="14"/>
                <w:szCs w:val="14"/>
                <w:color w:val="auto"/>
              </w:rPr>
            </w:pPr>
          </w:p>
        </w:tc>
        <w:tc>
          <w:tcPr>
            <w:tcW w:w="2240" w:type="dxa"/>
            <w:vAlign w:val="bottom"/>
            <w:gridSpan w:val="7"/>
          </w:tcPr>
          <w:p>
            <w:pPr>
              <w:ind w:left="340"/>
              <w:spacing w:after="0"/>
              <w:rPr>
                <w:sz w:val="20"/>
                <w:szCs w:val="20"/>
                <w:color w:val="auto"/>
              </w:rPr>
            </w:pPr>
            <w:r>
              <w:rPr>
                <w:rFonts w:ascii="Arial" w:cs="Arial" w:eastAsia="Arial" w:hAnsi="Arial"/>
                <w:sz w:val="14"/>
                <w:szCs w:val="14"/>
                <w:b w:val="1"/>
                <w:bCs w:val="1"/>
                <w:color w:val="auto"/>
              </w:rPr>
              <w:t>Six Months Ended</w:t>
            </w:r>
          </w:p>
        </w:tc>
        <w:tc>
          <w:tcPr>
            <w:tcW w:w="2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Percentage of</w:t>
            </w:r>
          </w:p>
        </w:tc>
      </w:tr>
      <w:tr>
        <w:trPr>
          <w:trHeight w:val="188"/>
        </w:trPr>
        <w:tc>
          <w:tcPr>
            <w:tcW w:w="2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left="400"/>
              <w:spacing w:after="0"/>
              <w:rPr>
                <w:sz w:val="20"/>
                <w:szCs w:val="20"/>
                <w:color w:val="auto"/>
              </w:rPr>
            </w:pPr>
            <w:r>
              <w:rPr>
                <w:rFonts w:ascii="Arial" w:cs="Arial" w:eastAsia="Arial" w:hAnsi="Arial"/>
                <w:sz w:val="14"/>
                <w:szCs w:val="14"/>
                <w:b w:val="1"/>
                <w:bCs w:val="1"/>
                <w:color w:val="auto"/>
                <w:w w:val="95"/>
              </w:rPr>
              <w:t>March 31,</w:t>
            </w: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Borders>
              <w:bottom w:val="single" w:sz="8" w:color="auto"/>
            </w:tcBorders>
            <w:gridSpan w:val="4"/>
          </w:tcPr>
          <w:p>
            <w:pPr>
              <w:jc w:val="center"/>
              <w:ind w:left="599"/>
              <w:spacing w:after="0"/>
              <w:rPr>
                <w:sz w:val="20"/>
                <w:szCs w:val="20"/>
                <w:color w:val="auto"/>
              </w:rPr>
            </w:pPr>
            <w:r>
              <w:rPr>
                <w:rFonts w:ascii="Arial" w:cs="Arial" w:eastAsia="Arial" w:hAnsi="Arial"/>
                <w:sz w:val="14"/>
                <w:szCs w:val="14"/>
                <w:b w:val="1"/>
                <w:bCs w:val="1"/>
                <w:color w:val="auto"/>
                <w:w w:val="87"/>
              </w:rPr>
              <w:t>Revenues</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00"/>
              <w:spacing w:after="0"/>
              <w:rPr>
                <w:sz w:val="20"/>
                <w:szCs w:val="20"/>
                <w:color w:val="auto"/>
              </w:rPr>
            </w:pPr>
            <w:r>
              <w:rPr>
                <w:rFonts w:ascii="Arial" w:cs="Arial" w:eastAsia="Arial" w:hAnsi="Arial"/>
                <w:sz w:val="14"/>
                <w:szCs w:val="14"/>
                <w:b w:val="1"/>
                <w:bCs w:val="1"/>
                <w:color w:val="auto"/>
                <w:w w:val="99"/>
              </w:rPr>
              <w:t>March 31,</w:t>
            </w: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Borders>
              <w:bottom w:val="single" w:sz="8" w:color="auto"/>
            </w:tcBorders>
            <w:gridSpan w:val="3"/>
          </w:tcPr>
          <w:p>
            <w:pPr>
              <w:jc w:val="center"/>
              <w:ind w:left="599"/>
              <w:spacing w:after="0"/>
              <w:rPr>
                <w:sz w:val="20"/>
                <w:szCs w:val="20"/>
                <w:color w:val="auto"/>
              </w:rPr>
            </w:pPr>
            <w:r>
              <w:rPr>
                <w:rFonts w:ascii="Arial" w:cs="Arial" w:eastAsia="Arial" w:hAnsi="Arial"/>
                <w:sz w:val="14"/>
                <w:szCs w:val="14"/>
                <w:b w:val="1"/>
                <w:bCs w:val="1"/>
                <w:color w:val="auto"/>
                <w:w w:val="90"/>
              </w:rPr>
              <w:t>Revenues</w:t>
            </w:r>
          </w:p>
        </w:tc>
        <w:tc>
          <w:tcPr>
            <w:tcW w:w="680" w:type="dxa"/>
            <w:vAlign w:val="bottom"/>
            <w:tcBorders>
              <w:bottom w:val="single" w:sz="8" w:color="auto"/>
            </w:tcBorders>
          </w:tcPr>
          <w:p>
            <w:pPr>
              <w:spacing w:after="0"/>
              <w:rPr>
                <w:sz w:val="16"/>
                <w:szCs w:val="16"/>
                <w:color w:val="auto"/>
              </w:rPr>
            </w:pPr>
          </w:p>
        </w:tc>
      </w:tr>
      <w:tr>
        <w:trPr>
          <w:trHeight w:val="183"/>
        </w:trPr>
        <w:tc>
          <w:tcPr>
            <w:tcW w:w="2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r>
      <w:tr>
        <w:trPr>
          <w:trHeight w:val="183"/>
        </w:trPr>
        <w:tc>
          <w:tcPr>
            <w:tcW w:w="2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4"/>
          </w:tcPr>
          <w:p>
            <w:pPr>
              <w:jc w:val="center"/>
              <w:ind w:left="400"/>
              <w:spacing w:after="0"/>
              <w:rPr>
                <w:sz w:val="20"/>
                <w:szCs w:val="20"/>
                <w:color w:val="auto"/>
              </w:rPr>
            </w:pPr>
            <w:r>
              <w:rPr>
                <w:rFonts w:ascii="Arial" w:cs="Arial" w:eastAsia="Arial" w:hAnsi="Arial"/>
                <w:sz w:val="14"/>
                <w:szCs w:val="14"/>
                <w:b w:val="1"/>
                <w:bCs w:val="1"/>
                <w:color w:val="auto"/>
                <w:w w:val="93"/>
              </w:rPr>
              <w:t>(In thousands)</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tcPr>
          <w:p>
            <w:pPr>
              <w:jc w:val="center"/>
              <w:ind w:left="400"/>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1"/>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168,719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129,148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313,370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244,286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0"/>
              </w:rPr>
              <w:t>Segment operating expense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(15,660)</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(43,803)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Segment operating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5"/>
              </w:rPr>
              <w:t>146,542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113,488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5"/>
              </w:rPr>
              <w:t>210,914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622"/>
        </w:trPr>
        <w:tc>
          <w:tcPr>
            <w:tcW w:w="3320" w:type="dxa"/>
            <w:vAlign w:val="bottom"/>
            <w:gridSpan w:val="5"/>
          </w:tcPr>
          <w:p>
            <w:pPr>
              <w:ind w:left="220"/>
              <w:spacing w:after="0"/>
              <w:rPr>
                <w:sz w:val="20"/>
                <w:szCs w:val="20"/>
                <w:color w:val="auto"/>
              </w:rPr>
            </w:pPr>
            <w:r>
              <w:rPr>
                <w:rFonts w:ascii="Arial" w:cs="Arial" w:eastAsia="Arial" w:hAnsi="Arial"/>
                <w:sz w:val="18"/>
                <w:szCs w:val="18"/>
                <w:b w:val="1"/>
                <w:bCs w:val="1"/>
                <w:i w:val="1"/>
                <w:iCs w:val="1"/>
                <w:color w:val="auto"/>
              </w:rPr>
              <w:t>Decision Management Software</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86"/>
        </w:trPr>
        <w:tc>
          <w:tcPr>
            <w:tcW w:w="2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4"/>
          </w:tcPr>
          <w:p>
            <w:pPr>
              <w:ind w:left="420"/>
              <w:spacing w:after="0"/>
              <w:rPr>
                <w:sz w:val="20"/>
                <w:szCs w:val="20"/>
                <w:color w:val="auto"/>
              </w:rPr>
            </w:pPr>
            <w:r>
              <w:rPr>
                <w:rFonts w:ascii="Arial" w:cs="Arial" w:eastAsia="Arial" w:hAnsi="Arial"/>
                <w:sz w:val="14"/>
                <w:szCs w:val="14"/>
                <w:b w:val="1"/>
                <w:bCs w:val="1"/>
                <w:color w:val="auto"/>
                <w:w w:val="96"/>
              </w:rPr>
              <w:t>Quarter Ended</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8"/>
              </w:rPr>
              <w:t>Percentage of</w:t>
            </w:r>
          </w:p>
        </w:tc>
        <w:tc>
          <w:tcPr>
            <w:tcW w:w="260" w:type="dxa"/>
            <w:vAlign w:val="bottom"/>
          </w:tcPr>
          <w:p>
            <w:pPr>
              <w:spacing w:after="0"/>
              <w:rPr>
                <w:sz w:val="24"/>
                <w:szCs w:val="24"/>
                <w:color w:val="auto"/>
              </w:rPr>
            </w:pPr>
          </w:p>
        </w:tc>
        <w:tc>
          <w:tcPr>
            <w:tcW w:w="2240" w:type="dxa"/>
            <w:vAlign w:val="bottom"/>
            <w:gridSpan w:val="7"/>
          </w:tcPr>
          <w:p>
            <w:pPr>
              <w:ind w:left="320"/>
              <w:spacing w:after="0"/>
              <w:rPr>
                <w:sz w:val="20"/>
                <w:szCs w:val="20"/>
                <w:color w:val="auto"/>
              </w:rPr>
            </w:pPr>
            <w:r>
              <w:rPr>
                <w:rFonts w:ascii="Arial" w:cs="Arial" w:eastAsia="Arial" w:hAnsi="Arial"/>
                <w:sz w:val="14"/>
                <w:szCs w:val="14"/>
                <w:b w:val="1"/>
                <w:bCs w:val="1"/>
                <w:color w:val="auto"/>
              </w:rPr>
              <w:t>Six Months Ended</w:t>
            </w:r>
          </w:p>
        </w:tc>
        <w:tc>
          <w:tcPr>
            <w:tcW w:w="2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Percentage of</w:t>
            </w:r>
          </w:p>
        </w:tc>
      </w:tr>
      <w:tr>
        <w:trPr>
          <w:trHeight w:val="188"/>
        </w:trPr>
        <w:tc>
          <w:tcPr>
            <w:tcW w:w="2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left="380"/>
              <w:spacing w:after="0"/>
              <w:rPr>
                <w:sz w:val="20"/>
                <w:szCs w:val="20"/>
                <w:color w:val="auto"/>
              </w:rPr>
            </w:pPr>
            <w:r>
              <w:rPr>
                <w:rFonts w:ascii="Arial" w:cs="Arial" w:eastAsia="Arial" w:hAnsi="Arial"/>
                <w:sz w:val="14"/>
                <w:szCs w:val="14"/>
                <w:b w:val="1"/>
                <w:bCs w:val="1"/>
                <w:color w:val="auto"/>
                <w:w w:val="99"/>
              </w:rPr>
              <w:t>March 31,</w:t>
            </w:r>
          </w:p>
        </w:tc>
        <w:tc>
          <w:tcPr>
            <w:tcW w:w="7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left="559"/>
              <w:spacing w:after="0"/>
              <w:rPr>
                <w:sz w:val="20"/>
                <w:szCs w:val="20"/>
                <w:color w:val="auto"/>
              </w:rPr>
            </w:pPr>
            <w:r>
              <w:rPr>
                <w:rFonts w:ascii="Arial" w:cs="Arial" w:eastAsia="Arial" w:hAnsi="Arial"/>
                <w:sz w:val="14"/>
                <w:szCs w:val="14"/>
                <w:b w:val="1"/>
                <w:bCs w:val="1"/>
                <w:color w:val="auto"/>
                <w:w w:val="87"/>
              </w:rPr>
              <w:t>Revenues</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380"/>
              <w:spacing w:after="0"/>
              <w:rPr>
                <w:sz w:val="20"/>
                <w:szCs w:val="20"/>
                <w:color w:val="auto"/>
              </w:rPr>
            </w:pPr>
            <w:r>
              <w:rPr>
                <w:rFonts w:ascii="Arial" w:cs="Arial" w:eastAsia="Arial" w:hAnsi="Arial"/>
                <w:sz w:val="14"/>
                <w:szCs w:val="14"/>
                <w:b w:val="1"/>
                <w:bCs w:val="1"/>
                <w:color w:val="auto"/>
                <w:w w:val="95"/>
              </w:rPr>
              <w:t>March 31,</w:t>
            </w:r>
          </w:p>
        </w:tc>
        <w:tc>
          <w:tcPr>
            <w:tcW w:w="7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579"/>
              <w:spacing w:after="0"/>
              <w:rPr>
                <w:sz w:val="20"/>
                <w:szCs w:val="20"/>
                <w:color w:val="auto"/>
              </w:rPr>
            </w:pPr>
            <w:r>
              <w:rPr>
                <w:rFonts w:ascii="Arial" w:cs="Arial" w:eastAsia="Arial" w:hAnsi="Arial"/>
                <w:sz w:val="14"/>
                <w:szCs w:val="14"/>
                <w:b w:val="1"/>
                <w:bCs w:val="1"/>
                <w:color w:val="auto"/>
                <w:w w:val="87"/>
              </w:rPr>
              <w:t>Revenues</w:t>
            </w:r>
          </w:p>
        </w:tc>
        <w:tc>
          <w:tcPr>
            <w:tcW w:w="680" w:type="dxa"/>
            <w:vAlign w:val="bottom"/>
            <w:tcBorders>
              <w:bottom w:val="single" w:sz="8" w:color="auto"/>
            </w:tcBorders>
          </w:tcPr>
          <w:p>
            <w:pPr>
              <w:spacing w:after="0"/>
              <w:rPr>
                <w:sz w:val="16"/>
                <w:szCs w:val="16"/>
                <w:color w:val="auto"/>
              </w:rPr>
            </w:pPr>
          </w:p>
        </w:tc>
      </w:tr>
      <w:tr>
        <w:trPr>
          <w:trHeight w:val="183"/>
        </w:trPr>
        <w:tc>
          <w:tcPr>
            <w:tcW w:w="2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r>
      <w:tr>
        <w:trPr>
          <w:trHeight w:val="183"/>
        </w:trPr>
        <w:tc>
          <w:tcPr>
            <w:tcW w:w="2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4"/>
          </w:tcPr>
          <w:p>
            <w:pPr>
              <w:jc w:val="center"/>
              <w:ind w:left="380"/>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tcPr>
          <w:p>
            <w:pPr>
              <w:jc w:val="center"/>
              <w:ind w:left="380"/>
              <w:spacing w:after="0"/>
              <w:rPr>
                <w:sz w:val="20"/>
                <w:szCs w:val="20"/>
                <w:color w:val="auto"/>
              </w:rPr>
            </w:pPr>
            <w:r>
              <w:rPr>
                <w:rFonts w:ascii="Arial" w:cs="Arial" w:eastAsia="Arial" w:hAnsi="Arial"/>
                <w:sz w:val="14"/>
                <w:szCs w:val="14"/>
                <w:b w:val="1"/>
                <w:bCs w:val="1"/>
                <w:color w:val="auto"/>
                <w:w w:val="93"/>
              </w:rPr>
              <w:t>(In thousands)</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1"/>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38,544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69,732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0"/>
              </w:rPr>
              <w:t>Segment operating expense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2"/>
              </w:rPr>
              <w:t>(43,300)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(47,354)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(97,999)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4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operating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2"/>
              </w:rPr>
              <w:t>(10,172)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center"/>
              <w:ind w:left="35"/>
              <w:spacing w:after="0"/>
              <w:rPr>
                <w:sz w:val="20"/>
                <w:szCs w:val="20"/>
                <w:color w:val="auto"/>
              </w:rPr>
            </w:pPr>
            <w:r>
              <w:rPr>
                <w:rFonts w:ascii="Arial" w:cs="Arial" w:eastAsia="Arial" w:hAnsi="Arial"/>
                <w:sz w:val="18"/>
                <w:szCs w:val="18"/>
                <w:color w:val="auto"/>
                <w:w w:val="91"/>
              </w:rPr>
              <w:t>(8,810)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2"/>
              </w:rPr>
              <w:t>(28,267)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quarter-over-prior year quarter $25.5 million increase in operating income was primarily attributable to a $23.4 million increase in segment revenues, a $6.8 million decrease in segment operating expenses, and a $0.4 million decrease in corporate expenses, partially offset by a $5.4 million increase in share-based compensation cost.</w:t>
      </w:r>
    </w:p>
    <w:p>
      <w:pPr>
        <w:spacing w:after="0" w:line="184"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At the segment level, the quarter-over-prior year quarter $30.6 million increase in segment operating income was the result of a $33.1 million increase in our Scores segment operating income and a $0.4 million decrease in corporate expenses, partially offset by a $1.5 million decrease in our Applications segment operating income and $1.4 million increase in our Decision Management Software segment operating loss.</w:t>
      </w:r>
    </w:p>
    <w:p>
      <w:pPr>
        <w:spacing w:after="0" w:line="16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quarter-over-prior year quarter $1.5 million decrease in Applications segment operating income was due to a $10.8 million decrease in segment revenue, partially offset by a $9.3 million decrease in segment operating expenses. Segment operating margin for Applications during the quarter ended March 31, 2021 was 21%, consistent with the quarter ended March 31, 2020.</w:t>
      </w:r>
    </w:p>
    <w:p>
      <w:pPr>
        <w:spacing w:after="0" w:line="18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quarter-over-prior year quarter $33.1 million increase in Scores segment operating income was due to a $39.6 million increase in segment revenue, partially offset by a $6.5 million increase in segment operating expenses. Segment operating margin for Scores during the quarter ended March 31, 2021 was 87%, consistent with the quarter ended March 31, 2020.</w:t>
      </w:r>
    </w:p>
    <w:p>
      <w:pPr>
        <w:spacing w:after="0" w:line="184"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quarter-over-prior year quarter $1.4 million increase in Decision Management Software segment operating loss was due to a $5.4 million decrease in segment revenue, partially offset by a $4.0 million decrease in segment operating expenses. Segment operating margin for Decision Management Software decreased to negative 31% from negative 23%, mainly due to a decrease in sales of our higher-margin software products.</w:t>
      </w:r>
    </w:p>
    <w:p>
      <w:pPr>
        <w:spacing w:after="0" w:line="111"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The year-to-date period over period increase of $68.3 million in operating income was primarily attributable to a $37.3 million increase in segment revenues, a $22.6 million decrease in segment operating expenses, a $7.3 million gain on sale of product line assets, a $4.3 million decrease in corporate expenses, and a $3.1 million decrease in restructuring and impairment charges, partially offset by a $7.4 million increase in share-based compensation cost.</w:t>
      </w:r>
    </w:p>
    <w:p>
      <w:pPr>
        <w:spacing w:after="0" w:line="95"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At the segment level, the year-to-date period over period increase of $64.2 million in segment operating income was the result of a $58.7 million increase in our Scores segment operating income, a $4.3 million decrease in corporate expenses, a $3.3 million decrease in our Decision Management Software segment operating loss, partially offset by a $2.1 million decrease in our Applications segment operating income.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 year-to-date period over period $2.1 million decrease in Applications segment operating income was due to a $27.6 million decrease in segment revenue, partially offset by a $25.5 million decrease in segment operating expenses. Segment operating income as a percentage of segment revenue for Applications increased to 24% from 22%, primarily attributable to a decrease in travel activity due to COVID-19, as well as our strategic cost initiative implemented in September 2020 in which we reduced our workforce, consolidated office space and abandoned certain property and equipment.</w:t>
      </w:r>
    </w:p>
    <w:p>
      <w:pPr>
        <w:spacing w:after="0" w:line="10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year-to-date period over period $58.7 million increase in Scores segment operating income was attributable to a $69.1 million increase in segment revenue, partially offset by a $10.4 million increase in segment operating expenses. Segment operating margin for Scores during the six months ended March 31, 2021 was 86%, consistent with the six months ended March 31, 2020.</w:t>
      </w:r>
    </w:p>
    <w:p>
      <w:pPr>
        <w:spacing w:after="0" w:line="13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year-to-date period over period $3.3 million decrease in Decision Management Software segment operating loss was attributable to a $7.5 million decrease in segment operating expenses, partially offset by a $4.2 million decrease in segment revenue. Segment operating margin for Decision Management Software improved to negative 38% from negative 41%, primarily attributable to a decrease in travel activity due to COVID-19, as well as our strategic cost initiative implemented in September 2020 through which we reduced our workforce, consolidated office space and abandoned certain property and equipment.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RESOURCES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As of March 31, 2021, we had $197.8 million in cash and cash equivalents, which included $124.8 million held by our foreign subsidiaries. Our cash position could be affected by various risks and uncertainties, including, but not limited to, the effects of the COVID-19 pandemic and other risks detailed in Part II, Item 1A titled “Risk Factors” of this Quarterly Report on Form 10-Q. However, based on our current business plan and revenue prospects, we believe our cash and cash equivalents balances, as well as available borrowings from our $400 million revolving line of credit and anticipated cash flows from operating activities, will be sufficient to fund our working and other capital requirements. Under our current financing arrangements, we have no significant debt obligations maturing over the next twelve months. Our undistributed earnings outside the U.S. are deemed to be permanently reinvested in foreign jurisdictions. We currently do not foresee a need to repatriate cash and cash equivalents held by our foreign subsidiaries. If these funds are needed for our operations in the U.S., we may be required to accrue for state income or foreign withholding taxes on the distributed foreign earnings, which we expect to be immaterial.</w:t>
      </w:r>
    </w:p>
    <w:p>
      <w:pPr>
        <w:spacing w:after="0" w:line="196"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Six Months Ended March 31,</w:t>
            </w:r>
          </w:p>
        </w:tc>
        <w:tc>
          <w:tcPr>
            <w:tcW w:w="260" w:type="dxa"/>
            <w:vAlign w:val="bottom"/>
          </w:tcPr>
          <w:p>
            <w:pPr>
              <w:spacing w:after="0"/>
              <w:rPr>
                <w:sz w:val="16"/>
                <w:szCs w:val="16"/>
                <w:color w:val="auto"/>
              </w:rPr>
            </w:pPr>
          </w:p>
        </w:tc>
        <w:tc>
          <w:tcPr>
            <w:tcW w:w="1280" w:type="dxa"/>
            <w:vAlign w:val="bottom"/>
          </w:tcPr>
          <w:p>
            <w:pPr>
              <w:jc w:val="right"/>
              <w:ind w:right="115"/>
              <w:spacing w:after="0"/>
              <w:rPr>
                <w:sz w:val="20"/>
                <w:szCs w:val="20"/>
                <w:color w:val="auto"/>
              </w:rPr>
            </w:pPr>
            <w:r>
              <w:rPr>
                <w:rFonts w:ascii="Arial" w:cs="Arial" w:eastAsia="Arial" w:hAnsi="Arial"/>
                <w:sz w:val="14"/>
                <w:szCs w:val="14"/>
                <w:b w:val="1"/>
                <w:bCs w:val="1"/>
                <w:color w:val="auto"/>
                <w:w w:val="96"/>
              </w:rPr>
              <w:t>Period-to-Period</w:t>
            </w:r>
          </w:p>
        </w:tc>
      </w:tr>
      <w:tr>
        <w:trPr>
          <w:trHeight w:val="201"/>
        </w:trPr>
        <w:tc>
          <w:tcPr>
            <w:tcW w:w="6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Change</w:t>
            </w:r>
          </w:p>
        </w:tc>
      </w:tr>
      <w:tr>
        <w:trPr>
          <w:trHeight w:val="183"/>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195"/>
              <w:spacing w:after="0"/>
              <w:rPr>
                <w:sz w:val="20"/>
                <w:szCs w:val="20"/>
                <w:color w:val="auto"/>
              </w:rPr>
            </w:pPr>
            <w:r>
              <w:rPr>
                <w:rFonts w:ascii="Arial" w:cs="Arial" w:eastAsia="Arial" w:hAnsi="Arial"/>
                <w:sz w:val="14"/>
                <w:szCs w:val="14"/>
                <w:b w:val="1"/>
                <w:bCs w:val="1"/>
                <w:color w:val="auto"/>
                <w:w w:val="97"/>
              </w:rPr>
              <w:t>(In thousands)</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231,470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121,859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109,611</w:t>
            </w: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(14,958)</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16,704</w:t>
            </w: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(196,795)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(100,344)</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(96,451)</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Increase in cash and cash equivalents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37,902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primary method for funding operations and growth has been through cash flows generated from operating activities. Net cash provided by operating activities increased to $231.5 million during the six months ended March 31, 2021 from $121.9 million during the six months ended March 31, 2020. The $109.6 million increase was attributable to a $77.8 million increase that resulted from timing of receipts and payments in our ordinary course of business and a $42.0 million increase in net income, partially offset by a $10.2 million decrease in non-cash items, including a $7.3 million gain on the sale of product line assets.</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Net cash provided by investing activities was $1.7 million for the six months ended March 31, 2021 as compared to net cash used of $15.0 million for the six months ended March 31, 2020. The $16.7 million change was primarily attributable to an $8.9 million decrease in purchases of property and equipment and $8.3 million in cash proceeds from the sale of product line assets for the six months ended March 31, 2021.</w:t>
      </w: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cash used in financing activities increased to $196.8 million for the six months ended March 31, 2021 from $100.3 million for the six months ended March 31, 2020. The $96.5 million increase was primarily attributable to a $350.0 million decrease in proceeds from issuance of senior notes and a $102.3 million increase in repurchases of common stock, partially offset by a $256.0 million decrease in payments on our revolving line of credit and a $95.0 million increase in proceeds from our revolving line of credit.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July 2020, our Board of Directors approved a stock repurchase program following the completion of our previous program. This program was open-ended and authorized repurchases of shares of our common stock up to an aggregate cost of $250.0 million in the open market or in negotiated transactions. In March 2021, our Board of Directors approved a new stock repurchase program following the completion of the July 2020 program. This new program is open-ended and authorizes repurchases of shares of our common stock up to an aggregate cost of $500.0 million in the open market or in negotiated transactions.</w:t>
      </w:r>
    </w:p>
    <w:p>
      <w:pPr>
        <w:spacing w:after="0" w:line="134"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Pursuant to the July 2020 and March 2021 programs, we repurchased approximately 440,588 shares of our common stock at a total repurchase price of $205.2 million and 541,738 shares of our common stock at a total repurchase price of $255.2 million during the quarter and six months ended March 31, 2021,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Line of Credit</w:t>
      </w:r>
    </w:p>
    <w:p>
      <w:pPr>
        <w:spacing w:after="0" w:line="12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have a $400 million unsecured revolving line of credit with a syndicate of banks that expires on May 8, 2023.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 (b) 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In addition, we must pay credit facility fees. The credit facility contains certain restrictive covenants including: maintaining a maximum consolidated leverage ratio of 3.25 on an average trailing four-quarter basis, subject to a step up to 3.75 following certain permitted acquisitions; and a minimum interest coverage ratio of 3.00. The credit agreement also contains other covenants typical of unsecured facilities. As of March 31, 2021, we had $225.0 million in borrowings outstanding at a weighted-average interest rate of 1.236% and we were in compliance with all financial covenants under this credit facility, and do not believe we are at material risk of not meeting these covenants due to COVID-19.</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May 8, 2018, we issued $400 million of senior notes in a private offering to qualified institutional investors (the “2018 Senior Notes”). The 2018 Senior Notes require interest payments semi-annually at a rate of 5.25% per annum and will mature on May 15, 2026. On December 6, 2019, we issued $350 million of senior notes in a private offering to qualified institutional investors (the “2019 Senior Notes,” and with the 2018 Senior Notes, the “Senior Notes”). The 2019 Senior Notes require interest payments semi-annually at a rate of 4.00% per annum and will mature on June 15, 2028. The indentures for the Senior Notes contain certain covenants typical of unsecured obligations. As of March 31, 2021, the carrying value of the Senior Notes was $750.0 million and we were in compliance with all financial covenants under these obligations, and do not believe we are at material risk of not meeting these covenants due to COVID-19.</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We do not have any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We prepare our consolidated financial statements in conformity with U.S. generally accepted accounting principles.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 We periodically evaluate our estimates including those relating to revenue recognition, goodwill and other intangible assets resulting from business acquisitions,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w:t>
      </w:r>
    </w:p>
    <w:p>
      <w:pPr>
        <w:spacing w:after="0" w:line="27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believe the following critical accounting policies involve the most significant judgments and estimates used in the preparation of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Contracts with Customers</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revenue is primarily derived from term-based or perpetual licensing of software and scoring products and solutions, and associated maintenance; SaaS subscription services; scoring and credit monitoring services for consumers; and professional services. For contracts with customers that contain various combinations of products and services, we evaluate whether the products or services are distinct—distinct products or services will be accounted for as separate performance obligations, while non-distinct products or services are combined with others to form a single performance obligation. For contracts with multiple performance obligations, the transaction price is allocated to each performance obligation on a relative standalone selling price (“SSP”) basis. Revenue is recognized when control of the promised goods or services is transferred to our customers.</w:t>
      </w:r>
    </w:p>
    <w:p>
      <w:pPr>
        <w:spacing w:after="0" w:line="11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License revenue is derived from contracts in which we grant our direct customers or distributors the right to deploy or resell our software and scoring products and solutions on-premises. Our software offerings often include a term-based or perpetual license and post-contract support or maintenance, both of which generally represent distinct performance obligations and are accounted for separately. For term-based licenses, the transaction price is either in the form of a fixed consideration—a single subscription with license and maintenance bundled, or a usage-based royalty—sometimes subject to a guaranteed minimum—for the license and maintenance bundle. For perpetual licenses, the transaction price is generally a fixed consideration with separately stated prices for license and maintenance. When the amount is in the form of a fixed consideration, including the guaranteed minimum in usage-based royalty, license revenue from distinct on-premises licenses is recognized at the point in time when the software or scoring solution is made available to the customer or distributor. Any royalties not subject to the guaranteed minimum or earned in excess of the minimum amount are recognized as transactional revenue when the subsequent sales or usage occurs. Revenue allocated to maintenance is generally recognized ratably over the contract period as customers simultaneously consume and receive benefits.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80" w:lineRule="auto"/>
        <w:rPr>
          <w:sz w:val="20"/>
          <w:szCs w:val="20"/>
          <w:color w:val="auto"/>
        </w:rPr>
      </w:pPr>
      <w:r>
        <w:rPr>
          <w:rFonts w:ascii="Arial" w:cs="Arial" w:eastAsia="Arial" w:hAnsi="Arial"/>
          <w:sz w:val="16"/>
          <w:szCs w:val="16"/>
          <w:color w:val="auto"/>
        </w:rPr>
        <w:t>In addition to usage-based royalty on our software and scoring products, transactional revenue is also derived from SaaS contracts in which we provide customers with access to and standard support for our software application either in the FICO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Analytic Cloud or AWS, our primary cloud infrastructure provider, on a subscription basis. The transaction price typically includes a fixed consideration in the form of a guaranteed minimum that allows up to a certain level of usage and a variable consideration in the form of usage or transaction-based fees in excess of the minimum threshold; or usage or transaction-based variable amount not subject to a minimum threshold. We determined the nature of our SaaS arrangements is to provide continuous access to our hosted application in the cloud, i.e., a stand-ready obligation that comprises a series of distinct service periods (e.g., a series of distinct daily, monthly or annual periods of service). We estimate the total variable consideration at contract inception—subject to any constraints that may apply—and update the estimates as new information becomes available and recognize the amount ratably over the SaaS service period, unless we determine it is appropriate to allocate the variable amount to each distinct service period and recognize revenue as each distinct service period is performed.</w:t>
      </w:r>
    </w:p>
    <w:p>
      <w:pPr>
        <w:spacing w:after="0" w:line="12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also derive transactional revenue from credit scoring and monitoring services that provide consumers access to their credit reports and enable them to monitor their credit. These are provided as either a one-time or ongoing subscription service renewed monthly or annually, all with a fixed consideration. We determined the nature of the subscription service is a stand-ready obligation to generate credit reports, provide credit monitoring and other services for our customers, which comprises a series of distinct service periods (e.g., a series of distinct daily, monthly or annual periods of service). Revenue from one-time or monthly subscription services is recognized during the period when service is performed. Revenue from annual subscription services is recognized ratably over the subscription period.</w:t>
      </w:r>
    </w:p>
    <w:p>
      <w:pPr>
        <w:spacing w:after="0" w:line="13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Professional services include software or SaaS implementation, consulting, model development, training services and premium cloud support. They are sold either standalone, or together with other products or services and generally represent distinct performance obligations. The transaction price can be a fixed amount or on a time and materials basis. Revenue on fixed-price services is recognized using an input method based on labor hours expended which we believe provides a faithful depiction of the transfer of services. Revenue on services provided on a time and materials basis is recognized applying the “right-to-invoice” practical expedient as the amount to which we have a right to invoice the customer corresponds directly with the value of our performance to the customer. In addition, we sell premium cloud support on a subscription basis for a fixed amount, and revenue is recognized ratably over the contract term.</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1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and should be accounted for separately may require significant judgment. Specifically, when implementation service is included in the original software or SaaS offerings, judgment is required to determine if the implementation service significantly modifies or customizes the software or SaaS service in such a way that the risks of providing it and the customization service are inseparable. In rare instances, contracts may include significant modification or customization of the software of SaaS service and will result in the combination of software or SaaS service and implementation service as one performance obligation.</w:t>
      </w:r>
    </w:p>
    <w:p>
      <w:pPr>
        <w:spacing w:after="0" w:line="13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determine the SSPs using data from our historical standalone sales, or, in instances where such information is not available (such as when we do not sell the product or service separately), we consider factors such as the stated contract prices, our overall pricing practices and objectives, go-to-market strategy, size and type of the transactions, and effects of the geographic area on pricing, among others. When the selling price of a product or service is highly variable, we may use the residual approach to determine the SSP of that product or service. Significant judgment may be required to determine the SSP for each distinct performance obligation when it involves the consideration of many market conditions and entity-specific factors discussed above.</w:t>
      </w:r>
    </w:p>
    <w:p>
      <w:pPr>
        <w:spacing w:after="0" w:line="10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Significant judgment may be required to determine the timing of satisfaction of a performance obligation in certain professional services contracts with a fixed consideration, in which we measure progress using an input method based on labor hours expended. In order to estimate the total hours of the project, we make assumptions about labor utilization, efficiency of processes, the customer’s specification and IT environment, among others. For certain complex projects, due to the risks and uncertainties inherent with the estimation process and factors relating to the assumptions, actual progress may differ due to the change in estimated total hours. Adjustments to estimates are made in the period in which the facts requiring such revisions become known and, accordingly, recognized revenues are subject to revisions as the contract progresses to completion.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Capitalized Commission Costs</w:t>
      </w:r>
    </w:p>
    <w:p>
      <w:pPr>
        <w:spacing w:after="0" w:line="171"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We capitalize incremental commission fees paid as a result of obtaining customer contracts. Capitalized commission costs are amortized on a straight-line basis over ten years — determined using a portfolio approach — based on the transfer of goods or services to which the assets relate, taking into consideration both the initial and future contracts as we do not typically pay a commission on a contract renewal. The amortization costs are included in selling, general, and administrative expenses of our condensed consolidated statements of income and comprehensive income.</w:t>
      </w:r>
    </w:p>
    <w:p>
      <w:pPr>
        <w:spacing w:after="0" w:line="11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apply a practical expedient to recognize the incremental costs of obtaining contracts as an expense when incurred if the amortization period of the assets that we otherwise would have recognized is one year or less. These costs are recorded within selling, general, and administrative expenses.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94"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Accounting for our acquisitions requires us to recognize, separately from goodwill, the assets acquired and the liabilities assumed at their acquisition-date fair values. Goodwill as of the acquisition date is measured as the excess of consideration transferred and the net of the acquisition-date fair values of the assets acquired and the liabilities assumed.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income and comprehensive income.</w:t>
      </w:r>
    </w:p>
    <w:p>
      <w:pPr>
        <w:spacing w:after="0" w:line="112"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Accounting for business combinations requires our management to make significant estimates and assumptions, especially at the acquisition date, including our estimates for intangible assets, contractual obligations assumed, pre-acquisition contingencies and contingent consideration, where applicable. If we cannot reasonably determine the fair value of a pre-acquisition contingency (non-income tax related) by the end of the measurement period, we will recognize an asset or a liability for such pre-acquisition contingency if: (i) it is probable that an asset existed or a liability had been incurred at the acquisition date and (ii) the amount of the asset or liability can be reasonably estimated. Although we believe the assumptions and estimates we have made in the past have been reasonable and appropriate, they are based in part on historical experience and information obtained from the management of the acquired companies and are inherently uncertain. Subsequent to the measurement period, changes in our estimates of such contingencies will affect earnings and could have a material effect on our consolidated results of operations and financial position.</w:t>
      </w:r>
    </w:p>
    <w:p>
      <w:pPr>
        <w:spacing w:after="0" w:line="11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Examples of critical estimates in valuing certain of the intangible assets we have acquired include but are not limited to: (i) future expected cash flows from software license sales, support agreements, consulting contracts, other customer contracts and acquired developed technologies and patents; (ii) expected costs to develop the in-process research and development into commercially viable products and estimated cash flows from the projects when completed; and (iii) the acquired company’s brand and competitive position, as well as assumptions about the period of time the acquired brand will continue to be used in the combined company’s product portfolio. Unanticipated events and circumstances may occur that may affect the accuracy or validity of such assumptions, estimates or actual results. Historically, there have been no significant changes in our estimates or assumptions. To the extent a significant acquisition is made during a fiscal year, as appropriate we will expand the discussion to include specific assumptions and inputs used to determine the fair value of our acquired intangible assets.</w:t>
      </w:r>
    </w:p>
    <w:p>
      <w:pPr>
        <w:spacing w:after="0" w:line="12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addition, uncertain tax positions and tax-related valuation allowances assumed in connection with a business combination are initially estimated as of the acquisition date. We reevaluate these items quarterly based upon facts and circumstances that existed as of the acquisition date with any adjustments to our preliminary estimates being recorded to goodwill provided that we are within the measurement period. Subsequent to the measurement period or our final determination of the tax allowance’s or contingency’s estimated value, whichever comes first, changes to these uncertain tax positions and tax-related valuation allowances will affect our provision for income taxes in our consolidated statements of income and comprehensive income and could have a material impact on our consolidated results of operations and financial position. Historically, there have been no significant changes in our valuation allowances or uncertain tax positions as it relates to business combinations. We do not believe there is a reasonable likelihood there will be a material change in the future estimates.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Acquisition Intangibles and Other Long-Lived Assets - Impairment Assessment</w:t>
      </w:r>
    </w:p>
    <w:p>
      <w:pPr>
        <w:spacing w:after="0" w:line="9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Goodwill represents the excess of cost over the fair value of identifiable assets acquired and liabilities assumed in business combinations. We assess goodwill for impairment for each of our reporting units on an annual basis during our fourth fiscal quarter using a July 1 measurement date unless circumstances require a more frequent measurement. We have determined that our reporting units are the same as our reportable segments. When evaluating goodwill for impairment, we may first perform an assessment qualitatively whether it is more likely than not that a reporting unit's carrying amount exceeds its fair value, referred to as a “step zero” approach. If, based on the review of the qualitative factors, we determine it is not more likely than not that the fair value of a reporting unit is less than its carrying value, we would bypass the two-step impairment test. Events and circumstances we consider in performing the “step zero” qualitative assessment include macro-economic conditions, market and industry conditions, internal cost factors, share price fluctuations, and the operational stability and the overall financial performance of the reporting units. If we conclude that it is more likely than not that a reporting unit's fair value is less than its carrying amount, we would perform the first step (“step one”) of the two-step impairment test and calculate the estimated fair value of the reporting unit by using discounted cash flow valuation models and by comparing our reporting units to guideline publicly-traded companies. These methods require estimates of our future revenues, profits, capital expenditures, working capital, and other relevant factors, as well as selecting appropriate guideline publicly-traded companies for each reporting unit. We estimate these amounts by evaluating historical trends, current budgets, operating plans, industry data, and other relevant factors. Using assumptions that are different from those used in our estimates, but in each case reasonable, could produce significantly different results and materially affect the determination of fair value and/or goodwill impairment for each reporting unit. For example, if the economic environment impacts our forecasts beyond what we have anticipated, it could cause the fair value of a reporting unit to fall below its respective carrying value.</w:t>
      </w:r>
    </w:p>
    <w:p>
      <w:pPr>
        <w:spacing w:after="0" w:line="12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For fiscal 2017, we elected to proceed directly to the step one quantitative analysis for all of our reporting units. There was a substantial excess of fair value over carrying value for each of our reporting units and we determined goodwill was not impaired for any of our reporting units for fiscal 2017. For fiscal 2018, 2019 and 2020, we performed a step zero qualitative analysis for our annual assessment of goodwill impairment. After evaluating and weighing all relevant events and circumstances, we concluded that it is not more likely than not that the fair value of any of our reporting units was less their carrying amounts. Consequently, we did not perform a step one quantitative analysis and determined goodwill was not impaired for any of our reporting units for fiscal 2018, 2019 and 2020.</w:t>
      </w:r>
    </w:p>
    <w:p>
      <w:pPr>
        <w:spacing w:after="0" w:line="13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Our intangible assets that have finite useful lives and other long-lived assets are assessed for potential impairment when there is evidence that events and circumstances related to our financial performance and economic environment indicate the carrying amount of the assets may not be recoverable. When impairment indicators are identified, we test for impairment using undiscounted cash flows. If such tests indicate impairment, then we measure and record the impairment as the difference between the carrying value of the asset and the fair value of the asset. Significant management judgment is required in forecasting future operating results used in the preparation of the projected cash flows. Should different conditions prevail, material write downs of our intangible assets or other long-lived assets could occur. We review the estimated remaining useful lives of our acquired intangible assets at each reporting period. A reduction in our estimate of remaining useful lives, if any, could result in increased annual amortization expense in future periods.</w:t>
      </w:r>
    </w:p>
    <w:p>
      <w:pPr>
        <w:spacing w:after="0" w:line="11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discussed above, while we believe that the assumptions and estimates utilized were appropriate based on the information available to management, different assumptions, judgments and estimates could materially affect our impairment assessments for our goodwill, acquired intangibles with finite lives and other long-lived assets. Historically, there have been no significant changes in our estimates or assumptions that would have had a material impact for our goodwill or intangible assets impairment assessment. We believe our projected operating results and cash flows would need to be significantly less favorable to have a material impact on our impairment assessment. However, based upon our historical experience with operations, we do not believe there is a reasonable likelihood of a significant change in our projections.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08"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measure stock-based compensation cost at the grant date based on the fair value of the award and recognize it as expense, net of estimated forfeitures, over the vesting or service period, as applicable, of the stock award (generally three to four years). We use the Black-Scholes valuation model to determine the fair value of our stock options and the Monte Carlo valuation model to determine the fair value of our market share units. Our valuation models and generally accepted valuation techniques require us to make assumptions and to apply judgment to determine the fair value of our awards. These assumptions and judgments include estimating the volatility of our stock price, expected dividend yield, employee turnover rates and employee stock option exercise behaviors. Historically, there have been no material changes in our estimates or assumptions. We do not believe there is a reasonable likelihood there will be a material change in the future estimates or assumptions.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We estimate our income taxes based on the various jurisdictions where we conduct business, which involves significant judgment in determining our income tax provision. We estimate our current tax liability using currently enacted tax rates and laws and assess temporary differences that result from differing treatments of certain items for tax and accounting purposes. These differences result in deferred tax assets and liabilities recorded on our condensed consolidated balance sheets using the currently enacted tax rates and laws that will apply to taxable income for the years in which those tax assets are expected to be realized or settled. We then assess the likelihood our deferred tax assets will be realized and to the extent we believe realization is not more likely than not, we establish a valuation allowance. When we establish a valuation allowance or increase this allowance in an accounting period, we record a corresponding income tax expense in our consolidated statements of income and comprehensive income. In assessing the need for the valuation allowance, we consider future taxable income in the jurisdictions we operate; our ability to carry back tax attributes to prior years; an analysis of our deferred tax assets and the periods over which they will be realizable; and ongoing prudent and feasible tax planning strategies. An increase in the valuation allowance would have an adverse impact, which could be material, on our income tax provision and net income in the period in which we record the increase.</w:t>
      </w:r>
    </w:p>
    <w:p>
      <w:pPr>
        <w:spacing w:after="0" w:line="128"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We recognize and measure benefits for uncertain tax positions using a two-step approach. The first step is to evaluate the tax position taken or expected to be taken in a tax return by determining if the technical merits of the tax position indicate it is more likely than not that the tax position will be sustained upon audit, including resolution of any related appeals or litigation processes. For tax positions more likely than not of being sustained upon audit, the second step is to measure the tax benefit as the largest amount more than 50% likely of being realized upon settlement. Significant judgment is required to evaluate uncertain tax positions and they are evaluated on a quarterly basis. Our evaluations are based upon a number of factors, including changes in facts or circumstances, changes in tax law, correspondence with tax authorities during the course of audits and effective settlement of audit issues. Changes in the recognition or measurement of uncertain tax positions could result in material increases or decreases in our income tax expense in the period in which we make the change, which could have a material impact on our effective tax rate and operating results.</w:t>
      </w:r>
    </w:p>
    <w:p>
      <w:pPr>
        <w:spacing w:after="0" w:line="11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 description of our accounting policies associated with tax-related contingencies and valuation allowances assumed as part of a business combination is provided under “Business Combinations”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and Litigation</w:t>
      </w:r>
    </w:p>
    <w:p>
      <w:pPr>
        <w:spacing w:after="0" w:line="108"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We are subject to various proceedings, lawsuits and claims relating to products and services, technology, labor, stockholder and other matters. We are required to assess the likelihood of any adverse outcomes and the potential range of probable losses in these matters. If the potential loss is considered probable and the amount can be reasonably estimated, we accrue a liability for the estimated loss. If the potential loss is considered less than probable or the amount cannot be reasonably estimated, disclosure of the matter is considered. The amount of loss accrual or disclosure, if any, is determined after analysis of each matter, and is subject to adjustment if warranted by new developments or revised strategies. Due to uncertainties related to these matters, accruals or disclosures are based on the best information available at the time. Significant judgment is required in both the assessment of likelihood and in the determination of a range of potential losses. Revisions in the estimates of the potential liabilities could have a material impact on our consolidated financial position or consolidated results of operations. Historically, there have been no material changes in our estimates or assumptions. We do not believe there is a reasonable likelihood there will be a material change in the future estimates.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No. 2018-15,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Goodwill and Other (Topic 350): Internal-Use Software </w:t>
      </w:r>
      <w:r>
        <w:rPr>
          <w:rFonts w:ascii="Arial" w:cs="Arial" w:eastAsia="Arial" w:hAnsi="Arial"/>
          <w:sz w:val="18"/>
          <w:szCs w:val="18"/>
          <w:color w:val="auto"/>
        </w:rPr>
        <w:t>(“ASU 2018-15”). ASU 2018-15 aligns the requirements for capitalizing implementation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in a cloud computing arrangement that is a service contract with the requirements for capitalizing implementation costs incurred to develop or obtain internal-use software. We adopted ASU 2018-15 in the first quarter of our fiscal 2021 and the adoption did not have a significant impact on our condensed consolidated financial statements.</w:t>
      </w:r>
    </w:p>
    <w:p>
      <w:pPr>
        <w:spacing w:after="0" w:line="13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and subsequent amendments to the initial guidance: ASU 2018-19, ASU 2019-04, ASU 2019-05 and ASU 2019-11 (collectively, “Topic 326”).</w:t>
      </w:r>
      <w:r>
        <w:rPr>
          <w:rFonts w:ascii="Arial" w:cs="Arial" w:eastAsia="Arial" w:hAnsi="Arial"/>
          <w:sz w:val="17"/>
          <w:szCs w:val="17"/>
          <w:i w:val="1"/>
          <w:iCs w:val="1"/>
          <w:color w:val="auto"/>
        </w:rPr>
        <w:t xml:space="preserve"> </w:t>
      </w:r>
      <w:r>
        <w:rPr>
          <w:rFonts w:ascii="Arial" w:cs="Arial" w:eastAsia="Arial" w:hAnsi="Arial"/>
          <w:sz w:val="17"/>
          <w:szCs w:val="17"/>
          <w:color w:val="auto"/>
        </w:rPr>
        <w:t>Topic 326 requires measurement and recognition of expected credit losses for financial assets held. We adopted Topic 326 in the first quarter of our fiscal 2021 and the adoption did not have a significant impact on our condensed consolidated financial statements.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expect that any recently issued accounting pronouncements will have a significant effect on our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Disclosures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are exposed to market risk related to changes in interest rates and foreign exchange rates. We do not use derivative financial instruments for speculative or trading purposes.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maintain an investment portfolio consisting of bank deposits and money market funds. The funds provide daily liquidity and may be subject to interest rate risk and fall in value if market interest rates increase. We do not expect our operating results or cash flows to be affected to any significant degree by a sudden change in market interest rates. The following table presents the principal amounts and related weighted-average yields for our investments with interest rate risk at March 31, 2021 and September 30, 2020:</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March 31, 2021</w:t>
            </w: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w w:val="91"/>
              </w:rPr>
              <w:t>September 30, 2020</w:t>
            </w:r>
          </w:p>
        </w:tc>
        <w:tc>
          <w:tcPr>
            <w:tcW w:w="1340" w:type="dxa"/>
            <w:vAlign w:val="bottom"/>
            <w:tcBorders>
              <w:bottom w:val="single" w:sz="8" w:color="auto"/>
            </w:tcBorders>
          </w:tcPr>
          <w:p>
            <w:pPr>
              <w:spacing w:after="0"/>
              <w:rPr>
                <w:sz w:val="16"/>
                <w:szCs w:val="16"/>
                <w:color w:val="auto"/>
              </w:rPr>
            </w:pPr>
          </w:p>
        </w:tc>
      </w:tr>
      <w:tr>
        <w:trPr>
          <w:trHeight w:val="134"/>
        </w:trPr>
        <w:tc>
          <w:tcPr>
            <w:tcW w:w="2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ind w:left="220"/>
              <w:spacing w:after="0" w:line="135" w:lineRule="exact"/>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1"/>
                <w:szCs w:val="11"/>
                <w:color w:val="auto"/>
              </w:rPr>
            </w:pPr>
          </w:p>
        </w:tc>
        <w:tc>
          <w:tcPr>
            <w:tcW w:w="1440" w:type="dxa"/>
            <w:vAlign w:val="bottom"/>
          </w:tcPr>
          <w:p>
            <w:pPr>
              <w:jc w:val="center"/>
              <w:ind w:right="384"/>
              <w:spacing w:after="0" w:line="135" w:lineRule="exact"/>
              <w:rPr>
                <w:sz w:val="20"/>
                <w:szCs w:val="20"/>
                <w:color w:val="auto"/>
              </w:rPr>
            </w:pPr>
            <w:r>
              <w:rPr>
                <w:rFonts w:ascii="Arial" w:cs="Arial" w:eastAsia="Arial" w:hAnsi="Arial"/>
                <w:sz w:val="14"/>
                <w:szCs w:val="14"/>
                <w:b w:val="1"/>
                <w:bCs w:val="1"/>
                <w:color w:val="auto"/>
              </w:rPr>
              <w:t>Carrying</w:t>
            </w:r>
          </w:p>
        </w:tc>
        <w:tc>
          <w:tcPr>
            <w:tcW w:w="1360" w:type="dxa"/>
            <w:vAlign w:val="bottom"/>
          </w:tcPr>
          <w:p>
            <w:pPr>
              <w:jc w:val="center"/>
              <w:ind w:right="84"/>
              <w:spacing w:after="0" w:line="135" w:lineRule="exact"/>
              <w:rPr>
                <w:sz w:val="20"/>
                <w:szCs w:val="20"/>
                <w:color w:val="auto"/>
              </w:rPr>
            </w:pPr>
            <w:r>
              <w:rPr>
                <w:rFonts w:ascii="Arial" w:cs="Arial" w:eastAsia="Arial" w:hAnsi="Arial"/>
                <w:sz w:val="14"/>
                <w:szCs w:val="14"/>
                <w:b w:val="1"/>
                <w:bCs w:val="1"/>
                <w:color w:val="auto"/>
                <w:w w:val="94"/>
              </w:rPr>
              <w:t>Average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ind w:left="240"/>
              <w:spacing w:after="0" w:line="135"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1"/>
                <w:szCs w:val="11"/>
                <w:color w:val="auto"/>
              </w:rPr>
            </w:pPr>
          </w:p>
        </w:tc>
        <w:tc>
          <w:tcPr>
            <w:tcW w:w="1540" w:type="dxa"/>
            <w:vAlign w:val="bottom"/>
          </w:tcPr>
          <w:p>
            <w:pPr>
              <w:jc w:val="center"/>
              <w:ind w:right="344"/>
              <w:spacing w:after="0" w:line="135" w:lineRule="exact"/>
              <w:rPr>
                <w:sz w:val="20"/>
                <w:szCs w:val="20"/>
                <w:color w:val="auto"/>
              </w:rPr>
            </w:pPr>
            <w:r>
              <w:rPr>
                <w:rFonts w:ascii="Arial" w:cs="Arial" w:eastAsia="Arial" w:hAnsi="Arial"/>
                <w:sz w:val="14"/>
                <w:szCs w:val="14"/>
                <w:b w:val="1"/>
                <w:bCs w:val="1"/>
                <w:color w:val="auto"/>
                <w:w w:val="97"/>
              </w:rPr>
              <w:t>Carrying</w:t>
            </w:r>
          </w:p>
        </w:tc>
        <w:tc>
          <w:tcPr>
            <w:tcW w:w="134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w w:val="90"/>
              </w:rPr>
              <w:t>Average</w:t>
            </w:r>
          </w:p>
        </w:tc>
      </w:tr>
      <w:tr>
        <w:trPr>
          <w:trHeight w:val="188"/>
        </w:trPr>
        <w:tc>
          <w:tcPr>
            <w:tcW w:w="2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Basis</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84"/>
              <w:spacing w:after="0"/>
              <w:rPr>
                <w:sz w:val="20"/>
                <w:szCs w:val="20"/>
                <w:color w:val="auto"/>
              </w:rPr>
            </w:pPr>
            <w:r>
              <w:rPr>
                <w:rFonts w:ascii="Arial" w:cs="Arial" w:eastAsia="Arial" w:hAnsi="Arial"/>
                <w:sz w:val="14"/>
                <w:szCs w:val="14"/>
                <w:b w:val="1"/>
                <w:bCs w:val="1"/>
                <w:color w:val="auto"/>
                <w:w w:val="94"/>
              </w:rPr>
              <w:t>Amount</w:t>
            </w:r>
          </w:p>
        </w:tc>
        <w:tc>
          <w:tcPr>
            <w:tcW w:w="1780" w:type="dxa"/>
            <w:vAlign w:val="bottom"/>
            <w:tcBorders>
              <w:bottom w:val="single" w:sz="8" w:color="auto"/>
            </w:tcBorders>
            <w:gridSpan w:val="3"/>
          </w:tcPr>
          <w:p>
            <w:pPr>
              <w:jc w:val="center"/>
              <w:ind w:right="580"/>
              <w:spacing w:after="0"/>
              <w:rPr>
                <w:sz w:val="20"/>
                <w:szCs w:val="20"/>
                <w:color w:val="auto"/>
              </w:rPr>
            </w:pPr>
            <w:r>
              <w:rPr>
                <w:rFonts w:ascii="Arial" w:cs="Arial" w:eastAsia="Arial" w:hAnsi="Arial"/>
                <w:sz w:val="14"/>
                <w:szCs w:val="14"/>
                <w:b w:val="1"/>
                <w:bCs w:val="1"/>
                <w:color w:val="auto"/>
                <w:w w:val="95"/>
              </w:rPr>
              <w:t>Yield</w:t>
            </w: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Basis</w:t>
            </w: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364"/>
              <w:spacing w:after="0"/>
              <w:rPr>
                <w:sz w:val="20"/>
                <w:szCs w:val="20"/>
                <w:color w:val="auto"/>
              </w:rPr>
            </w:pPr>
            <w:r>
              <w:rPr>
                <w:rFonts w:ascii="Arial" w:cs="Arial" w:eastAsia="Arial" w:hAnsi="Arial"/>
                <w:sz w:val="14"/>
                <w:szCs w:val="14"/>
                <w:b w:val="1"/>
                <w:bCs w:val="1"/>
                <w:color w:val="auto"/>
                <w:w w:val="94"/>
              </w:rPr>
              <w:t>Amount</w:t>
            </w:r>
          </w:p>
        </w:tc>
        <w:tc>
          <w:tcPr>
            <w:tcW w:w="13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5"/>
              </w:rPr>
              <w:t>Yield</w:t>
            </w:r>
          </w:p>
        </w:tc>
      </w:tr>
      <w:tr>
        <w:trPr>
          <w:trHeight w:val="183"/>
        </w:trPr>
        <w:tc>
          <w:tcPr>
            <w:tcW w:w="2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80" w:type="dxa"/>
            <w:vAlign w:val="bottom"/>
            <w:gridSpan w:val="4"/>
          </w:tcPr>
          <w:p>
            <w:pPr>
              <w:jc w:val="right"/>
              <w:ind w:right="702"/>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31"/>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Cash and cash equivalents  $</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197,836</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auto"/>
              </w:rPr>
              <w:t>197,836</w:t>
            </w:r>
          </w:p>
        </w:tc>
        <w:tc>
          <w:tcPr>
            <w:tcW w:w="1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0.02 %  $</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157,394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auto"/>
              </w:rPr>
              <w:t>157,394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0.05 %</w:t>
            </w:r>
          </w:p>
        </w:tc>
      </w:tr>
    </w:tbl>
    <w:p>
      <w:pPr>
        <w:spacing w:after="0" w:line="31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May 8, 2018, we issued $400 million of senior notes in a private placement to qualified institutional investors (the “2018 Senior Notes”). On December 6, 2019, we issued $350 million of senior notes in a private offering to qualified institutional investors (the “2019 Senior Notes,” and with the 2018 Senior Notes, the “Senior Notes”). 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for additional information on the Senior Notes. The following table presents the face values and fair values for the Senior Notes at March 31, 2021 and September 30,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 2021</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2020</w:t>
            </w:r>
          </w:p>
        </w:tc>
        <w:tc>
          <w:tcPr>
            <w:tcW w:w="1280" w:type="dxa"/>
            <w:vAlign w:val="bottom"/>
            <w:tcBorders>
              <w:bottom w:val="single" w:sz="8" w:color="auto"/>
            </w:tcBorders>
          </w:tcPr>
          <w:p>
            <w:pPr>
              <w:spacing w:after="0"/>
              <w:rPr>
                <w:sz w:val="16"/>
                <w:szCs w:val="16"/>
                <w:color w:val="auto"/>
              </w:rPr>
            </w:pPr>
          </w:p>
        </w:tc>
      </w:tr>
      <w:tr>
        <w:trPr>
          <w:trHeight w:val="187"/>
        </w:trPr>
        <w:tc>
          <w:tcPr>
            <w:tcW w:w="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Face Value (*)</w:t>
            </w:r>
          </w:p>
        </w:tc>
        <w:tc>
          <w:tcPr>
            <w:tcW w:w="5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Face Value (*)</w:t>
            </w:r>
          </w:p>
        </w:tc>
        <w:tc>
          <w:tcPr>
            <w:tcW w:w="5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w w:val="95"/>
              </w:rPr>
              <w:t>Fair Value</w:t>
            </w:r>
          </w:p>
        </w:tc>
      </w:tr>
      <w:tr>
        <w:trPr>
          <w:trHeight w:val="183"/>
        </w:trPr>
        <w:tc>
          <w:tcPr>
            <w:tcW w:w="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1"/>
        </w:trPr>
        <w:tc>
          <w:tcPr>
            <w:tcW w:w="40" w:type="dxa"/>
            <w:vAlign w:val="bottom"/>
          </w:tcPr>
          <w:p>
            <w:pPr>
              <w:spacing w:after="0"/>
              <w:rPr>
                <w:sz w:val="20"/>
                <w:szCs w:val="20"/>
                <w:color w:val="auto"/>
              </w:rPr>
            </w:pP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 2018 Senior Notes</w:t>
            </w:r>
          </w:p>
        </w:tc>
        <w:tc>
          <w:tcPr>
            <w:tcW w:w="2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442,000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442,000</w:t>
            </w:r>
          </w:p>
        </w:tc>
      </w:tr>
      <w:tr>
        <w:trPr>
          <w:trHeight w:val="229"/>
        </w:trPr>
        <w:tc>
          <w:tcPr>
            <w:tcW w:w="40" w:type="dxa"/>
            <w:vAlign w:val="bottom"/>
          </w:tcPr>
          <w:p>
            <w:pPr>
              <w:spacing w:after="0"/>
              <w:rPr>
                <w:sz w:val="19"/>
                <w:szCs w:val="19"/>
                <w:color w:val="auto"/>
              </w:rPr>
            </w:pPr>
          </w:p>
        </w:tc>
        <w:tc>
          <w:tcPr>
            <w:tcW w:w="3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 2019 Senior Notes</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357,000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358,750</w:t>
            </w:r>
          </w:p>
        </w:tc>
      </w:tr>
      <w:tr>
        <w:trPr>
          <w:trHeight w:val="248"/>
        </w:trPr>
        <w:tc>
          <w:tcPr>
            <w:tcW w:w="40" w:type="dxa"/>
            <w:vAlign w:val="bottom"/>
          </w:tcPr>
          <w:p>
            <w:pPr>
              <w:spacing w:after="0"/>
              <w:rPr>
                <w:sz w:val="21"/>
                <w:szCs w:val="21"/>
                <w:color w:val="auto"/>
              </w:rPr>
            </w:pPr>
          </w:p>
        </w:tc>
        <w:tc>
          <w:tcPr>
            <w:tcW w:w="3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800,750</w:t>
            </w:r>
          </w:p>
        </w:tc>
      </w:tr>
      <w:tr>
        <w:trPr>
          <w:trHeight w:val="20"/>
        </w:trPr>
        <w:tc>
          <w:tcPr>
            <w:tcW w:w="40" w:type="dxa"/>
            <w:vAlign w:val="bottom"/>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4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r>
    </w:tbl>
    <w:p>
      <w:pPr>
        <w:spacing w:after="0" w:line="94" w:lineRule="exact"/>
        <w:rPr>
          <w:sz w:val="20"/>
          <w:szCs w:val="20"/>
          <w:color w:val="auto"/>
        </w:rPr>
      </w:pPr>
    </w:p>
    <w:p>
      <w:pPr>
        <w:ind w:firstLine="413"/>
        <w:spacing w:after="0" w:line="277" w:lineRule="auto"/>
        <w:tabs>
          <w:tab w:leader="none" w:pos="648" w:val="left"/>
        </w:tabs>
        <w:numPr>
          <w:ilvl w:val="0"/>
          <w:numId w:val="13"/>
        </w:numPr>
        <w:rPr>
          <w:rFonts w:ascii="Arial" w:cs="Arial" w:eastAsia="Arial" w:hAnsi="Arial"/>
          <w:sz w:val="16"/>
          <w:szCs w:val="16"/>
          <w:color w:val="auto"/>
        </w:rPr>
      </w:pPr>
      <w:r>
        <w:rPr>
          <w:rFonts w:ascii="Arial" w:cs="Arial" w:eastAsia="Arial" w:hAnsi="Arial"/>
          <w:sz w:val="18"/>
          <w:szCs w:val="18"/>
          <w:color w:val="auto"/>
        </w:rPr>
        <w:t>The carrying value of the Senior Notes was the face value reduced by the net debt issuance costs of $9.8 million and $10.6 million at March 31, 2021 and September 30, 2020, respectively.</w:t>
      </w:r>
    </w:p>
    <w:p>
      <w:pPr>
        <w:spacing w:after="0" w:line="17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have a $400 million unsecured revolving line of credit with a syndicate of banks that expires on May 8, 2023.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 (b) 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A change in interest rates on this variable rate debt impacts the interest incurred and cash flows, but does not impact the fair value of the instrument. We had $225.0 million in borrowings outstanding at a weighted-average interest rate of 1.236% under the credit facility as of March 31, 2021.</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117"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We maintain a program to manage our foreign exchange rate risk on existing foreign-currency-denominated receivable and cash balances by entering into forward contracts to sell or buy foreign currencies. At period end, foreign-currency-denominated receivable and cash balances held by our various reporting entities are remeasured into their respective functional currencies at current market rates. The change in value from this remeasurement is then reported as a foreign exchange gain or loss for that period in our accompanying condensed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summarize our outstanding foreign currency forward contracts, by currency, at March 31, 2021 and September 30, 2020: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658"/>
              <w:spacing w:after="0"/>
              <w:rPr>
                <w:sz w:val="20"/>
                <w:szCs w:val="20"/>
                <w:color w:val="auto"/>
              </w:rPr>
            </w:pPr>
            <w:r>
              <w:rPr>
                <w:rFonts w:ascii="Arial" w:cs="Arial" w:eastAsia="Arial" w:hAnsi="Arial"/>
                <w:sz w:val="14"/>
                <w:szCs w:val="14"/>
                <w:b w:val="1"/>
                <w:bCs w:val="1"/>
                <w:color w:val="auto"/>
              </w:rPr>
              <w:t>Contract Amount</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0"/>
        </w:trPr>
        <w:tc>
          <w:tcPr>
            <w:tcW w:w="5980" w:type="dxa"/>
            <w:vAlign w:val="bottom"/>
          </w:tcPr>
          <w:p>
            <w:pPr>
              <w:spacing w:after="0"/>
              <w:rPr>
                <w:sz w:val="11"/>
                <w:szCs w:val="11"/>
                <w:color w:val="auto"/>
              </w:rPr>
            </w:pPr>
          </w:p>
        </w:tc>
        <w:tc>
          <w:tcPr>
            <w:tcW w:w="1480" w:type="dxa"/>
            <w:vAlign w:val="bottom"/>
          </w:tcPr>
          <w:p>
            <w:pPr>
              <w:jc w:val="center"/>
              <w:ind w:left="599"/>
              <w:spacing w:after="0" w:line="130" w:lineRule="exact"/>
              <w:rPr>
                <w:sz w:val="20"/>
                <w:szCs w:val="20"/>
                <w:color w:val="auto"/>
              </w:rPr>
            </w:pPr>
            <w:r>
              <w:rPr>
                <w:rFonts w:ascii="Arial" w:cs="Arial" w:eastAsia="Arial" w:hAnsi="Arial"/>
                <w:sz w:val="14"/>
                <w:szCs w:val="14"/>
                <w:b w:val="1"/>
                <w:bCs w:val="1"/>
                <w:color w:val="auto"/>
                <w:w w:val="93"/>
              </w:rPr>
              <w:t>Foreign</w:t>
            </w:r>
          </w:p>
        </w:tc>
        <w:tc>
          <w:tcPr>
            <w:tcW w:w="6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USD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188"/>
        </w:trPr>
        <w:tc>
          <w:tcPr>
            <w:tcW w:w="5980" w:type="dxa"/>
            <w:vAlign w:val="bottom"/>
          </w:tcPr>
          <w:p>
            <w:pPr>
              <w:spacing w:after="0"/>
              <w:rPr>
                <w:sz w:val="16"/>
                <w:szCs w:val="16"/>
                <w:color w:val="auto"/>
              </w:rPr>
            </w:pPr>
          </w:p>
        </w:tc>
        <w:tc>
          <w:tcPr>
            <w:tcW w:w="1480" w:type="dxa"/>
            <w:vAlign w:val="bottom"/>
            <w:tcBorders>
              <w:bottom w:val="single" w:sz="8" w:color="auto"/>
            </w:tcBorders>
          </w:tcPr>
          <w:p>
            <w:pPr>
              <w:jc w:val="center"/>
              <w:ind w:left="579"/>
              <w:spacing w:after="0"/>
              <w:rPr>
                <w:sz w:val="20"/>
                <w:szCs w:val="20"/>
                <w:color w:val="auto"/>
              </w:rPr>
            </w:pPr>
            <w:r>
              <w:rPr>
                <w:rFonts w:ascii="Arial" w:cs="Arial" w:eastAsia="Arial" w:hAnsi="Arial"/>
                <w:sz w:val="14"/>
                <w:szCs w:val="14"/>
                <w:b w:val="1"/>
                <w:bCs w:val="1"/>
                <w:color w:val="auto"/>
                <w:w w:val="94"/>
              </w:rPr>
              <w:t>Currency</w:t>
            </w: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 foreign currency:</w:t>
            </w:r>
          </w:p>
        </w:tc>
        <w:tc>
          <w:tcPr>
            <w:tcW w:w="14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rPr>
                <w:sz w:val="20"/>
                <w:szCs w:val="20"/>
                <w:color w:val="auto"/>
              </w:rPr>
            </w:pPr>
            <w:r>
              <w:rPr>
                <w:rFonts w:ascii="Arial" w:cs="Arial" w:eastAsia="Arial" w:hAnsi="Arial"/>
                <w:sz w:val="18"/>
                <w:szCs w:val="18"/>
                <w:color w:val="auto"/>
              </w:rPr>
              <w:t>Euro (EUR)</w:t>
            </w:r>
          </w:p>
        </w:tc>
        <w:tc>
          <w:tcPr>
            <w:tcW w:w="1480" w:type="dxa"/>
            <w:vAlign w:val="bottom"/>
          </w:tcPr>
          <w:p>
            <w:pPr>
              <w:ind w:left="20"/>
              <w:spacing w:after="0"/>
              <w:rPr>
                <w:sz w:val="20"/>
                <w:szCs w:val="20"/>
                <w:color w:val="auto"/>
              </w:rPr>
            </w:pPr>
            <w:r>
              <w:rPr>
                <w:rFonts w:ascii="Arial" w:cs="Arial" w:eastAsia="Arial" w:hAnsi="Arial"/>
                <w:sz w:val="18"/>
                <w:szCs w:val="18"/>
                <w:color w:val="auto"/>
              </w:rPr>
              <w:t>EUR</w:t>
            </w:r>
          </w:p>
        </w:tc>
        <w:tc>
          <w:tcPr>
            <w:tcW w:w="640" w:type="dxa"/>
            <w:vAlign w:val="bottom"/>
          </w:tcPr>
          <w:p>
            <w:pPr>
              <w:jc w:val="right"/>
              <w:spacing w:after="0"/>
              <w:rPr>
                <w:sz w:val="20"/>
                <w:szCs w:val="20"/>
                <w:color w:val="auto"/>
              </w:rPr>
            </w:pPr>
            <w:r>
              <w:rPr>
                <w:rFonts w:ascii="Arial" w:cs="Arial" w:eastAsia="Arial" w:hAnsi="Arial"/>
                <w:sz w:val="18"/>
                <w:szCs w:val="18"/>
                <w:color w:val="auto"/>
              </w:rPr>
              <w:t>19,200</w:t>
            </w:r>
          </w:p>
        </w:tc>
        <w:tc>
          <w:tcPr>
            <w:tcW w:w="1000" w:type="dxa"/>
            <w:vAlign w:val="bottom"/>
          </w:tcPr>
          <w:p>
            <w:pPr>
              <w:jc w:val="right"/>
              <w:ind w:right="65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22,643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foreign currency:</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360"/>
              <w:spacing w:after="0"/>
              <w:rPr>
                <w:sz w:val="20"/>
                <w:szCs w:val="20"/>
                <w:color w:val="auto"/>
              </w:rPr>
            </w:pPr>
            <w:r>
              <w:rPr>
                <w:rFonts w:ascii="Arial" w:cs="Arial" w:eastAsia="Arial" w:hAnsi="Arial"/>
                <w:sz w:val="18"/>
                <w:szCs w:val="18"/>
                <w:color w:val="auto"/>
              </w:rPr>
              <w:t>British pound (GBP)</w:t>
            </w:r>
          </w:p>
        </w:tc>
        <w:tc>
          <w:tcPr>
            <w:tcW w:w="1480" w:type="dxa"/>
            <w:vAlign w:val="bottom"/>
          </w:tcPr>
          <w:p>
            <w:pPr>
              <w:ind w:left="20"/>
              <w:spacing w:after="0"/>
              <w:rPr>
                <w:sz w:val="20"/>
                <w:szCs w:val="20"/>
                <w:color w:val="auto"/>
              </w:rPr>
            </w:pPr>
            <w:r>
              <w:rPr>
                <w:rFonts w:ascii="Arial" w:cs="Arial" w:eastAsia="Arial" w:hAnsi="Arial"/>
                <w:sz w:val="18"/>
                <w:szCs w:val="18"/>
                <w:color w:val="auto"/>
              </w:rPr>
              <w:t>GBP</w:t>
            </w:r>
          </w:p>
        </w:tc>
        <w:tc>
          <w:tcPr>
            <w:tcW w:w="640" w:type="dxa"/>
            <w:vAlign w:val="bottom"/>
          </w:tcPr>
          <w:p>
            <w:pPr>
              <w:jc w:val="right"/>
              <w:spacing w:after="0"/>
              <w:rPr>
                <w:sz w:val="20"/>
                <w:szCs w:val="20"/>
                <w:color w:val="auto"/>
              </w:rPr>
            </w:pPr>
            <w:r>
              <w:rPr>
                <w:rFonts w:ascii="Arial" w:cs="Arial" w:eastAsia="Arial" w:hAnsi="Arial"/>
                <w:sz w:val="18"/>
                <w:szCs w:val="18"/>
                <w:color w:val="auto"/>
              </w:rPr>
              <w:t>14,780</w:t>
            </w:r>
          </w:p>
        </w:tc>
        <w:tc>
          <w:tcPr>
            <w:tcW w:w="1000" w:type="dxa"/>
            <w:vAlign w:val="bottom"/>
          </w:tcPr>
          <w:p>
            <w:pPr>
              <w:jc w:val="right"/>
              <w:ind w:right="65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20,400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Singapore dollar (SGD)</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1000" w:type="dxa"/>
            <w:vAlign w:val="bottom"/>
            <w:shd w:val="clear" w:color="auto" w:fill="CCEEFF"/>
          </w:tcPr>
          <w:p>
            <w:pPr>
              <w:jc w:val="right"/>
              <w:ind w:right="65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9"/>
        </w:trPr>
        <w:tc>
          <w:tcPr>
            <w:tcW w:w="598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 2020</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658"/>
              <w:spacing w:after="0"/>
              <w:rPr>
                <w:sz w:val="20"/>
                <w:szCs w:val="20"/>
                <w:color w:val="auto"/>
              </w:rPr>
            </w:pPr>
            <w:r>
              <w:rPr>
                <w:rFonts w:ascii="Arial" w:cs="Arial" w:eastAsia="Arial" w:hAnsi="Arial"/>
                <w:sz w:val="14"/>
                <w:szCs w:val="14"/>
                <w:b w:val="1"/>
                <w:bCs w:val="1"/>
                <w:color w:val="auto"/>
              </w:rPr>
              <w:t>Contract Amount</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0"/>
        </w:trPr>
        <w:tc>
          <w:tcPr>
            <w:tcW w:w="5980" w:type="dxa"/>
            <w:vAlign w:val="bottom"/>
          </w:tcPr>
          <w:p>
            <w:pPr>
              <w:spacing w:after="0"/>
              <w:rPr>
                <w:sz w:val="11"/>
                <w:szCs w:val="11"/>
                <w:color w:val="auto"/>
              </w:rPr>
            </w:pPr>
          </w:p>
        </w:tc>
        <w:tc>
          <w:tcPr>
            <w:tcW w:w="1480" w:type="dxa"/>
            <w:vAlign w:val="bottom"/>
          </w:tcPr>
          <w:p>
            <w:pPr>
              <w:jc w:val="center"/>
              <w:ind w:left="599"/>
              <w:spacing w:after="0" w:line="130" w:lineRule="exact"/>
              <w:rPr>
                <w:sz w:val="20"/>
                <w:szCs w:val="20"/>
                <w:color w:val="auto"/>
              </w:rPr>
            </w:pPr>
            <w:r>
              <w:rPr>
                <w:rFonts w:ascii="Arial" w:cs="Arial" w:eastAsia="Arial" w:hAnsi="Arial"/>
                <w:sz w:val="14"/>
                <w:szCs w:val="14"/>
                <w:b w:val="1"/>
                <w:bCs w:val="1"/>
                <w:color w:val="auto"/>
                <w:w w:val="93"/>
              </w:rPr>
              <w:t>Foreign</w:t>
            </w:r>
          </w:p>
        </w:tc>
        <w:tc>
          <w:tcPr>
            <w:tcW w:w="6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USD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188"/>
        </w:trPr>
        <w:tc>
          <w:tcPr>
            <w:tcW w:w="5980" w:type="dxa"/>
            <w:vAlign w:val="bottom"/>
          </w:tcPr>
          <w:p>
            <w:pPr>
              <w:spacing w:after="0"/>
              <w:rPr>
                <w:sz w:val="16"/>
                <w:szCs w:val="16"/>
                <w:color w:val="auto"/>
              </w:rPr>
            </w:pPr>
          </w:p>
        </w:tc>
        <w:tc>
          <w:tcPr>
            <w:tcW w:w="1480" w:type="dxa"/>
            <w:vAlign w:val="bottom"/>
            <w:tcBorders>
              <w:bottom w:val="single" w:sz="8" w:color="auto"/>
            </w:tcBorders>
          </w:tcPr>
          <w:p>
            <w:pPr>
              <w:jc w:val="center"/>
              <w:ind w:left="579"/>
              <w:spacing w:after="0"/>
              <w:rPr>
                <w:sz w:val="20"/>
                <w:szCs w:val="20"/>
                <w:color w:val="auto"/>
              </w:rPr>
            </w:pPr>
            <w:r>
              <w:rPr>
                <w:rFonts w:ascii="Arial" w:cs="Arial" w:eastAsia="Arial" w:hAnsi="Arial"/>
                <w:sz w:val="14"/>
                <w:szCs w:val="14"/>
                <w:b w:val="1"/>
                <w:bCs w:val="1"/>
                <w:color w:val="auto"/>
                <w:w w:val="94"/>
              </w:rPr>
              <w:t>Currency</w:t>
            </w: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 foreign currency:</w:t>
            </w:r>
          </w:p>
        </w:tc>
        <w:tc>
          <w:tcPr>
            <w:tcW w:w="14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rPr>
                <w:sz w:val="20"/>
                <w:szCs w:val="20"/>
                <w:color w:val="auto"/>
              </w:rPr>
            </w:pPr>
            <w:r>
              <w:rPr>
                <w:rFonts w:ascii="Arial" w:cs="Arial" w:eastAsia="Arial" w:hAnsi="Arial"/>
                <w:sz w:val="18"/>
                <w:szCs w:val="18"/>
                <w:color w:val="auto"/>
              </w:rPr>
              <w:t>Euro (EUR)</w:t>
            </w:r>
          </w:p>
        </w:tc>
        <w:tc>
          <w:tcPr>
            <w:tcW w:w="1480" w:type="dxa"/>
            <w:vAlign w:val="bottom"/>
          </w:tcPr>
          <w:p>
            <w:pPr>
              <w:ind w:left="20"/>
              <w:spacing w:after="0"/>
              <w:rPr>
                <w:sz w:val="20"/>
                <w:szCs w:val="20"/>
                <w:color w:val="auto"/>
              </w:rPr>
            </w:pPr>
            <w:r>
              <w:rPr>
                <w:rFonts w:ascii="Arial" w:cs="Arial" w:eastAsia="Arial" w:hAnsi="Arial"/>
                <w:sz w:val="18"/>
                <w:szCs w:val="18"/>
                <w:color w:val="auto"/>
              </w:rPr>
              <w:t>EUR</w:t>
            </w:r>
          </w:p>
        </w:tc>
        <w:tc>
          <w:tcPr>
            <w:tcW w:w="640" w:type="dxa"/>
            <w:vAlign w:val="bottom"/>
          </w:tcPr>
          <w:p>
            <w:pPr>
              <w:jc w:val="right"/>
              <w:spacing w:after="0"/>
              <w:rPr>
                <w:sz w:val="20"/>
                <w:szCs w:val="20"/>
                <w:color w:val="auto"/>
              </w:rPr>
            </w:pPr>
            <w:r>
              <w:rPr>
                <w:rFonts w:ascii="Arial" w:cs="Arial" w:eastAsia="Arial" w:hAnsi="Arial"/>
                <w:sz w:val="18"/>
                <w:szCs w:val="18"/>
                <w:color w:val="auto"/>
              </w:rPr>
              <w:t>15,000</w:t>
            </w:r>
          </w:p>
        </w:tc>
        <w:tc>
          <w:tcPr>
            <w:tcW w:w="1000" w:type="dxa"/>
            <w:vAlign w:val="bottom"/>
          </w:tcPr>
          <w:p>
            <w:pPr>
              <w:jc w:val="right"/>
              <w:ind w:right="65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17,656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foreign currency:</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360"/>
              <w:spacing w:after="0"/>
              <w:rPr>
                <w:sz w:val="20"/>
                <w:szCs w:val="20"/>
                <w:color w:val="auto"/>
              </w:rPr>
            </w:pPr>
            <w:r>
              <w:rPr>
                <w:rFonts w:ascii="Arial" w:cs="Arial" w:eastAsia="Arial" w:hAnsi="Arial"/>
                <w:sz w:val="18"/>
                <w:szCs w:val="18"/>
                <w:color w:val="auto"/>
              </w:rPr>
              <w:t>British pound (GBP)</w:t>
            </w:r>
          </w:p>
        </w:tc>
        <w:tc>
          <w:tcPr>
            <w:tcW w:w="1480" w:type="dxa"/>
            <w:vAlign w:val="bottom"/>
          </w:tcPr>
          <w:p>
            <w:pPr>
              <w:ind w:left="20"/>
              <w:spacing w:after="0"/>
              <w:rPr>
                <w:sz w:val="20"/>
                <w:szCs w:val="20"/>
                <w:color w:val="auto"/>
              </w:rPr>
            </w:pPr>
            <w:r>
              <w:rPr>
                <w:rFonts w:ascii="Arial" w:cs="Arial" w:eastAsia="Arial" w:hAnsi="Arial"/>
                <w:sz w:val="18"/>
                <w:szCs w:val="18"/>
                <w:color w:val="auto"/>
              </w:rPr>
              <w:t>GBP</w:t>
            </w:r>
          </w:p>
        </w:tc>
        <w:tc>
          <w:tcPr>
            <w:tcW w:w="640" w:type="dxa"/>
            <w:vAlign w:val="bottom"/>
          </w:tcPr>
          <w:p>
            <w:pPr>
              <w:jc w:val="right"/>
              <w:spacing w:after="0"/>
              <w:rPr>
                <w:sz w:val="20"/>
                <w:szCs w:val="20"/>
                <w:color w:val="auto"/>
              </w:rPr>
            </w:pPr>
            <w:r>
              <w:rPr>
                <w:rFonts w:ascii="Arial" w:cs="Arial" w:eastAsia="Arial" w:hAnsi="Arial"/>
                <w:sz w:val="18"/>
                <w:szCs w:val="18"/>
                <w:color w:val="auto"/>
              </w:rPr>
              <w:t>16,555</w:t>
            </w:r>
          </w:p>
        </w:tc>
        <w:tc>
          <w:tcPr>
            <w:tcW w:w="1000" w:type="dxa"/>
            <w:vAlign w:val="bottom"/>
          </w:tcPr>
          <w:p>
            <w:pPr>
              <w:jc w:val="right"/>
              <w:ind w:right="65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21,300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Singapore dollar (SGD)</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w:t>
            </w:r>
          </w:p>
        </w:tc>
        <w:tc>
          <w:tcPr>
            <w:tcW w:w="1000" w:type="dxa"/>
            <w:vAlign w:val="bottom"/>
            <w:shd w:val="clear" w:color="auto" w:fill="CCEEFF"/>
          </w:tcPr>
          <w:p>
            <w:pPr>
              <w:jc w:val="right"/>
              <w:ind w:right="65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foreign currency forward contracts were entered into on March 31, 2021 and September 30, 2020, respectively; therefore, their fair value was $0 on each of these dates.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An evaluation was carried out under the supervision and with the participation of FICO’s management, including the Chief Executive Officer (“CEO”) and Chief Financial Officer (“CFO”), of the effectiveness of the design and operation of FICO’s disclosure controls and procedures (as defined in Rules 13a-15(e) or 15d-15(e) under the Securities Exchange Act of 1934, as amended (the “Exchange Act”)) as of the end of the period covered by this quarterly report. Based on that evaluation, the CEO and CFO have concluded that FICO’s disclosure controls and procedures are effective to ensure that information required to be disclosed by FICO in reports that it files or submits under the Exchange Act is recorded, processed, summarized and reported within the time periods specified in SEC rules and forms. In addition, the disclosure controls and procedures are designed to ensure that information required to be disclosed is accumulated and communicated to management, including the CEO and CFO, allowing timely decisions regarding required disclosure.</w:t>
      </w: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No change in FICO’s internal control over financial reporting was identified in connection with the evaluation required by Rules 13a-15 or 15d-15 of the Exchange Act that occurred during the period covered by this quarterly report and that has materially affected, or is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No material updates have occurred since the disclosure included in Part II, Item 1 “Legal Proceedings” of our Quarterly Report on Form 10-Q for the fiscal quarter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Market and Strategy Risks</w:t>
      </w:r>
    </w:p>
    <w:p>
      <w:pPr>
        <w:spacing w:after="0" w:line="175" w:lineRule="exact"/>
        <w:rPr>
          <w:sz w:val="20"/>
          <w:szCs w:val="20"/>
          <w:color w:val="auto"/>
        </w:rPr>
      </w:pPr>
    </w:p>
    <w:p>
      <w:pPr>
        <w:ind w:left="180" w:right="20"/>
        <w:spacing w:after="0" w:line="342" w:lineRule="auto"/>
        <w:rPr>
          <w:sz w:val="20"/>
          <w:szCs w:val="20"/>
          <w:color w:val="auto"/>
        </w:rPr>
      </w:pPr>
      <w:r>
        <w:rPr>
          <w:rFonts w:ascii="Arial" w:cs="Arial" w:eastAsia="Arial" w:hAnsi="Arial"/>
          <w:sz w:val="16"/>
          <w:szCs w:val="16"/>
          <w:b w:val="1"/>
          <w:bCs w:val="1"/>
          <w:i w:val="1"/>
          <w:iCs w:val="1"/>
          <w:color w:val="auto"/>
        </w:rPr>
        <w:t>The effects of the COVID-19 pandemic have negatively affected how we and our customers are operating our businesses. The duration of these effects, and the extent to which they will impact our future revenues, results of operations and overall financial performance, remain uncertain.</w:t>
      </w:r>
    </w:p>
    <w:p>
      <w:pPr>
        <w:spacing w:after="0" w:line="7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COVID-19 pandemic has resulted in a widespread health crisis that has adversely affected the global economy, leading to reduced consumer spending and lending activities and disruptions and volatility in the global capital markets. COVID-19 has caused shutdowns to businesses and cities worldwide and has disrupted supply chains, business operations, travel, and consumer confidence.</w:t>
      </w:r>
    </w:p>
    <w:p>
      <w:pPr>
        <w:spacing w:after="0" w:line="130"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As a result of the COVID-19 pandemic, we have temporarily closed the majority of our offices (including our corporate headquarters in the United States) and implemented travel restrictions, both of which have disrupted how we operate our business. Due in part to anticipated post-pandemic workforce patterns, we have permanently closed certain non-core offices, reduced certain other office space and reduced our global workforce. Our operations may be further negatively affected by a range of external factors related to the COVID-19 pandemic that are not within our control. For example, many cities, counties, states, and countries may continue to impose a wide range of restrictions on our employees’, partners’ and customers’ physical movement to limit the spread of COVID-19. We have postponed, canceled or shifted certain of our customer, employee or industry events to virtual-only experiences and may continue to do so in the future. If the COVID-19 pandemic has a substantial impact on our employees’, partners’ or customers’ productivity or ability to collaborate, our results of operations and overall financial performance may be harmed.</w:t>
      </w:r>
    </w:p>
    <w:p>
      <w:pPr>
        <w:spacing w:after="0" w:line="124"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The situation surrounding the COVID-19 pandemic is constantly evolving and both the short-term and long-term effects remain unknown. Our customers, and therefore our business and revenues, are sensitive to negative changes in general economic conditions and lending activities. The COVID-19 pandemic may affect the rate of spending on our solutions and could adversely affect our customers’ ability or willingness to purchase our products and services, cause prospective customers to change product selections or term commitments, delay or cancel their purchasing decisions, extend sales cycles, and potentially increase payment defaults, all of which could adversely affect our future revenues, results of operations and overall financial performance. We have seen evidence that COVID-19 has adversely affected certain segments and originations volume, which may impact future revenue. We are unable to accurately predict the complete impact that COVID-19 will have on our future results of operations, financial condition, liquidity and cash flows due to numerous uncertainties, including the severity and transmission rate of the virus, the duration of the outbreak, the extent and effectiveness of containment actions, the effectiveness of any medical treatment and prevention options, and the impact of these and other factors on us, our employees, customers, partners and vendors, and on worldwide and U.S. economic conditions. If we are not able to respond to and manage these impacts effectively, our business may be harmed to a material extent.</w:t>
      </w:r>
    </w:p>
    <w:p>
      <w:pPr>
        <w:spacing w:after="0" w:line="18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continue to expand the pursuit of our Decision Management strategy, and we may not be successful, which could cause our growth prospects and results of operations to suffer.</w:t>
      </w:r>
    </w:p>
    <w:p>
      <w:pPr>
        <w:spacing w:after="0" w:line="197"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We continue to expand the pursuit of our business objective to become a leader in helping businesses automate and improve decisions across their enterprises, an approach that we commonly refer to as Decision Management, or “DM.” We have increasingly focused our DM strategy on bringing our Decision Management software together in a flexible, extensible, and cloud-native platform approach (the FICO Decision Management Platform). Our DM strategy is designed to enable us to increase our business by selling multiple connectable and extensible DM products to clients, as well as to enable the development of custom client solutions and to allow our clients to more easily expand their usage and the use cases they enable over time. The market may be unreceptive to our general DM business approach, including being unreceptive to our cloud-based offerings, unreceptive to purchasing multiple products from us, or unreceptive to our customized solutions. As we continue to pursue our DM strategy, we may experience volatility in our revenues and operating results caused by various factors, including differences in revenue recognition treatment between our cloud-based offerings and on-premise software licenses, the timing of investments and other expenditures necessary to develop and operate our cloud-based offerings, and the adoption of new sales and delivery methods. If our DM strategy is not successful, we may not be able to grow our business, growth may occur more slowly than we anticipate, or our revenues and profits may decline.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derive a substantial portion of our revenues from a small number of products and services, and if the market does not continue to accept these products and services, our revenues will decline.</w:t>
      </w:r>
    </w:p>
    <w:p>
      <w:pPr>
        <w:spacing w:after="0" w:line="19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expect that revenues derived from our scoring solutions, fraud solutions, customer communication services, customer management solutions and decision management software will continue to account for a substantial portion of our total revenues for the foreseeable future. Our revenues will decline if the market does not continue to accept these products and services. Factors that might affect the market acceptance of these products and services include the following:</w:t>
      </w:r>
    </w:p>
    <w:p>
      <w:pPr>
        <w:spacing w:after="0" w:line="21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business analytics industry;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obtain or use key data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saturation or contraction of market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key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industry consolidation;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successfully adopt cloud-based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obtain regulatory approvals for our products and services, including credit score models;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increasing availability of free or relatively inexpensive consumer credit, credit score and other information from public or commercial sources;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execute our selling approach;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successfully sell our products in new vertical markets.</w:t>
      </w:r>
    </w:p>
    <w:p>
      <w:pPr>
        <w:spacing w:after="0" w:line="238"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revenues depend, to a great extent, upon conditions in the banking (including consumer credit) industry. If our clients’ industry experiences uncertainty, it will likely harm our business, financial condition or results of operations.</w:t>
      </w:r>
    </w:p>
    <w:p>
      <w:pPr>
        <w:spacing w:after="0" w:line="197"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During fiscal 2020, 86% of our revenues were derived from sales of products and services to the banking industry. Periods of global economic uncertainty experienced in the past have produced substantial stress, volatility, illiquidity and disruption of global credit and other financial markets, resulting in the bankruptcy or acquisition of, or government assistance to, several major domestic and international financial institutions. The potential for future stress and disruptions, including in connection with the COVID-19 pandemic, presents considerable risks to our businesses and operations. These risks include potential bankruptcies or credit deterioration of financial institutions, many of which are our customers. Such disruption would result in a decline in the revenue we receive from financial and other institutions. In addition, if consumer demand for financial services and products and the number of credit applications decrease, the demand for our products and services could also be materially reduced. These types of disruptions could lead to a decline in the volumes of services we provide our customers and could negatively impact our revenue and results of operations.</w:t>
      </w:r>
    </w:p>
    <w:p>
      <w:pPr>
        <w:spacing w:after="0" w:line="19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While the rate of account growth in the U.S. bankcard industry has been slow and many of our large institutional customers have consolidated in recent years, we have generated most of our revenue growth from our bankcard-related scoring and account management businesses by selling and cross-selling our products and services to large banks and other credit issuers. As the banking industry continues to experience contraction in the number of participating institutions, we may have fewer opportunities for revenue growth due to reduced or changing demand for our products and services that support customer acquisition programs of our customers. In addition, industry contraction could affect the base of recurring revenues derived from contracts in which we are paid on a per-transaction basis as formerly separate customers combine their operations under one contract. There can be no assurance that we will be able to prevent future revenue contraction or effectively promote future revenue growth in our businesses.</w:t>
      </w:r>
    </w:p>
    <w:p>
      <w:pPr>
        <w:spacing w:after="0" w:line="20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While we are attempting to expand our sales of consumer credit and banking products and services into international markets, the risks are greater as these markets are also experiencing substantial disruption and we are less well-known in them.</w:t>
      </w:r>
    </w:p>
    <w:p>
      <w:pPr>
        <w:spacing w:after="0" w:line="197" w:lineRule="exact"/>
        <w:rPr>
          <w:sz w:val="20"/>
          <w:szCs w:val="20"/>
          <w:color w:val="auto"/>
        </w:rPr>
      </w:pPr>
    </w:p>
    <w:p>
      <w:pPr>
        <w:jc w:val="both"/>
        <w:ind w:left="180"/>
        <w:spacing w:after="0" w:line="327" w:lineRule="auto"/>
        <w:rPr>
          <w:sz w:val="20"/>
          <w:szCs w:val="20"/>
          <w:color w:val="auto"/>
        </w:rPr>
      </w:pPr>
      <w:r>
        <w:rPr>
          <w:rFonts w:ascii="Arial" w:cs="Arial" w:eastAsia="Arial" w:hAnsi="Arial"/>
          <w:sz w:val="15"/>
          <w:szCs w:val="15"/>
          <w:b w:val="1"/>
          <w:bCs w:val="1"/>
          <w:i w:val="1"/>
          <w:iCs w:val="1"/>
          <w:color w:val="auto"/>
        </w:rPr>
        <w:t>We rely on relatively few customers, as well as our contracts with the three major credit reporting agencies, for a significant portion of our revenues and profits. Many of our customers are significantly larger than we are and may have greater bargaining power. The businesses of our largest customers depend, in large part, on favorable macroeconomic conditions. If these customers are negatively impacted by weak global economic conditions, global economic volatility or the terms of these relationships otherwise change, our revenues and operating results could decline.</w:t>
      </w:r>
    </w:p>
    <w:p>
      <w:pPr>
        <w:spacing w:after="0" w:line="16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Most of our customers are relatively large enterprises, such as banks, payment card processors, insurance companies, healthcare firms, telecommunications providers, retailers and public agencies. As a result, many of our customers and potential customers are significantly larger than we are and may have sufficient bargaining power to demand reduced prices and favorable nonstandard terms.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the U.S. and other key international economies are experiencing and have experienced in the past a downturn in which economic activity was impacted by falling demand for a variety of goods and services, restricted credit, poor liquidity, reduced corporate profitability, volatility in credit, equity and foreign exchange markets, bankruptcies and overall uncertainty with respect to the economy. The potential for economic disruption presents considerable risks to our business, including potential bankruptcies or credit deterioration of financial institutions with which we have substantial relationships. Such disruption</w:t>
      </w:r>
      <w:r>
        <w:rPr>
          <w:rFonts w:ascii="Arial" w:cs="Arial" w:eastAsia="Arial" w:hAnsi="Arial"/>
          <w:sz w:val="18"/>
          <w:szCs w:val="18"/>
          <w:color w:val="212529"/>
        </w:rPr>
        <w:t>, whether arising in connection with the current COVID-19 pandemic or otherwise, could</w:t>
      </w:r>
      <w:r>
        <w:rPr>
          <w:rFonts w:ascii="Arial" w:cs="Arial" w:eastAsia="Arial" w:hAnsi="Arial"/>
          <w:sz w:val="18"/>
          <w:szCs w:val="18"/>
          <w:color w:val="auto"/>
        </w:rPr>
        <w:t xml:space="preserve"> result in a decline in the volume of transactions that we execute for our customers.</w:t>
      </w:r>
    </w:p>
    <w:p>
      <w:pPr>
        <w:spacing w:after="0" w:line="219"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18"/>
          <w:szCs w:val="18"/>
          <w:color w:val="auto"/>
        </w:rPr>
        <w:t>We also derive a substantial portion of our revenues and operating income from our contracts with the three major credit reporting agencies, Experian, TransUnion and Equifax, and other parties that distribute our products to certain markets. The loss of or a significant change in a relationship with one of these credit reporting agencies with respect to their distribution of our products or with respect to our myFICO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offerings, the loss of or a significant change in a relationship with a major customer, the loss of or a significant change in a relationship with a significant third-party distributor (including payment card processors), or the delay of significant revenues from these sources, could have a material adverse effect on our revenues and 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are unable to access new markets or develop new distribution channels, our business and growth prospects could suffer.</w:t>
      </w:r>
    </w:p>
    <w:p>
      <w:pPr>
        <w:spacing w:after="0" w:line="252"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We expect that part of the growth that we seek to achieve through our DM strategy will be derived from the sale of DM products and service solutions in industries and markets we do not currently serve. We also expect to grow our business by delivering our DM solutions through additional distribution channels. If we fail to penetrate these industries and markets to the degree we anticipate utilizing our DM strategy, or if we fail to develop additional distribution channels, we may not be able to grow our business, growth may occur more slowly than we anticipate, or our revenues and profits may decline.</w:t>
      </w:r>
    </w:p>
    <w:p>
      <w:pPr>
        <w:spacing w:after="0" w:line="18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we are unable to develop successful new products or if we experience defects, failures and delays associated with the introduction of new products, our business could suffer serious harm.</w:t>
      </w:r>
    </w:p>
    <w:p>
      <w:pPr>
        <w:spacing w:after="0" w:line="197"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growth and the success of our DM strategy depend upon our ability to develop and sell new products or suites of products, including the development and sale of our cloud-based product offerings. If we are unable to develop new products, or if we are not successful in introducing new products, we may not be able to grow our business or growth may occur more slowly than we anticipate. In addition, significant undetected errors or delays in new products or new versions of products may affect market acceptance of our products and could harm our business, financial condition or results of operations. In the past, we have experienced delays while developing and introducing new products and product enhancements, primarily due to difficulties developing models, acquiring data, and adapting to particular operating environments or certain client or other systems. We have also experienced errors or “bugs” in our software products, despite testing prior to release of the products. Software errors in our products could affect the ability of our products to work with other hardware or software products, could delay the development or release of new products or new versions of products, and could adversely affect market acceptance of our products. Errors or defects in our products that are significant, or are perceived to be significant, could result in rejection of our products, damage to our reputation, loss of revenues, diversion of development resources, an increase in product liability claims, and increases in service and support costs and warranty claims.</w:t>
      </w:r>
    </w:p>
    <w:p>
      <w:pPr>
        <w:spacing w:after="0" w:line="20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ability to increase our revenues will depend to some extent upon introducing new products and services. If the marketplace does not accept these new products and services, our revenues may decline.</w:t>
      </w:r>
    </w:p>
    <w:p>
      <w:pPr>
        <w:spacing w:after="0" w:line="19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To increase our revenues, we must enhance and improve existing products and continue to introduce new products and new versions of existing products that keep pace with technological developments, satisfy increasingly sophisticated customer requirements and achieve market acceptance. We believe much of the future growth of our business and the success of our DM strategy will rest on our ability to continue to expand into newer markets for our products and services. Such areas are relatively new to our product development and sales and marketing personnel. Products that we plan to market in the future are in various stages of development. We cannot assure you that the marketplace will accept these products. If our current or potential customers are not willing to switch to or adopt our new products and services, either as a result of the quality of these products and services or due to other factors, such as economic conditions, our revenues will decrease.</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fail to keep up with rapidly changing technologies, our products could become less competitive or obsolete.</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our markets, technology changes rapidly, and there are continuous improvements in computer hardware, network operating systems, programming tools, programming languages, operating systems, database technologies, cloud-based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technologies and the use of the Internet. If we fail to enhance our current products and develop new products in response to changes in technology or industry standards, or if we fail to bring product enhancements or new product developments to market quickly enough, our products could rapidly become less competitive or obsolete. Our future success will depend, in part, upon our ability to:</w:t>
      </w:r>
    </w:p>
    <w:p>
      <w:pPr>
        <w:spacing w:after="0" w:line="21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innovate by internally developing new and competitive technologies;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leading third-party technologies effectively;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develop our technical expertise;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anticipate and effectively respond to changing customer needs;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initiate new product introductions in a way that minimizes the impact of customers delaying purchases of existing products in anticipation of new product releases; and</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influence and respond to emerging industry standards and other technological changes.</w:t>
      </w:r>
    </w:p>
    <w:p>
      <w:pPr>
        <w:spacing w:after="0" w:line="238" w:lineRule="exact"/>
        <w:rPr>
          <w:sz w:val="20"/>
          <w:szCs w:val="20"/>
          <w:color w:val="auto"/>
        </w:rPr>
      </w:pPr>
    </w:p>
    <w:p>
      <w:pPr>
        <w:ind w:left="180"/>
        <w:spacing w:after="0" w:line="308" w:lineRule="auto"/>
        <w:rPr>
          <w:sz w:val="20"/>
          <w:szCs w:val="20"/>
          <w:color w:val="auto"/>
        </w:rPr>
      </w:pPr>
      <w:r>
        <w:rPr>
          <w:rFonts w:ascii="Arial" w:cs="Arial" w:eastAsia="Arial" w:hAnsi="Arial"/>
          <w:sz w:val="17"/>
          <w:szCs w:val="17"/>
          <w:b w:val="1"/>
          <w:bCs w:val="1"/>
          <w:i w:val="1"/>
          <w:iCs w:val="1"/>
          <w:color w:val="auto"/>
        </w:rPr>
        <w:t>Our product and pricing strategies may not be successful. If our competitors introduce new products and pricing strategies, it could decrease our product sales and market share, or could pressure us to reduce our product prices in a manner that reduces our margins.</w:t>
      </w:r>
    </w:p>
    <w:p>
      <w:pPr>
        <w:spacing w:after="0" w:line="173"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Demand for our products and services may be sensitive to product and pricing changes we implement, and our product and pricing strategies may not be accepted by the market. If our customers fail to accept our product and pricing strategies, our revenues, results of operations and business may suffer. In addition, we may not be able to compete successfully against our competitors, and this inability could impair our capacity to sell our products. The market for business analytics is rapidly evolving and highly competitive, and we expect competition in this market to persist and intensify. Our regional and global competitors vary in size and in the scope of the products and services they offer, and include:</w:t>
      </w:r>
    </w:p>
    <w:p>
      <w:pPr>
        <w:spacing w:after="0" w:line="20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in-house analytic and systems developers;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scoring model builders;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fraud and security management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enterprise resource planning, customer relationship management, and customer communication and mobility solution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intelligence solutions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credit report and credit score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process management and decision rules management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process modeling tools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automated application processing services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data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neural network developers and artificial intelligence system builders;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professional services and consulting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account/workflow management software providers;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software tools companies supplying modeling, rules, or analytic development tools; collections and recovery solutions providers; entity resolution and social network analysis solutions providers; and</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cloud-based customer engagement and risk management solutions providers.</w:t>
      </w:r>
    </w:p>
    <w:p>
      <w:pPr>
        <w:spacing w:after="0" w:line="23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We expect to experience additional competition from other established and emerging companies, as well as from other technologies. For example, certain of our fraud solutions products compete against other methods of preventing payment card fraud, such as payment cards that contain the cardholder’s photograph; smart cards; cardholder verification and authentication solutions; biometric measures on devices including fingerprint and face matching; and other card authorization techniques and user verification techniques. Many of our existing and anticipated competitors have greater financial, technical, marketing, professional services and other resources than we do, and industry consolidation is creating even larger competitors in many of our markets. As a result, our competitors may be able to respond more quickly to new or emerging technologies and changes in customer requirements. They may also be able to devote greater resources than we can to develop, promote and sell their products. Many of these companies have extensive customer relationships, including relationships with many of our current and potential customers. Furthermore, new competitors or alliances among competitors may emerge and rapidly gain significant market share. For example, Experian, TransUnion and Equifax have formed an alliance that has developed a credit scoring product competitive with our products. If we are unable to respond as quickly or effectively to changes in customer requirements as our competition, our ability to expand our business and sell our products will be negatively affected.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competitors may be able to sell products competitive to ours at lower prices individually or as part of integrated suites of several related products. This ability may cause our customers to purchase products that directly compete with our products from our competitors. Price reductions by our competitors could negatively impact our margins, and could also harm our ability to obtain new long-term contracts and renewals of existing long-term contracts on favorable terms.</w:t>
      </w:r>
    </w:p>
    <w:p>
      <w:pPr>
        <w:spacing w:after="0" w:line="214"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We rely on relationships with third parties for marketing, distribution and certain services. If we experience difficulties in these relationships, including competition from these third parties, our future revenues may be adversely affected.</w:t>
      </w:r>
    </w:p>
    <w:p>
      <w:pPr>
        <w:spacing w:after="0" w:line="19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of our products rely on distributors, and we intend to continue to market and distribute our products through existing and future distributor relationships. Our Scores segment relies on, among others, Experian, TransUnion and Equifax. Failure of our existing and future distributors to generate significant revenues or otherwise perform their expected services or functions, demands by such distributors to change the terms on which they offer our products, or our failure to establish additional distribution or sales and marketing alliances, could have a material adverse effect on our business, operating results and financial condition. In addition, certain of our distributors presently compete with us and may compete with us in the future, either by developing competitive products themselves or by distributing competitive offerings. For example, Experian, TransUnion and Equifax have developed a credit scoring product to compete directly with our products and are collectively attempting to sell the product. Competition from distributors or other sales and marketing partners could significantly harm sales of our products and services.</w:t>
      </w:r>
    </w:p>
    <w:p>
      <w:pPr>
        <w:spacing w:after="0" w:line="205"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acquisition activities may disrupt our ongoing business and may involve increased expenses, and we may not realize the financial and strategic goals contemplated at the time of a transaction.</w:t>
      </w:r>
    </w:p>
    <w:p>
      <w:pPr>
        <w:spacing w:after="0" w:line="197"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We have acquired and expect to continue to acquire companies, businesses, products, services and technologies. Acquisitions involve significant risks and uncertainties, including:</w:t>
      </w:r>
    </w:p>
    <w:p>
      <w:pPr>
        <w:spacing w:after="0" w:line="19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ongoing business may be disrupted and our management’s attention may be diverted by acquisition, transition or integration activities;</w:t>
      </w:r>
    </w:p>
    <w:p>
      <w:pPr>
        <w:spacing w:after="0" w:line="34" w:lineRule="exact"/>
        <w:rPr>
          <w:rFonts w:ascii="Arial" w:cs="Arial" w:eastAsia="Arial" w:hAnsi="Arial"/>
          <w:sz w:val="17"/>
          <w:szCs w:val="17"/>
          <w:color w:val="auto"/>
        </w:rPr>
      </w:pPr>
    </w:p>
    <w:p>
      <w:pPr>
        <w:jc w:val="both"/>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acquisition may not further our business strategy as we expected, we may not integrate acquired operations or technology as successfully as we expected or we may overpay for our investments, or otherwise not realize the expected return, which could adversely affect our business or operating results;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retain the key employees, customers and other business partners of the acquired operation;</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have difficulties entering new markets where we have no or limited direct prior experience or where competitors may have stronger market positions;</w:t>
      </w:r>
    </w:p>
    <w:p>
      <w:pPr>
        <w:jc w:val="both"/>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operating results or financial condition may be adversely impacted by known or unknown claims or liabilities we assume in an acquisition or that are imposed on us as a result of an acquisition, including claims by government agencies or authorities, terminated employees, current or former customers, former stockholders or other third parties;</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not realize the anticipated increase in our revenues from an acquisition for a number of reasons, including if a larger than predicted number of customers decline to renew their contracts, if we are unable to incorporate the acquired technologies or products with our existing product lines in a uniform manner, if we are unable to sell the acquired products to our customer base or if contract models of an acquired company or changes in accounting treatment do not allow us to recognize revenues on a timely basis;</w:t>
      </w: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use of cash to pay for acquisitions may limit other potential uses of our cash, including stock repurchases, dividend payments and retirement of outstanding indebtedness; and</w:t>
      </w:r>
    </w:p>
    <w:p>
      <w:pPr>
        <w:ind w:left="660" w:hanging="328"/>
        <w:spacing w:after="0" w:line="26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the extent we issue a significant amount of equity securities in connection with future acquisitions, existing stockholders may be diluted and earnings per share may decrease.</w:t>
      </w:r>
    </w:p>
    <w:p>
      <w:pPr>
        <w:spacing w:after="0" w:line="21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Because acquisitions are inherently risky, our transactions may not be successful and may have a material adverse effect on our business, results of operations, financial condition or cash flows. Acquisitions of businesses having a significant presence outside the U.S. will increase our exposure to the risks of conducting operations in international markets.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There can be no assurance that strategic divestitures will provide business benefits.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part of our strategy, we continuously evaluate our portfolio of businesses. We have previously, are currently, and may in the future make other changes to our portfolio as well, which may be material. Divestitures involve risks, including:</w:t>
      </w:r>
    </w:p>
    <w:p>
      <w:pPr>
        <w:spacing w:after="0" w:line="19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 of our operations or businesses;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reductions of our revenues or earnings per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the separation of operations, services, products and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finding a suitable purchaser;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line="25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disposing of businesses or assets at a price or on terms that are less favorable than we had anticipated, or with purchase price adjustments or the exclusion of assets or liabilities that must be divested, managed or run off separately;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management's attention from our other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loss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effects on relationships with our customers, suppliers or their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erosion of employee morale or customer confidence;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retention of contingent liabilities related to the divested business.</w:t>
      </w:r>
    </w:p>
    <w:p>
      <w:pPr>
        <w:spacing w:after="0" w:line="23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If we do not successfully manage the risks associated with divestitures, our business, financial condition, and results of operations could be adversely affected as the potential strategic benefits may not be realized or may take longer to realize than expected.</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reengineering efforts may cause our growth prospects and profitability to suffer.</w:t>
      </w:r>
    </w:p>
    <w:p>
      <w:pPr>
        <w:spacing w:after="0" w:line="252"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As part of our management approach, we pursue ongoing reengineering efforts designed to grow revenues through strategic resource allocation and improve profitability through cost reductions. For example, in September 2020, we implemented a course of action designed to reduce our operating costs in lower value, less strategic areas of our business in order to facilitate incremental investment in higher value, more strategic areas while also reducing our facilities footprint in light of anticipated post-pandemic workforce patterns. In addition, we are in the process of implementing a new Remote Work Policy which will allow a portion of our workforce to partially or fully work from home. These and other reengineering efforts may not be successful over the long term should we fail to reduce expenses at the anticipated level, should we fail to increase revenues to anticipated levels or at all, or should productivity decline or employees’ ability to collaborate fall as a result of the Remote Work Policy. If our reengineering efforts are not successful over the long term, our revenues, results of operations and business may suffer.</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will continue to rely upon proprietary technology rights, and if we are unable to protect them, our business could be harmed.</w:t>
      </w:r>
    </w:p>
    <w:p>
      <w:pPr>
        <w:spacing w:after="0" w:line="252"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Our success depends, in part, upon our proprietary technology and other intellectual property rights. To date, we have relied primarily on a combination of copyright, patent, trade secret, and trademark laws, and nondisclosure and other contractual restrictions on copying and distribution, to protect our proprietary technology. This protection of our proprietary technology is limited, and our proprietary technology could be used by others without our consent. In addition, patents may not be issued with respect to our pending or future patent applications, and our patents may not be upheld as valid or may not prevent the development of competitive products. Any disclosure, loss, invalidity of, or failure to protect our intellectual property could negatively impact our competitive position, and ultimately, our business. There can be no assurance that our protection of our intellectual property rights in the U.S. or abroad will be adequate or that others, including our competitors, will not use our proprietary technology without our consent. Furthermore, litigation may be necessary to enforce our intellectual property rights, to protect our trade secrets, or to determine the validity and scope of the proprietary rights of others. Such litigation could result in substantial costs and diversion of resources and could harm our business, financial condition or results of operations.</w:t>
      </w:r>
    </w:p>
    <w:p>
      <w:pPr>
        <w:spacing w:after="0" w:line="19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Some of our technologies were developed under research projects conducted under agreements with various U.S. government agencies or subcontractors. Although we have commercial rights to these technologies, the U.S. government typically retains ownership of intellectual property rights and licenses in the technologies developed by us under these contracts, and in some cases can terminate our rights in these technologies if we fail to commercialize them on a timely basis. Under these contracts with the U.S. government, the results of research may be made public by the government, limiting our competitive advantage with respect to future products based on our research.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Risks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cybersecurity measures are compromised or unauthorized access to customer or consumer data is otherwise obtained, our products and services may be perceived as not being secure, customers may curtail or cease their use of our products and services, our reputation may be damaged and we could incur significant liabilities.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Because our business requires the storage, transmission and utilization of sensitive consumer and customer information, we will continue to routinely be the target of attempted cybersecurity and other security threats by outside third parties, including technically sophisticated and well-resourced bad actors attempting to access or steal the data we store. Many of our products are provided by us through the Internet. We may be exposed to additional cybersecurity threats as we migrate our data from our legacy systems to cloud-based solutions. We operate in an environment of significant risk of cybersecurity incidents resulting from unintentional events or deliberate attacks by third parties or insiders, which may involve exploiting highly obscure security vulnerabilities or sophisticated attack methods. </w:t>
      </w:r>
      <w:r>
        <w:rPr>
          <w:rFonts w:ascii="Arial" w:cs="Arial" w:eastAsia="Arial" w:hAnsi="Arial"/>
          <w:sz w:val="18"/>
          <w:szCs w:val="18"/>
          <w:color w:val="212529"/>
        </w:rPr>
        <w:t>These threats include phishing attacks on our email systems and other cyber-attacks, including</w:t>
      </w:r>
      <w:r>
        <w:rPr>
          <w:rFonts w:ascii="Arial" w:cs="Arial" w:eastAsia="Arial" w:hAnsi="Arial"/>
          <w:sz w:val="18"/>
          <w:szCs w:val="18"/>
          <w:color w:val="auto"/>
        </w:rPr>
        <w:t xml:space="preserve"> </w:t>
      </w:r>
      <w:r>
        <w:rPr>
          <w:rFonts w:ascii="Arial" w:cs="Arial" w:eastAsia="Arial" w:hAnsi="Arial"/>
          <w:sz w:val="18"/>
          <w:szCs w:val="18"/>
          <w:color w:val="212529"/>
        </w:rPr>
        <w:t>state-sponsored cyber-attacks, industrial espionage, insider threats, denial-of-service attacks, computer viruses, ransomware and other malware, payment fraud or other cyber incidents.</w:t>
      </w:r>
    </w:p>
    <w:p>
      <w:pPr>
        <w:spacing w:after="0" w:line="21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Cybersecurity breaches could expose us to a risk of loss, the unauthorized disclosure of consumer or customer information, significant litigation, regulatory fines, penalties, loss of customers or reputational damage, indemnity obligations and other liability. If our cybersecurity measures are breached as a result of third-party action, employee error, malfeasance or otherwise, and as a result, someone obtains unauthorized access to our systems or to consumer or customer information, sensitive data may be accessed, stolen, disclosed or lost, our reputation may be damaged, our business may suffer and we could incur significant liability. Because the techniques used to obtain unauthorized access, disable or degrade service or to sabotage systems change frequently and generally are not recognized until launched against a target, or even for some time after, we may be unable to anticipate these techniques, implement adequate preventative measures or remediate any intrusion on a timely or effective basis. Because a successful breach of our computer systems, software, networks or other technology asset could occur and persist for an extended period of time before being detected, we may not be able to immediately address the consequences of a cybersecurity incident.</w:t>
      </w:r>
    </w:p>
    <w:p>
      <w:pPr>
        <w:spacing w:after="0" w:line="2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Malicious third parties may also conduct attacks designed to temporarily deny customers, distributors and vendors access to our systems and services. Cybersecurity breaches experienced by our vendors, by our distributors, by our customers or by us may trigger governmental notice requirements and public disclosures, which may lead to widespread negative publicity. Any such cybersecurity breach, whether actual or perceived, could harm our reputation, erode customer confidence in the effectiveness of our security measures, negatively impact our ability to attract new customers, cause existing customers to curtail or cease their use of our products and services, cause regulatory or industry changes that impact our products and services, or subject us to third-party lawsuits, regulatory fines or other action or liability, all of which could materially and adversely affect our business and operating results. In addition, the COVID-19 pandemic may cause increased cybersecurity risk, as cybercriminals attempt to capitalize from the disruption, including remote working arrangements.</w:t>
      </w:r>
    </w:p>
    <w:p>
      <w:pPr>
        <w:spacing w:after="0" w:line="21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If we experience business interruptions or failure of our information technology and communication systems, the availability of our products and services could be interrupted which could adversely affect our reputation, business and financial condition.</w:t>
      </w:r>
    </w:p>
    <w:p>
      <w:pPr>
        <w:spacing w:after="0" w:line="19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Our ability to provide reliable service in our businesses depends on the efficient and uninterrupted operation of our data centers, information technology and communication systems, and increasingly those of our external service providers. As we continue to grow our SaaS business, our dependency on the continuing operation and availability of these systems increases. Our systems and data centers, and those of our external service providers, could be exposed to damage or interruption. These interruptions can include software or hardware malfunctions, communication failures, outages or other failures of third-party environments or service providers, fires, floods, earthquakes, </w:t>
      </w:r>
      <w:r>
        <w:rPr>
          <w:rFonts w:ascii="Arial" w:cs="Arial" w:eastAsia="Arial" w:hAnsi="Arial"/>
          <w:sz w:val="18"/>
          <w:szCs w:val="18"/>
          <w:color w:val="212529"/>
        </w:rPr>
        <w:t>pandemics (including the COVID-19 pandemic)</w:t>
      </w:r>
      <w:r>
        <w:rPr>
          <w:rFonts w:ascii="Arial" w:cs="Arial" w:eastAsia="Arial" w:hAnsi="Arial"/>
          <w:sz w:val="18"/>
          <w:szCs w:val="18"/>
          <w:b w:val="1"/>
          <w:bCs w:val="1"/>
          <w:color w:val="212529"/>
        </w:rPr>
        <w:t>,</w:t>
      </w:r>
      <w:r>
        <w:rPr>
          <w:rFonts w:ascii="Arial" w:cs="Arial" w:eastAsia="Arial" w:hAnsi="Arial"/>
          <w:sz w:val="18"/>
          <w:szCs w:val="18"/>
          <w:color w:val="auto"/>
        </w:rPr>
        <w:t xml:space="preserve"> war, terrorist acts or civil unrest, power losses, equipment failures, computer viruses, denial-of-service or other cybersecurity attacks, employee or insider malfeasance, human error and other events beyond our control. Although we have taken steps to prevent system failures and we have installed back-up systems and procedures to prevent or reduce disruption, such steps may not be sufficient to prevent an interruption of services and our disaster recovery planning may not account for all eventualities.</w:t>
      </w:r>
    </w:p>
    <w:p>
      <w:pPr>
        <w:spacing w:after="0" w:line="22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An operational failure or outage in any of these systems, or damage to or destruction of these systems, which causes disruptions in our services, could result in loss of customers, damage to customer relationships, reduced revenues and profits, refunds of customer charges and damage to our brand and reputation and may require us to incur substantial additional expense to repair or replace damaged equipment and recover data loss caused by the interruption. Any one or more of the foregoing occurrences could have a material adverse effect on our reputation, business, financial condition, cash flows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failure to recruit and retain additional qualified personnel could hinder our ability to successfully manage our business.</w:t>
      </w:r>
    </w:p>
    <w:p>
      <w:pPr>
        <w:spacing w:after="0" w:line="25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Our DM strategy and our future success will depend in large part on our ability to attract and retain experienced sales, consulting, research and development, marketing, technical support and management personnel. The complexity of our products requires highly trained personnel for research and development and to assist customers with product installation, deployment, maintenance and support. The labor market for these individuals is very competitive due to the limited number of people available with the necessary technical skills and understanding and may become more competitive with general market and economic improvement. We cannot be certain that our compensation strategies will be perceived as competitive by current or prospective employees. This could impair our ability to recruit and retain personnel. We have experienced difficulty in recruiting qualified personnel, especially technical, sales and consulting personnel, and we may need additional staff to support new customers and/or increased customer needs. We may also recruit skilled technical professionals from other countries to work in the U.S., and from the U.S. and other countries to work abroad. Limitations imposed by immigration laws in the U.S. and abroad and the availability of visas in the countries where we do business could hinder our ability to attract necessary qualified personnel and harm our business and future operating results. There is a risk that even if we invest significant resources in attempting to attract, train and retain qualified personnel, we will not succeed in our efforts, and our business could be harmed. The failure of the value of our stock to appreciate may adversely affect our ability to use equity and equity-based incentive plans to attract and retain personnel, and may require us to use alternative and more expensive forms of compensation for this purpose.</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failure to obtain certain forms of model construction data from our customers or others could harm our business.</w:t>
      </w:r>
    </w:p>
    <w:p>
      <w:pPr>
        <w:spacing w:after="0" w:line="25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Our business requires that we develop or obtain a reliable source of sufficient amounts of current and statistically relevant data to analyze transactions and update our products. In most cases, these data must be periodically updated and refreshed to enable our products to continue to work effectively in a changing environment. We do not own or control much of the data that we require, most of which is collected privately and maintained in proprietary databases. Customers and key business partners provide us with the data we require to analyze transactions, report results and build new models. Our DM strategy depends in part upon our ability to access new forms of data to develop custom and proprietary analytic tools. If we fail to maintain sufficient data sourcing relationships with our customers and business partners, or if they decline to provide such data due to privacy, security, competition or regulatory concerns, prohibitions or a lack of permission from their customers or partners, we could lose access to required data and our products, and the development of new products, might become less effective. We could also become subject to increased legislative, regulatory or judicial restrictions or mandates on the collection, disclosure or use of such data, in particular if such data is not collected by our providers in a way that allows us to legally use the data. Third parties have asserted copyright and other intellectual property interests in these data, and these assertions, if successful, could prevent us from using these data. We may not be successful in maintaining our relationships with these external data source providers or in continuing to obtain data from them on acceptable terms or at all. Any interruption of our supply of data could seriously harm our business, financial condition or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Global Operational Risks</w:t>
      </w:r>
    </w:p>
    <w:p>
      <w:pPr>
        <w:spacing w:after="0" w:line="256"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Material adverse developments in global economic conditions, or the occurrence of certain other world events, could affect demand for our products and services and harm our business.</w:t>
      </w:r>
    </w:p>
    <w:p>
      <w:pPr>
        <w:spacing w:after="0" w:line="197"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Purchases of technology products and services and decisioning solutions are subject to adverse economic conditions. When an economy is struggling, companies in many industries delay or reduce technology purchases, and we experience softened demand for our decisioning solutions and other products and services. Global economic uncertainty in the past, and currently as a result of the COVID-19 pandemic, has produced substantial stress, volatility, illiquidity and disruption of global credit and other financial markets. The COVID-19 pandemic has adversely affected the global economy, leading to reduced consumer spending and lending activities and disruptions and volatility in the global capital markets. The pandemic has also caused shutdowns to businesses and cities worldwide and has disrupted supply chains, business operations, travel, and consumer confidence.</w:t>
      </w:r>
    </w:p>
    <w:p>
      <w:pPr>
        <w:spacing w:after="0" w:line="19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Economic uncertainty has and could continue to negatively affect the businesses and purchasing decisions of companies in the industries we serve. Such disruptions present considerable risks to our businesses and operations. As global economic conditions experience stress and negative volatility, or if there is an escalation in regional or global conflicts or terrorism, we will likely experience reductions in the number of available customers and in capital expenditures by our remaining customers, longer sales cycles, deferral or delay of purchase commitments for our products and increased price competition, which may adversely affect our business, results of operations and liquidity.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are subject to risks and uncertainties associated with the United Kingdom’s withdrawal from the E.U., commonly referred to as “Brexit,” including implications for the free flow of labor and goods in the United Kingdom (“U.K.”) and the E.U. and other economic, financial, legal, tax and trade implications. Brexit could cause disruptions to and create uncertainty surrounding our business in the U.K., including affecting our relationships with our existing and future customers, suppliers and employees, which could have an adverse effect on our business, financial results and operations. Brexit has caused, and may continue to create, volatility in global stock markets and regional and global economic uncertainty, which may cause our customers to closely monitor their costs and reduce their spending budget on our products and services.</w:t>
      </w:r>
    </w:p>
    <w:p>
      <w:pPr>
        <w:spacing w:after="0" w:line="124"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As a result of these conditions, risks and uncertainties, we may need to modify our strategies, businesses or operations, and we may incur additional costs in order to compete in a changed business environment. Given the volatile nature of the global economic environment and the uncertainties underlying efforts to stabilize it, we may not timely anticipate or manage existing, new or additional risks, as well as contingencies or developments, which may include regulatory developments and trends in new products and services. Our failure to do so could materially and adversely affect our business, financial condition, results of operations and prospects.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In operations outside the U.S., we are subject to additional risks that may harm our business, financial condition or results of operations.</w:t>
      </w:r>
    </w:p>
    <w:p>
      <w:pPr>
        <w:spacing w:after="0" w:line="27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 growing portion of our revenues is derived from international sales. During fiscal 2020, 32% of our revenues were derived from business outside the U.S. As part of our growth strategy, we plan to continue to pursue opportunities outside the U.S., including opportunities in countries with economic systems that are in early stages of development and that may not mature sufficiently to result in growth for our business. Accordingly, our future operating results could be negatively affected by a variety of factors arising out of international commerce, some of which are beyond our control. These factors include:</w:t>
      </w:r>
    </w:p>
    <w:p>
      <w:pPr>
        <w:spacing w:after="0" w:line="21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and political conditions in countries where we sell our products and services;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staffing and efficiently managing our operations in multiple geographic locations and in various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effects of a variety of foreign laws and regulations, including restrictions on access to personal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data privacy and consumer protection laws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import and export licensing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enforcing contracts and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unfavorable tax rules or changes in tariffs and other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presence and acceptance of varying levels of business corruption in international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212529"/>
        </w:rPr>
        <w:t>terrorism, war, natural disasters and pandemics, including the COVID-19 pandemic;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and delays in translating products and related documentation into foreign languages.</w:t>
      </w:r>
    </w:p>
    <w:p>
      <w:pPr>
        <w:spacing w:after="0" w:line="238"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There can be no assurance that we will be able to successfully address each of these challenges in the near term. Additionally, some of our business will be conducted in currencies other than the U.S. dollar. Foreign currency transaction gains and losses are not currently material to our cash flows, financial position or results of operations. However, an increase in our foreign revenues could subject us to increased foreign currency transaction risks in the future.</w:t>
      </w:r>
    </w:p>
    <w:p>
      <w:pPr>
        <w:spacing w:after="0" w:line="17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addition to the risk of depending on international sales, we have risks incurred in having research and development personnel located in various international locations. We currently have a substantial portion of our product development staff in international locations, some of which have political and developmental risks. If such risks materialize, our business could be damaged.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Regulatory and Compliance Risks</w:t>
      </w:r>
    </w:p>
    <w:p>
      <w:pPr>
        <w:spacing w:after="0" w:line="256" w:lineRule="exact"/>
        <w:rPr>
          <w:sz w:val="20"/>
          <w:szCs w:val="20"/>
          <w:color w:val="auto"/>
        </w:rPr>
      </w:pPr>
    </w:p>
    <w:p>
      <w:pPr>
        <w:jc w:val="both"/>
        <w:ind w:left="180"/>
        <w:spacing w:after="0" w:line="327" w:lineRule="auto"/>
        <w:rPr>
          <w:sz w:val="20"/>
          <w:szCs w:val="20"/>
          <w:color w:val="auto"/>
        </w:rPr>
      </w:pPr>
      <w:r>
        <w:rPr>
          <w:rFonts w:ascii="Arial" w:cs="Arial" w:eastAsia="Arial" w:hAnsi="Arial"/>
          <w:sz w:val="15"/>
          <w:szCs w:val="15"/>
          <w:b w:val="1"/>
          <w:bCs w:val="1"/>
          <w:i w:val="1"/>
          <w:iCs w:val="1"/>
          <w:color w:val="auto"/>
        </w:rPr>
        <w:t>Laws and regulations in the U.S. and abroad that apply to us or to our customers may expose us to liability, cause us to incur significant expense, affect our ability to compete in certain markets, limit the profitability of or demand for our products, or render our products obsolete. If these laws and regulations require us to change our products and services, it could adversely affect our business and results of operations. New legislation or regulations, or changes to existing laws and regulations, may also negatively impact our business and increase our costs of doing business.</w:t>
      </w:r>
    </w:p>
    <w:p>
      <w:pPr>
        <w:spacing w:after="0" w:line="16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Laws and governmental regulation affect how our business is conducted and, in some cases, subject us to the possibility of government supervision and future lawsuits arising from our products and services. Laws and governmental regulation also influence our current and prospective customers’ activities, as well as their expectations and needs in relation to our products and services. Laws and regulations that may affect our business and our current and prospective customers’ activities include, but are not limited to, those in the following significant regulatory areas:</w:t>
      </w:r>
    </w:p>
    <w:p>
      <w:pPr>
        <w:spacing w:after="0" w:line="198" w:lineRule="exact"/>
        <w:rPr>
          <w:sz w:val="20"/>
          <w:szCs w:val="20"/>
          <w:color w:val="auto"/>
        </w:rPr>
      </w:pPr>
    </w:p>
    <w:p>
      <w:pPr>
        <w:ind w:left="580" w:hanging="329"/>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Use of data by creditors and consumer reporting agencies (e.g., the U.S. Fair Credit Reporting Act);</w:t>
      </w:r>
    </w:p>
    <w:p>
      <w:pPr>
        <w:spacing w:after="0" w:line="23" w:lineRule="exact"/>
        <w:rPr>
          <w:rFonts w:ascii="Arial" w:cs="Arial" w:eastAsia="Arial" w:hAnsi="Arial"/>
          <w:sz w:val="18"/>
          <w:szCs w:val="18"/>
          <w:color w:val="auto"/>
        </w:rPr>
      </w:pPr>
    </w:p>
    <w:p>
      <w:pPr>
        <w:ind w:left="580" w:hanging="329"/>
        <w:spacing w:after="0" w:line="250" w:lineRule="auto"/>
        <w:tabs>
          <w:tab w:leader="none" w:pos="5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and regulations that limit the use of credit scoring models (e.g., state “mortgage trigger” or “inquiries” laws, state insurance restrictions on the use of credit-based insurance scores, and the E.U. Consumer Credit Directive);</w:t>
      </w:r>
    </w:p>
    <w:p>
      <w:pPr>
        <w:ind w:left="580" w:hanging="329"/>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Fair lending laws (e.g., the Equal Credit Opportunity Act and Regulation B, and the Fair Housing Act);</w:t>
      </w:r>
    </w:p>
    <w:p>
      <w:pPr>
        <w:spacing w:after="0" w:line="9" w:lineRule="exact"/>
        <w:rPr>
          <w:rFonts w:ascii="Arial" w:cs="Arial" w:eastAsia="Arial" w:hAnsi="Arial"/>
          <w:sz w:val="18"/>
          <w:szCs w:val="18"/>
          <w:color w:val="auto"/>
        </w:rPr>
      </w:pPr>
    </w:p>
    <w:p>
      <w:pPr>
        <w:jc w:val="both"/>
        <w:ind w:left="580" w:hanging="329"/>
        <w:spacing w:after="0" w:line="265" w:lineRule="auto"/>
        <w:tabs>
          <w:tab w:leader="none" w:pos="575"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Privacy and security laws and regulations that limit the use and disclosure of personally identifiable information, require security procedures, or otherwise apply to the collection, processing, storage, use and transfer of protected data (e.g., the U.S. Financial Services Modernization Act of 1999, also known as the Gramm Leach Bliley Act; the General Data Protection Regulation (the “GDPR”) and country-specific data protection laws enacted to supplement the GDPR; the U.S. Health Insurance Portability and Accountability Act of 1996, as amended by the Health Information Technology for Economic and Clinical Health Act; the Cybersecurity Act of 2015; the U.S. Department of Commerce’s National Institute of Standards and Technology’s Cybersecurity Framework; the Clarifying Lawful Overseas Use of Data Act; and identity theft, file freezing, security breach notification and similar state privacy laws);</w:t>
      </w:r>
    </w:p>
    <w:p>
      <w:pPr>
        <w:spacing w:after="0" w:line="1" w:lineRule="exact"/>
        <w:rPr>
          <w:rFonts w:ascii="Arial" w:cs="Arial" w:eastAsia="Arial" w:hAnsi="Arial"/>
          <w:sz w:val="17"/>
          <w:szCs w:val="17"/>
          <w:color w:val="auto"/>
        </w:rPr>
      </w:pPr>
    </w:p>
    <w:p>
      <w:pPr>
        <w:ind w:left="580" w:hanging="329"/>
        <w:spacing w:after="0" w:line="216" w:lineRule="exact"/>
        <w:tabs>
          <w:tab w:leader="none" w:pos="5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Extension of credit to consumers through the Electronic Fund Transfers Act and Regulation E, as well as non</w:t>
      </w:r>
      <w:r>
        <w:rPr>
          <w:rFonts w:ascii="MS PGothic" w:cs="MS PGothic" w:eastAsia="MS PGothic" w:hAnsi="MS PGothic"/>
          <w:sz w:val="18"/>
          <w:szCs w:val="18"/>
          <w:color w:val="auto"/>
        </w:rPr>
        <w:t>‑</w:t>
      </w:r>
      <w:r>
        <w:rPr>
          <w:rFonts w:ascii="Arial" w:cs="Arial" w:eastAsia="Arial" w:hAnsi="Arial"/>
          <w:sz w:val="18"/>
          <w:szCs w:val="18"/>
          <w:color w:val="auto"/>
        </w:rPr>
        <w:t>governmental VISA and MasterCard electronic payment standards;</w:t>
      </w:r>
    </w:p>
    <w:p>
      <w:pPr>
        <w:jc w:val="both"/>
        <w:ind w:left="580" w:hanging="329"/>
        <w:spacing w:after="0" w:line="250" w:lineRule="auto"/>
        <w:tabs>
          <w:tab w:leader="none" w:pos="5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and regulations applicable to secondary market participants (e.g., Fannie Mae and Freddie Mac) that could have an impact on our scoring products and revenues, including 12 CFR Part 1254 (Validation and Approval of Credit Score Models) issued by the Federal Housing Finance Agency in accordance with Section 310 of the Economic Growth, Regulatory Relief, and Consumer Protection Act (Public Law 115-174), and any regulations, standards or criteria established pursuant to such laws or regulations;</w:t>
      </w:r>
    </w:p>
    <w:p>
      <w:pPr>
        <w:spacing w:after="0" w:line="1" w:lineRule="exact"/>
        <w:rPr>
          <w:rFonts w:ascii="Arial" w:cs="Arial" w:eastAsia="Arial" w:hAnsi="Arial"/>
          <w:sz w:val="18"/>
          <w:szCs w:val="18"/>
          <w:color w:val="auto"/>
        </w:rPr>
      </w:pPr>
    </w:p>
    <w:p>
      <w:pPr>
        <w:ind w:left="580" w:hanging="329"/>
        <w:spacing w:after="0" w:line="250" w:lineRule="auto"/>
        <w:tabs>
          <w:tab w:leader="none" w:pos="5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and regulations applicable to our customer communication clients and their use of our products and services (e.g., the Telemarketing Sales Rule, Telephone Consumer Protection Act and regulations promulgated thereunder);</w:t>
      </w:r>
    </w:p>
    <w:p>
      <w:pPr>
        <w:ind w:left="580" w:hanging="329"/>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and regulations applicable to our insurance clients and their use of our insurance products and services;</w:t>
      </w:r>
    </w:p>
    <w:p>
      <w:pPr>
        <w:spacing w:after="0" w:line="9" w:lineRule="exact"/>
        <w:rPr>
          <w:rFonts w:ascii="Arial" w:cs="Arial" w:eastAsia="Arial" w:hAnsi="Arial"/>
          <w:sz w:val="18"/>
          <w:szCs w:val="18"/>
          <w:color w:val="auto"/>
        </w:rPr>
      </w:pPr>
    </w:p>
    <w:p>
      <w:pPr>
        <w:jc w:val="both"/>
        <w:ind w:left="580" w:right="20" w:hanging="329"/>
        <w:spacing w:after="0" w:line="250" w:lineRule="auto"/>
        <w:tabs>
          <w:tab w:leader="none" w:pos="5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application or extension of consumer protection laws, including implementing regulations (e.g., the Consumer Financial Protection Act, the Federal Trade Commission Act, the Truth In Lending Act and Regulation Z, the Fair Debt Collection Practices Act, the Servicemembers Civil Relief Act, the Military Lending Act, and the Credit Repair Organizations Act);</w:t>
      </w:r>
    </w:p>
    <w:p>
      <w:pPr>
        <w:spacing w:after="0" w:line="1" w:lineRule="exact"/>
        <w:rPr>
          <w:rFonts w:ascii="Arial" w:cs="Arial" w:eastAsia="Arial" w:hAnsi="Arial"/>
          <w:sz w:val="18"/>
          <w:szCs w:val="18"/>
          <w:color w:val="auto"/>
        </w:rPr>
      </w:pPr>
    </w:p>
    <w:p>
      <w:pPr>
        <w:ind w:left="580" w:hanging="329"/>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and regulations governing the use of the Internet and social media, telemarketing, advertising, endorsements and testimonials;</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Anti-bribery and corruption laws and regulations (e.g., the Foreign Corrupt Practices Act and the UK Bribery Act 2010);</w:t>
      </w:r>
    </w:p>
    <w:p>
      <w:pPr>
        <w:spacing w:after="0" w:line="9" w:lineRule="exact"/>
        <w:rPr>
          <w:rFonts w:ascii="Arial" w:cs="Arial" w:eastAsia="Arial" w:hAnsi="Arial"/>
          <w:sz w:val="18"/>
          <w:szCs w:val="18"/>
          <w:color w:val="auto"/>
        </w:rPr>
      </w:pPr>
    </w:p>
    <w:p>
      <w:pPr>
        <w:ind w:left="580" w:hanging="329"/>
        <w:spacing w:after="0" w:line="250" w:lineRule="auto"/>
        <w:tabs>
          <w:tab w:leader="none" w:pos="5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regulatory standards (e.g., Sarbanes-Oxley Act requirements to maintain and verify internal process controls, including controls for material event awareness and notification);</w:t>
      </w:r>
    </w:p>
    <w:p>
      <w:pPr>
        <w:ind w:left="580" w:hanging="329"/>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requirements for managing third parties (e.g., vendors, contractors, suppliers and distributors);</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Anti-money laundering laws and regulations (e.g., the Bank Secrecy Act and the USA PATRIOT Act);</w:t>
      </w:r>
    </w:p>
    <w:p>
      <w:pPr>
        <w:spacing w:after="0" w:line="9" w:lineRule="exact"/>
        <w:rPr>
          <w:rFonts w:ascii="Arial" w:cs="Arial" w:eastAsia="Arial" w:hAnsi="Arial"/>
          <w:sz w:val="18"/>
          <w:szCs w:val="18"/>
          <w:color w:val="auto"/>
        </w:rPr>
      </w:pPr>
    </w:p>
    <w:p>
      <w:pPr>
        <w:ind w:left="580" w:right="20" w:hanging="329"/>
        <w:spacing w:after="0" w:line="281" w:lineRule="auto"/>
        <w:tabs>
          <w:tab w:leader="none" w:pos="575" w:val="left"/>
        </w:tabs>
        <w:numPr>
          <w:ilvl w:val="0"/>
          <w:numId w:val="21"/>
        </w:numPr>
        <w:rPr>
          <w:rFonts w:ascii="Arial" w:cs="Arial" w:eastAsia="Arial" w:hAnsi="Arial"/>
          <w:sz w:val="16"/>
          <w:szCs w:val="16"/>
          <w:color w:val="auto"/>
        </w:rPr>
      </w:pPr>
      <w:r>
        <w:rPr>
          <w:rFonts w:ascii="Arial" w:cs="Arial" w:eastAsia="Arial" w:hAnsi="Arial"/>
          <w:sz w:val="16"/>
          <w:szCs w:val="16"/>
          <w:color w:val="auto"/>
        </w:rPr>
        <w:t>Financial regulatory reform stemming from the Dodd-Frank Wall Street Reform and Consumer Protection Act and the many regulations mandated by that Act, including regulations issued by, and the supervisory and investigative authority of, the Consumer Financial Protection Bureau; and</w:t>
      </w:r>
    </w:p>
    <w:p>
      <w:pPr>
        <w:spacing w:after="0" w:line="1" w:lineRule="exact"/>
        <w:rPr>
          <w:rFonts w:ascii="Arial" w:cs="Arial" w:eastAsia="Arial" w:hAnsi="Arial"/>
          <w:sz w:val="16"/>
          <w:szCs w:val="16"/>
          <w:color w:val="auto"/>
        </w:rPr>
      </w:pPr>
    </w:p>
    <w:p>
      <w:pPr>
        <w:ind w:left="580" w:hanging="329"/>
        <w:spacing w:after="0" w:line="260" w:lineRule="auto"/>
        <w:tabs>
          <w:tab w:leader="none" w:pos="5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and regulations regarding export controls as they apply to FICO products delivered in non-U.S. countries (e.g., Office of Foreign Asset Control sanctions, and Export Administration Regulations).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many U.S. and foreign jurisdictions have passed, or are currently contemplating, a variety of consumer protection, privacy, and data security laws and regulations that may relate to our business or affect the demand for our products and services. For example, the GDPR became effective on May 25, 2018 and imposes, among other things, strict obligations and restrictions on the ability to collect, analyze and transfer European Union (“E.U.”) personal data, a requirement for prompt notice of data breaches in certain circumstances, and possible substantial fines for any violations (including possible fines for certain violations of up to the greater of 20 million Euros or 4% of total worldwide annual revenue). A decision in July 2020 by the Court of Justice of the European Union (</w:t>
      </w:r>
      <w:r>
        <w:rPr>
          <w:rFonts w:ascii="Arial" w:cs="Arial" w:eastAsia="Arial" w:hAnsi="Arial"/>
          <w:sz w:val="18"/>
          <w:szCs w:val="18"/>
          <w:i w:val="1"/>
          <w:iCs w:val="1"/>
          <w:color w:val="auto"/>
        </w:rPr>
        <w:t>i.e.</w:t>
      </w:r>
      <w:r>
        <w:rPr>
          <w:rFonts w:ascii="Arial" w:cs="Arial" w:eastAsia="Arial" w:hAnsi="Arial"/>
          <w:sz w:val="18"/>
          <w:szCs w:val="18"/>
          <w:color w:val="auto"/>
        </w:rPr>
        <w:t>, Schrems II), calls into question certain data transfer mechanisms between the E.U. and the U.S. The decision may have an adverse impact on cross-border transfers of personal data, may subject us to additional scrutiny from E.U. regulators or may increase our costs of compliance.</w:t>
      </w:r>
    </w:p>
    <w:p>
      <w:pPr>
        <w:spacing w:after="0" w:line="21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Brazil, India, South Africa, Japan, China, Israel, Canada, and several other countries have introduced and, in some cases, enacted, similar privacy and data security laws. The California Consumer Privacy Act of 2018 (“CCPA”) gives California residents certain privacy rights in the collection and disclosure of their personal information and requires businesses to make certain disclosures and take certain other acts in furtherance of those rights. A new privacy law, the California Privacy Rights Act (“CPRA”), passed via a ballot referendum in November 2020, and will revise and expand the scope of the CCPA. Other U.S. states have considered and/or enacted similar privacy laws.</w:t>
      </w:r>
    </w:p>
    <w:p>
      <w:pPr>
        <w:spacing w:after="0" w:line="13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costs and other burdens of compliance with privacy and data security laws and regulations could negatively impact the use and adoption of our solutions and reduce overall demand for them. Additionally, concerns regarding data privacy may cause our customers, or their customers and potential customers, to resist providing the data necessary to allow us to deliver our solutions effectively. Even the perception that the privacy of personal information is not satisfactorily protected or does not meet regulatory requirements could inhibit sales of our solutions and any failure to comply with such laws and regulations could lead to significant fines, penalties or other liabilities. Any such decrease in demand or incurred fines, penalties or other liabilities could have a material adverse effect on our business, results of operations, and financial condition.</w:t>
      </w:r>
    </w:p>
    <w:p>
      <w:pPr>
        <w:spacing w:after="0" w:line="20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to existing laws and regulations, changes in the U.S. or foreign legislative, judicial, regulatory or consumer environments could harm our business, financial condition or results of operations. The laws and regulations above, and changes to them or their interpretation by the courts, could affect the demand for or profitability of our products, including scoring and consumer products. New laws and regulations pertaining to our customers could cause them to pursue new strategies, reducing the demand for our products.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are subject to infringement claims, it could harm our business.</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expect that products in the industry segments in which we compete, including software products, will increasingly be subject to claims of patent and other intellectual property infringement as the number of products and competitors in our industry segments grow. We may need to defend claims that our products infringe intellectual property rights, and as a result we may:</w:t>
      </w:r>
    </w:p>
    <w:p>
      <w:pPr>
        <w:spacing w:after="0" w:line="21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significant defense costs or substantial damages;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required to cease the use or sale of infringing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expend significant resources to develop or license a substitute non-infringing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discontinue the use of some technology; or</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required to obtain a license under the intellectual property rights of the third-party claiming infringement, which license may not be available or might require substantial royalties or license fees that would reduce our margins.</w:t>
      </w:r>
    </w:p>
    <w:p>
      <w:pPr>
        <w:spacing w:after="0" w:line="212" w:lineRule="exact"/>
        <w:rPr>
          <w:sz w:val="20"/>
          <w:szCs w:val="20"/>
          <w:color w:val="auto"/>
        </w:rPr>
      </w:pPr>
    </w:p>
    <w:p>
      <w:pPr>
        <w:jc w:val="both"/>
        <w:ind w:left="180"/>
        <w:spacing w:after="0" w:line="275" w:lineRule="auto"/>
        <w:rPr>
          <w:sz w:val="20"/>
          <w:szCs w:val="20"/>
          <w:color w:val="auto"/>
        </w:rPr>
      </w:pPr>
      <w:r>
        <w:rPr>
          <w:rFonts w:ascii="Arial" w:cs="Arial" w:eastAsia="Arial" w:hAnsi="Arial"/>
          <w:sz w:val="17"/>
          <w:szCs w:val="17"/>
          <w:color w:val="auto"/>
        </w:rPr>
        <w:t>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solutions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256"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b w:val="1"/>
          <w:bCs w:val="1"/>
          <w:i w:val="1"/>
          <w:iCs w:val="1"/>
          <w:color w:val="auto"/>
        </w:rPr>
        <w:t>Our products have long and variable sales cycles. If we do not accurately predict these cycles, we may not forecast our financial results accurately, and our stock price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We experience difficulty in forecasting our revenues accurately because the length of our sales cycles makes it difficult for us to predict the quarter in which sales will occur. In addition, our selling approach is complex as we look to sell multiple products and services across our customers’ organizations. This makes forecasting of revenues in any given period more difficult. As a result of our sales approach and lengthening sales cycles, revenues and operating results may vary significantly from period to period. For example, the sales cycle for our products typically ranges from 60 days to 18 months, which may be further extended as a result of COVID-19. Customers are often cautious in making decisions to acquire our products because purchasing our products typically involves a significant commitment of capital and may involve shifts by the customer to a new software and/or hardware platform or changes in the customer’s operational procedures. This may cause customers, particularly those experiencing financial stress, to make purchasing decisions more cautiously. Delays in completing sales can arise while customers complete their internal procedures to approve large capital expenditures and test and accept our applications. Consequently, we face difficulty predicting the quarter in which sales to expected customers will occur and experience fluctuations in our revenues and operating results. If we are unable to accurately forecast our revenues, our stock price could be adversely affected.</w:t>
      </w:r>
    </w:p>
    <w:p>
      <w:pPr>
        <w:spacing w:after="0" w:line="168"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typically have revenue-generating transactions concentrated in the final weeks of a quarter, which may prevent accurate forecasting of our financial results and cause our stock price to decline.</w:t>
      </w:r>
    </w:p>
    <w:p>
      <w:pPr>
        <w:spacing w:after="0" w:line="19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Large portions of our customer agreements are consummated in the weeks immediately preceding quarter end. Before these agreements are consummated, we create and rely on forecasted revenues for planning, modeling and earnings guidance. Forecasts, however, are only estimates and actual results may vary for a particular quarter or longer periods of time. Consequently, significant discrepancies between actual and forecasted results could limit our ability to plan, budget or provide accurate guidance, which could adversely affect our stock price. Any publicly-stated revenue or earnings projections are subject to this risk.</w:t>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Charges to earnings resulting from acquisitions may adversely affect our operating results.</w:t>
      </w:r>
    </w:p>
    <w:p>
      <w:pPr>
        <w:spacing w:after="0" w:line="25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Under business combination accounting standards, we recognize the identifiable assets acquired and the liabilities assumed in acquired companies generally at their acquisition-date fair values and separately from goodwill. Goodwill is measured as the excess amount of consideration transferred, which is also generally measured at fair value, and the net of the amounts of the identifiable assets acquired and the liabilities assumed as of the acquisition date. Our estimates of fair value are based upon assumptions believed to be reasonable but which are inherently uncertain.</w:t>
      </w:r>
    </w:p>
    <w:p>
      <w:pPr>
        <w:spacing w:after="0" w:line="19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After we complete an acquisition, the following factors could result in material charges and adversely affect our operating results and may adversely affect our cash flows:</w:t>
      </w:r>
    </w:p>
    <w:p>
      <w:pPr>
        <w:spacing w:after="0" w:line="19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impairment of goodwill or intangible assets, or a reduction in the useful lives of intangible assets acquired;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amortization of intangible assets acquired;</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identification of, or changes to, assumed contingent liabilities, both income tax and non-income tax related, after our final determination of the amounts for these contingencies or the conclusion of the measurement period (generally up to one year from the acquisition date), whichever comes first;</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incurred to combine the operations of companies we acquire, such as transitional employee expenses and employee retention, redeployment or relocation expenses;</w:t>
      </w:r>
    </w:p>
    <w:p>
      <w:pPr>
        <w:jc w:val="both"/>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charges to our operating results to maintain certain duplicative pre-merger activities for an extended period of time or to maintain these activities for a period of time that is longer than we had anticipated, charges to eliminate certain duplicative pre-merger activities, and charges to restructure our operations or to reduce our cost structure;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charges to our operating results resulting from expenses incurred to effect the acquisition.</w:t>
      </w:r>
    </w:p>
    <w:p>
      <w:pPr>
        <w:spacing w:after="0" w:line="2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Substantially all of these costs will be accounted for as expenses that will decrease our net income and earnings per share for the periods in which those costs are incurred. Charges to our operating results in any given period could differ substantially from other periods based on the timing and size of our future acquisitions and the extent of integration activities. A more detailed discussion of our accounting for business combinations and other items is presented in the “Critical Accounting Policies and Estimates” section of Management’s Discussion and Analysis of Financial Condition and Results of Operations (Part I, Item 2).</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occurrence of certain negative events may cause fluctuations in our stock price.</w:t>
      </w:r>
    </w:p>
    <w:p>
      <w:pPr>
        <w:spacing w:after="0" w:line="252"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The market price of our common stock has been volatile and may continue to be subject to wide fluctuations due to a number of factors, including variations in our revenues and operating results. We believe that you should not rely on period-to-period comparisons of financial results as an indication of future performance. Because many of our operating expenses are fixed and will not be affected by short-term fluctuations in revenues, short-term fluctuations in revenues may significantly impact operating results. Additional factors that may cause our stock price to fluctuate include the following:</w:t>
      </w:r>
    </w:p>
    <w:p>
      <w:pPr>
        <w:spacing w:after="0" w:line="18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variability in demand from our existing customers;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meet the expectations of market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recommendations by market analysts;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lengthy and variable sales cycle of many products, combined with the relatively large size of orders for our products, increases the likelihood of short-term fluctuation in revenues;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consumer or customer dissatisfaction with, or problems caused by, the performance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new product announcements and introductions in comparison with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our operating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demand and competitive and other conditions in the consumer credit, banking and insurance industries;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fluctuations in domestic and international economic conditions</w:t>
      </w:r>
      <w:r>
        <w:rPr>
          <w:rFonts w:ascii="Arial" w:cs="Arial" w:eastAsia="Arial" w:hAnsi="Arial"/>
          <w:sz w:val="17"/>
          <w:szCs w:val="17"/>
          <w:color w:val="212529"/>
        </w:rPr>
        <w:t>, such as those which have occurred as a result of the COVID-19 pandemic;</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complete large installations, and to adopt and configure cloud-based deployments, on schedule and within budget;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relating to litigation or regulatory matters;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acquisition-related expenses and charges;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of orders for and deliveries of software systems.</w:t>
      </w:r>
    </w:p>
    <w:p>
      <w:pPr>
        <w:spacing w:after="0" w:line="211"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In addition, the financial markets have at various times experienced significant price and volume fluctuations that have particularly affected the stock prices of many technology companies and financial services companies, and these fluctuations sometimes have been unrelated to the operating performance of these companies. Broad market fluctuations, as well as industry-specific and general economic conditions, may negatively affect our business and require us to record an impairment charge related to goodwill, which could adversely affect our results of operations, stock price and business.</w:t>
      </w:r>
    </w:p>
    <w:p>
      <w:pPr>
        <w:spacing w:after="0" w:line="18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anti-takeover defenses could make it difficult for another company to acquire control of FICO, thereby limiting the demand for our securities by certain types of purchasers or the price investors are willing to pay for our stock.</w:t>
      </w:r>
    </w:p>
    <w:p>
      <w:pPr>
        <w:spacing w:after="0" w:line="19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Certain provisions of our Restated Certificate of Incorporation, as amended, could make a merger, tender offer or proxy contest involving us difficult, even if such events would be beneficial to the interests of our stockholders. These provisions include giving our board the ability to issue preferred stock and determine the rights and designations of the preferred stock at any time without stockholder approval. The rights of the holders of our common stock will be subject to, and may be adversely affected by, the rights of the holders of any preferred stock that may be issued in the future. The issuance of preferred stock, while providing flexibility in connection with possible acquisitions and other corporate purposes, could have the effect of making it more difficult for a third-party to acquire, or discouraging a third-party from acquiring, a majority of our outstanding voting stock. These factors and certain provisions of the Delaware General Corporation Law may have the effect of deterring hostile takeovers or otherwise delaying or preventing changes in control or changes in our management, including transactions in which our stockholders might otherwise receive a premium over the fair market value of our common stock.</w:t>
      </w:r>
    </w:p>
    <w:p>
      <w:pPr>
        <w:spacing w:after="0" w:line="223"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we experience changes in tax laws or adverse outcomes resulting from examination of our income tax returns, it could adversely affect our results of operations.</w:t>
      </w:r>
    </w:p>
    <w:p>
      <w:pPr>
        <w:spacing w:after="0" w:line="19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are subject to federal and state income taxes in the U.S. and in certain foreign jurisdictions. Significant judgment is required in determining our worldwide provision for income taxes. Our future effective tax rates could be adversely affected by changes in tax laws, by our ability to generate taxable income in foreign jurisdictions in order to utilize foreign tax losses, and by the valuation of our deferred tax assets. In addition, we are subject to the examination of our income tax returns by the Internal Revenue Service and other tax authorities. We regularly assess the likelihood of adverse outcomes resulting from such examinations to determine the adequacy of our provision for income taxes. There can be no assurance that the outcomes from such examinations will not have an adverse effect on our operating results and financial condition.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81"/>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1"/>
              </w:rPr>
              <w:t>Value of 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Average</w:t>
            </w: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Purchased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as Part of Publicly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1"/>
              </w:rPr>
              <w:t>Price Paid</w:t>
            </w: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Announced Plans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81"/>
              <w:spacing w:after="0" w:line="135"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 xml:space="preserve">Purchased </w:t>
            </w:r>
            <w:r>
              <w:rPr>
                <w:rFonts w:ascii="Arial" w:cs="Arial" w:eastAsia="Arial" w:hAnsi="Arial"/>
                <w:sz w:val="17"/>
                <w:szCs w:val="17"/>
                <w:b w:val="1"/>
                <w:bCs w:val="1"/>
                <w:color w:val="auto"/>
                <w:w w:val="87"/>
                <w:vertAlign w:val="superscript"/>
              </w:rPr>
              <w:t>(1)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per Share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 xml:space="preserve">or Programs </w:t>
            </w:r>
            <w:r>
              <w:rPr>
                <w:rFonts w:ascii="Arial" w:cs="Arial" w:eastAsia="Arial" w:hAnsi="Arial"/>
                <w:sz w:val="17"/>
                <w:szCs w:val="17"/>
                <w:b w:val="1"/>
                <w:bCs w:val="1"/>
                <w:color w:val="auto"/>
                <w:w w:val="89"/>
                <w:vertAlign w:val="superscript"/>
              </w:rPr>
              <w:t>(2)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8"/>
              </w:rPr>
              <w:t xml:space="preserve">Programs </w:t>
            </w:r>
            <w:r>
              <w:rPr>
                <w:rFonts w:ascii="Arial" w:cs="Arial" w:eastAsia="Arial" w:hAnsi="Arial"/>
                <w:sz w:val="17"/>
                <w:szCs w:val="17"/>
                <w:b w:val="1"/>
                <w:bCs w:val="1"/>
                <w:color w:val="auto"/>
                <w:w w:val="88"/>
                <w:vertAlign w:val="superscript"/>
              </w:rPr>
              <w:t>(2)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2021 through January 31,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174,777,136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February 1, 2021 through February 28, 2021</w:t>
            </w:r>
          </w:p>
        </w:tc>
        <w:tc>
          <w:tcPr>
            <w:tcW w:w="1420" w:type="dxa"/>
            <w:vAlign w:val="bottom"/>
          </w:tcPr>
          <w:p>
            <w:pPr>
              <w:jc w:val="right"/>
              <w:spacing w:after="0"/>
              <w:rPr>
                <w:sz w:val="20"/>
                <w:szCs w:val="20"/>
                <w:color w:val="auto"/>
              </w:rPr>
            </w:pPr>
            <w:r>
              <w:rPr>
                <w:rFonts w:ascii="Arial" w:cs="Arial" w:eastAsia="Arial" w:hAnsi="Arial"/>
                <w:sz w:val="18"/>
                <w:szCs w:val="18"/>
                <w:color w:val="auto"/>
              </w:rPr>
              <w:t>240,540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466.57</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
              <w:spacing w:after="0"/>
              <w:rPr>
                <w:sz w:val="20"/>
                <w:szCs w:val="20"/>
                <w:color w:val="auto"/>
              </w:rPr>
            </w:pPr>
            <w:r>
              <w:rPr>
                <w:rFonts w:ascii="Arial" w:cs="Arial" w:eastAsia="Arial" w:hAnsi="Arial"/>
                <w:sz w:val="18"/>
                <w:szCs w:val="18"/>
                <w:color w:val="auto"/>
              </w:rPr>
              <w:t>62,806,464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2021 through March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200,901</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464.74</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471,322,083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442,648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465.50</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440,588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
              <w:spacing w:after="0"/>
              <w:rPr>
                <w:sz w:val="20"/>
                <w:szCs w:val="20"/>
                <w:color w:val="auto"/>
              </w:rPr>
            </w:pPr>
            <w:r>
              <w:rPr>
                <w:rFonts w:ascii="Arial" w:cs="Arial" w:eastAsia="Arial" w:hAnsi="Arial"/>
                <w:sz w:val="18"/>
                <w:szCs w:val="18"/>
                <w:color w:val="auto"/>
              </w:rPr>
              <w:t>471,322,083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798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90" w:lineRule="exact"/>
        <w:rPr>
          <w:sz w:val="20"/>
          <w:szCs w:val="20"/>
          <w:color w:val="auto"/>
        </w:rPr>
      </w:pPr>
    </w:p>
    <w:p>
      <w:pPr>
        <w:ind w:left="340" w:hanging="332"/>
        <w:spacing w:after="0" w:line="258" w:lineRule="auto"/>
        <w:tabs>
          <w:tab w:leader="none" w:pos="3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2,060 shares delivered in satisfaction of the tax withholding obligations resulting from the vesting of restricted stock units held by employees during the quarter ended March 31, 2021.</w:t>
      </w:r>
    </w:p>
    <w:p>
      <w:pPr>
        <w:spacing w:after="0" w:line="1" w:lineRule="exact"/>
        <w:rPr>
          <w:rFonts w:ascii="Arial" w:cs="Arial" w:eastAsia="Arial" w:hAnsi="Arial"/>
          <w:sz w:val="18"/>
          <w:szCs w:val="18"/>
          <w:color w:val="auto"/>
        </w:rPr>
      </w:pPr>
    </w:p>
    <w:p>
      <w:pPr>
        <w:jc w:val="both"/>
        <w:ind w:left="340" w:hanging="332"/>
        <w:spacing w:after="0" w:line="253" w:lineRule="auto"/>
        <w:tabs>
          <w:tab w:leader="none" w:pos="3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July 2020, our Board of Directors approved a stock repurchase program following the completion of our previous program. This program was open-ended and authorized repurchases of shares of our common stock up to an aggregate cost of $250.0 million in the open market or in negotiated transactions. On March 12, 2021, our Board of Directors approved a new stock repurchase program following the completion of the July 2020 program. This new program is open-ended and authorizes repurchases of shares of our common stock up to an aggregate cost of $500.0 million in the open market or in negotiated transactions.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260"/>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b w:val="1"/>
          <w:bCs w:val="1"/>
          <w:i w:val="1"/>
          <w:iCs w:val="1"/>
          <w:color w:val="auto"/>
        </w:rPr>
        <w:t>Other Information</w:t>
      </w:r>
    </w:p>
    <w:p>
      <w:pPr>
        <w:spacing w:after="0" w:line="144" w:lineRule="exact"/>
        <w:rPr>
          <w:sz w:val="20"/>
          <w:szCs w:val="20"/>
          <w:color w:val="auto"/>
        </w:rPr>
      </w:pPr>
    </w:p>
    <w:p>
      <w:pPr>
        <w:jc w:val="center"/>
        <w:ind w:right="92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39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1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Exhibit</w:t>
            </w:r>
          </w:p>
        </w:tc>
        <w:tc>
          <w:tcPr>
            <w:tcW w:w="1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80" w:type="dxa"/>
            <w:vAlign w:val="bottom"/>
            <w:gridSpan w:val="12"/>
            <w:vMerge w:val="restart"/>
          </w:tcPr>
          <w:p>
            <w:pPr>
              <w:ind w:left="9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80" w:type="dxa"/>
            <w:vAlign w:val="bottom"/>
            <w:gridSpan w:val="1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vMerge w:val="restart"/>
          </w:tcPr>
          <w:p>
            <w:pPr>
              <w:spacing w:after="0"/>
              <w:rPr>
                <w:sz w:val="18"/>
                <w:szCs w:val="18"/>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87"/>
              </w:rPr>
              <w:t>3.1</w:t>
            </w:r>
          </w:p>
        </w:tc>
        <w:tc>
          <w:tcPr>
            <w:tcW w:w="58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FF"/>
                <w:w w:val="96"/>
              </w:rPr>
            </w:pPr>
            <w:hyperlink r:id="rId85">
              <w:r>
                <w:rPr>
                  <w:rFonts w:ascii="Arial" w:cs="Arial" w:eastAsia="Arial" w:hAnsi="Arial"/>
                  <w:sz w:val="18"/>
                  <w:szCs w:val="18"/>
                  <w:color w:val="0000FF"/>
                  <w:w w:val="96"/>
                </w:rPr>
                <w:t>Composite Restated Certificate of Incorporation of Fair Isaac Corporation. (Incorporated by reference to Exhibit 3.2 to the</w:t>
              </w:r>
            </w:hyperlink>
          </w:p>
        </w:tc>
        <w:tc>
          <w:tcPr>
            <w:tcW w:w="0" w:type="dxa"/>
            <w:vAlign w:val="bottom"/>
          </w:tcPr>
          <w:p>
            <w:pPr>
              <w:spacing w:after="0"/>
              <w:rPr>
                <w:sz w:val="1"/>
                <w:szCs w:val="1"/>
                <w:color w:val="auto"/>
              </w:rPr>
            </w:pPr>
          </w:p>
        </w:tc>
      </w:tr>
      <w:tr>
        <w:trPr>
          <w:trHeight w:val="102"/>
        </w:trPr>
        <w:tc>
          <w:tcPr>
            <w:tcW w:w="1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4780" w:type="dxa"/>
            <w:vAlign w:val="bottom"/>
            <w:tcBorders>
              <w:top w:val="single" w:sz="8" w:color="0000FF"/>
            </w:tcBorders>
            <w:gridSpan w:val="8"/>
            <w:vMerge w:val="restart"/>
          </w:tcPr>
          <w:p>
            <w:pPr>
              <w:spacing w:after="0" w:line="156" w:lineRule="exact"/>
              <w:rPr>
                <w:rFonts w:ascii="Arial" w:cs="Arial" w:eastAsia="Arial" w:hAnsi="Arial"/>
                <w:sz w:val="18"/>
                <w:szCs w:val="18"/>
                <w:color w:val="0000FF"/>
                <w:w w:val="89"/>
              </w:rPr>
            </w:pPr>
            <w:hyperlink r:id="rId85">
              <w:r>
                <w:rPr>
                  <w:rFonts w:ascii="Arial" w:cs="Arial" w:eastAsia="Arial" w:hAnsi="Arial"/>
                  <w:sz w:val="18"/>
                  <w:szCs w:val="18"/>
                  <w:color w:val="0000FF"/>
                  <w:w w:val="89"/>
                </w:rPr>
                <w:t>Company’s Form 10-Q for the quarter ended December 31, 2009).</w:t>
              </w:r>
            </w:hyperlink>
          </w:p>
        </w:tc>
        <w:tc>
          <w:tcPr>
            <w:tcW w:w="4020" w:type="dxa"/>
            <w:vAlign w:val="bottom"/>
            <w:tcBorders>
              <w:top w:val="single" w:sz="8" w:color="0000FF"/>
            </w:tcBorders>
            <w:gridSpan w:val="7"/>
            <w:vMerge w:val="restart"/>
          </w:tcPr>
          <w:p>
            <w:pPr>
              <w:spacing w:after="0"/>
              <w:rPr>
                <w:sz w:val="8"/>
                <w:szCs w:val="8"/>
                <w:color w:val="auto"/>
              </w:rPr>
            </w:pPr>
          </w:p>
        </w:tc>
        <w:tc>
          <w:tcPr>
            <w:tcW w:w="500" w:type="dxa"/>
            <w:vAlign w:val="bottom"/>
            <w:gridSpan w:val="3"/>
            <w:vMerge w:val="restart"/>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780" w:type="dxa"/>
            <w:vAlign w:val="bottom"/>
            <w:tcBorders>
              <w:bottom w:val="single" w:sz="8" w:color="0000FF"/>
            </w:tcBorders>
            <w:gridSpan w:val="8"/>
            <w:vMerge w:val="continue"/>
          </w:tcPr>
          <w:p>
            <w:pPr>
              <w:spacing w:after="0"/>
              <w:rPr>
                <w:sz w:val="4"/>
                <w:szCs w:val="4"/>
                <w:color w:val="auto"/>
              </w:rPr>
            </w:pPr>
          </w:p>
        </w:tc>
        <w:tc>
          <w:tcPr>
            <w:tcW w:w="4020" w:type="dxa"/>
            <w:vAlign w:val="bottom"/>
            <w:gridSpan w:val="7"/>
            <w:vMerge w:val="continue"/>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6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87"/>
              </w:rPr>
              <w:t>3.2</w:t>
            </w:r>
          </w:p>
        </w:tc>
        <w:tc>
          <w:tcPr>
            <w:tcW w:w="580" w:type="dxa"/>
            <w:vAlign w:val="bottom"/>
          </w:tcPr>
          <w:p>
            <w:pPr>
              <w:spacing w:after="0"/>
              <w:rPr>
                <w:sz w:val="22"/>
                <w:szCs w:val="22"/>
                <w:color w:val="auto"/>
              </w:rPr>
            </w:pPr>
          </w:p>
        </w:tc>
        <w:tc>
          <w:tcPr>
            <w:tcW w:w="9200" w:type="dxa"/>
            <w:vAlign w:val="bottom"/>
            <w:tcBorders>
              <w:bottom w:val="single" w:sz="8" w:color="0000FF"/>
            </w:tcBorders>
            <w:gridSpan w:val="16"/>
          </w:tcPr>
          <w:p>
            <w:pPr>
              <w:spacing w:after="0"/>
              <w:rPr>
                <w:rFonts w:ascii="Arial" w:cs="Arial" w:eastAsia="Arial" w:hAnsi="Arial"/>
                <w:sz w:val="18"/>
                <w:szCs w:val="18"/>
                <w:color w:val="0000FF"/>
                <w:w w:val="91"/>
              </w:rPr>
            </w:pPr>
            <w:hyperlink r:id="rId86">
              <w:r>
                <w:rPr>
                  <w:rFonts w:ascii="Arial" w:cs="Arial" w:eastAsia="Arial" w:hAnsi="Arial"/>
                  <w:sz w:val="18"/>
                  <w:szCs w:val="18"/>
                  <w:color w:val="0000FF"/>
                  <w:w w:val="91"/>
                </w:rPr>
                <w:t>By-laws of Fair Isaac Corporation. (Incorporated by reference to Exhibit 3.1 to the Company’s Form 10-Q for the quarter ended</w:t>
              </w:r>
            </w:hyperlink>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66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vMerge w:val="restart"/>
          </w:tcPr>
          <w:p>
            <w:pPr>
              <w:spacing w:after="0" w:line="156" w:lineRule="exact"/>
              <w:rPr>
                <w:rFonts w:ascii="Arial" w:cs="Arial" w:eastAsia="Arial" w:hAnsi="Arial"/>
                <w:sz w:val="18"/>
                <w:szCs w:val="18"/>
                <w:color w:val="0000FF"/>
                <w:w w:val="88"/>
              </w:rPr>
            </w:pPr>
            <w:hyperlink r:id="rId86">
              <w:r>
                <w:rPr>
                  <w:rFonts w:ascii="Arial" w:cs="Arial" w:eastAsia="Arial" w:hAnsi="Arial"/>
                  <w:sz w:val="18"/>
                  <w:szCs w:val="18"/>
                  <w:color w:val="0000FF"/>
                  <w:w w:val="88"/>
                </w:rPr>
                <w:t>December 31, 2009).</w:t>
              </w:r>
            </w:hyperlink>
          </w:p>
        </w:tc>
        <w:tc>
          <w:tcPr>
            <w:tcW w:w="7780" w:type="dxa"/>
            <w:vAlign w:val="bottom"/>
            <w:gridSpan w:val="17"/>
            <w:vMerge w:val="restart"/>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520" w:type="dxa"/>
            <w:vAlign w:val="bottom"/>
            <w:tcBorders>
              <w:bottom w:val="single" w:sz="8" w:color="0000FF"/>
            </w:tcBorders>
            <w:vMerge w:val="continue"/>
          </w:tcPr>
          <w:p>
            <w:pPr>
              <w:spacing w:after="0"/>
              <w:rPr>
                <w:sz w:val="4"/>
                <w:szCs w:val="4"/>
                <w:color w:val="auto"/>
              </w:rPr>
            </w:pPr>
          </w:p>
        </w:tc>
        <w:tc>
          <w:tcPr>
            <w:tcW w:w="7780" w:type="dxa"/>
            <w:vAlign w:val="bottom"/>
            <w:gridSpan w:val="1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6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10.1</w:t>
            </w:r>
          </w:p>
        </w:tc>
        <w:tc>
          <w:tcPr>
            <w:tcW w:w="580" w:type="dxa"/>
            <w:vAlign w:val="bottom"/>
          </w:tcPr>
          <w:p>
            <w:pPr>
              <w:spacing w:after="0"/>
              <w:rPr>
                <w:sz w:val="22"/>
                <w:szCs w:val="22"/>
                <w:color w:val="auto"/>
              </w:rPr>
            </w:pPr>
          </w:p>
        </w:tc>
        <w:tc>
          <w:tcPr>
            <w:tcW w:w="9300" w:type="dxa"/>
            <w:vAlign w:val="bottom"/>
            <w:gridSpan w:val="18"/>
          </w:tcPr>
          <w:p>
            <w:pPr>
              <w:spacing w:after="0"/>
              <w:rPr>
                <w:rFonts w:ascii="Arial" w:cs="Arial" w:eastAsia="Arial" w:hAnsi="Arial"/>
                <w:sz w:val="18"/>
                <w:szCs w:val="18"/>
                <w:color w:val="0000FF"/>
                <w:w w:val="91"/>
              </w:rPr>
            </w:pPr>
            <w:hyperlink r:id="rId87">
              <w:r>
                <w:rPr>
                  <w:rFonts w:ascii="Arial" w:cs="Arial" w:eastAsia="Arial" w:hAnsi="Arial"/>
                  <w:sz w:val="18"/>
                  <w:szCs w:val="18"/>
                  <w:color w:val="0000FF"/>
                  <w:w w:val="91"/>
                </w:rPr>
                <w:t>Fair Isaac Corporation 2021 Long-Term Incentive Plan (Incorporated by reference to Exhibit 10.1 to the Company’s Registration</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Statement on Form S-8 filed on March 3,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10.2 *</w:t>
            </w:r>
          </w:p>
        </w:tc>
        <w:tc>
          <w:tcPr>
            <w:tcW w:w="580" w:type="dxa"/>
            <w:vAlign w:val="bottom"/>
          </w:tcPr>
          <w:p>
            <w:pPr>
              <w:spacing w:after="0"/>
              <w:rPr>
                <w:sz w:val="22"/>
                <w:szCs w:val="22"/>
                <w:color w:val="auto"/>
              </w:rPr>
            </w:pPr>
          </w:p>
        </w:tc>
        <w:tc>
          <w:tcPr>
            <w:tcW w:w="9300" w:type="dxa"/>
            <w:vAlign w:val="bottom"/>
            <w:gridSpan w:val="18"/>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Form of Director Restricted Stock Unit Award Agreement under the 2021 Long-Term Incentive Plan.</w:t>
              </w:r>
            </w:hyperlink>
          </w:p>
        </w:tc>
        <w:tc>
          <w:tcPr>
            <w:tcW w:w="0" w:type="dxa"/>
            <w:vAlign w:val="bottom"/>
          </w:tcPr>
          <w:p>
            <w:pPr>
              <w:spacing w:after="0"/>
              <w:rPr>
                <w:sz w:val="1"/>
                <w:szCs w:val="1"/>
                <w:color w:val="auto"/>
              </w:rPr>
            </w:pPr>
          </w:p>
        </w:tc>
      </w:tr>
      <w:tr>
        <w:trPr>
          <w:trHeight w:val="264"/>
        </w:trPr>
        <w:tc>
          <w:tcPr>
            <w:tcW w:w="66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10.3 *</w:t>
            </w:r>
          </w:p>
        </w:tc>
        <w:tc>
          <w:tcPr>
            <w:tcW w:w="580" w:type="dxa"/>
            <w:vAlign w:val="bottom"/>
          </w:tcPr>
          <w:p>
            <w:pPr>
              <w:spacing w:after="0"/>
              <w:rPr>
                <w:sz w:val="22"/>
                <w:szCs w:val="22"/>
                <w:color w:val="auto"/>
              </w:rPr>
            </w:pPr>
          </w:p>
        </w:tc>
        <w:tc>
          <w:tcPr>
            <w:tcW w:w="7280" w:type="dxa"/>
            <w:vAlign w:val="bottom"/>
            <w:tcBorders>
              <w:top w:val="single" w:sz="8" w:color="0000FF"/>
            </w:tcBorders>
            <w:gridSpan w:val="11"/>
          </w:tcPr>
          <w:p>
            <w:pPr>
              <w:spacing w:after="0"/>
              <w:rPr>
                <w:rFonts w:ascii="Arial" w:cs="Arial" w:eastAsia="Arial" w:hAnsi="Arial"/>
                <w:sz w:val="18"/>
                <w:szCs w:val="18"/>
                <w:color w:val="0000FF"/>
                <w:w w:val="91"/>
              </w:rPr>
            </w:pPr>
            <w:hyperlink w:anchor="page62">
              <w:r>
                <w:rPr>
                  <w:rFonts w:ascii="Arial" w:cs="Arial" w:eastAsia="Arial" w:hAnsi="Arial"/>
                  <w:sz w:val="18"/>
                  <w:szCs w:val="18"/>
                  <w:color w:val="0000FF"/>
                  <w:w w:val="91"/>
                </w:rPr>
                <w:t>Form of Director Non-Statutory Stock Option Agreement under the 2021 Long-Term Incentive Plan.</w:t>
              </w:r>
            </w:hyperlink>
          </w:p>
        </w:tc>
        <w:tc>
          <w:tcPr>
            <w:tcW w:w="202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20" w:type="dxa"/>
            <w:vAlign w:val="bottom"/>
            <w:gridSpan w:val="4"/>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6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10.4 *</w:t>
            </w:r>
          </w:p>
        </w:tc>
        <w:tc>
          <w:tcPr>
            <w:tcW w:w="580" w:type="dxa"/>
            <w:vAlign w:val="bottom"/>
          </w:tcPr>
          <w:p>
            <w:pPr>
              <w:spacing w:after="0"/>
              <w:rPr>
                <w:sz w:val="22"/>
                <w:szCs w:val="22"/>
                <w:color w:val="auto"/>
              </w:rPr>
            </w:pPr>
          </w:p>
        </w:tc>
        <w:tc>
          <w:tcPr>
            <w:tcW w:w="790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66">
              <w:r>
                <w:rPr>
                  <w:rFonts w:ascii="Arial" w:cs="Arial" w:eastAsia="Arial" w:hAnsi="Arial"/>
                  <w:sz w:val="18"/>
                  <w:szCs w:val="18"/>
                  <w:color w:val="0000FF"/>
                  <w:w w:val="91"/>
                </w:rPr>
                <w:t>Form of Executive Restricted Stock Unit Award Agreement (U.S.) under the 2021 Long-Term Incentive Plan.</w:t>
              </w:r>
            </w:hyperlink>
          </w:p>
        </w:tc>
        <w:tc>
          <w:tcPr>
            <w:tcW w:w="140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10.5 *</w:t>
            </w:r>
          </w:p>
        </w:tc>
        <w:tc>
          <w:tcPr>
            <w:tcW w:w="580" w:type="dxa"/>
            <w:vAlign w:val="bottom"/>
          </w:tcPr>
          <w:p>
            <w:pPr>
              <w:spacing w:after="0"/>
              <w:rPr>
                <w:sz w:val="22"/>
                <w:szCs w:val="22"/>
                <w:color w:val="auto"/>
              </w:rPr>
            </w:pPr>
          </w:p>
        </w:tc>
        <w:tc>
          <w:tcPr>
            <w:tcW w:w="786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71">
              <w:r>
                <w:rPr>
                  <w:rFonts w:ascii="Arial" w:cs="Arial" w:eastAsia="Arial" w:hAnsi="Arial"/>
                  <w:sz w:val="18"/>
                  <w:szCs w:val="18"/>
                  <w:color w:val="0000FF"/>
                  <w:w w:val="91"/>
                </w:rPr>
                <w:t>Form of Executive Non-Statutory Stock Option Agreement (U.S.) under the 2021 Long-Term Incentive Plan.</w:t>
              </w:r>
            </w:hyperlink>
          </w:p>
        </w:tc>
        <w:tc>
          <w:tcPr>
            <w:tcW w:w="144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6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10.6 *</w:t>
            </w:r>
          </w:p>
        </w:tc>
        <w:tc>
          <w:tcPr>
            <w:tcW w:w="580" w:type="dxa"/>
            <w:vAlign w:val="bottom"/>
          </w:tcPr>
          <w:p>
            <w:pPr>
              <w:spacing w:after="0"/>
              <w:rPr>
                <w:sz w:val="22"/>
                <w:szCs w:val="22"/>
                <w:color w:val="auto"/>
              </w:rPr>
            </w:pPr>
          </w:p>
        </w:tc>
        <w:tc>
          <w:tcPr>
            <w:tcW w:w="796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77">
              <w:r>
                <w:rPr>
                  <w:rFonts w:ascii="Arial" w:cs="Arial" w:eastAsia="Arial" w:hAnsi="Arial"/>
                  <w:sz w:val="18"/>
                  <w:szCs w:val="18"/>
                  <w:color w:val="0000FF"/>
                  <w:w w:val="91"/>
                </w:rPr>
                <w:t>Form of Global Employee Restricted Stock Unit Award Agreement under the 2021 Long-Term Incentive Plan.</w:t>
              </w:r>
            </w:hyperlink>
          </w:p>
        </w:tc>
        <w:tc>
          <w:tcPr>
            <w:tcW w:w="134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10.7 *</w:t>
            </w:r>
          </w:p>
        </w:tc>
        <w:tc>
          <w:tcPr>
            <w:tcW w:w="580" w:type="dxa"/>
            <w:vAlign w:val="bottom"/>
          </w:tcPr>
          <w:p>
            <w:pPr>
              <w:spacing w:after="0"/>
              <w:rPr>
                <w:sz w:val="22"/>
                <w:szCs w:val="22"/>
                <w:color w:val="auto"/>
              </w:rPr>
            </w:pPr>
          </w:p>
        </w:tc>
        <w:tc>
          <w:tcPr>
            <w:tcW w:w="9300" w:type="dxa"/>
            <w:vAlign w:val="bottom"/>
            <w:gridSpan w:val="18"/>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Form of Global Employee Non-Statutory Stock Option Agreement under the 2021 Long-Term Incentive Plan</w:t>
              </w:r>
            </w:hyperlink>
          </w:p>
        </w:tc>
        <w:tc>
          <w:tcPr>
            <w:tcW w:w="0" w:type="dxa"/>
            <w:vAlign w:val="bottom"/>
          </w:tcPr>
          <w:p>
            <w:pPr>
              <w:spacing w:after="0"/>
              <w:rPr>
                <w:sz w:val="1"/>
                <w:szCs w:val="1"/>
                <w:color w:val="auto"/>
              </w:rPr>
            </w:pPr>
          </w:p>
        </w:tc>
      </w:tr>
      <w:tr>
        <w:trPr>
          <w:trHeight w:val="264"/>
        </w:trPr>
        <w:tc>
          <w:tcPr>
            <w:tcW w:w="66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31.1 *</w:t>
            </w:r>
          </w:p>
        </w:tc>
        <w:tc>
          <w:tcPr>
            <w:tcW w:w="580" w:type="dxa"/>
            <w:vAlign w:val="bottom"/>
          </w:tcPr>
          <w:p>
            <w:pPr>
              <w:spacing w:after="0"/>
              <w:rPr>
                <w:sz w:val="22"/>
                <w:szCs w:val="22"/>
                <w:color w:val="auto"/>
              </w:rPr>
            </w:pPr>
          </w:p>
        </w:tc>
        <w:tc>
          <w:tcPr>
            <w:tcW w:w="35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1"/>
              </w:rPr>
            </w:pPr>
            <w:hyperlink w:anchor="page90">
              <w:r>
                <w:rPr>
                  <w:rFonts w:ascii="Arial" w:cs="Arial" w:eastAsia="Arial" w:hAnsi="Arial"/>
                  <w:sz w:val="18"/>
                  <w:szCs w:val="18"/>
                  <w:color w:val="0000FF"/>
                  <w:w w:val="91"/>
                </w:rPr>
                <w:t>Rule 13a-14(a)/15d-14(a) Certifications of CEO.</w:t>
              </w:r>
            </w:hyperlink>
          </w:p>
        </w:tc>
        <w:tc>
          <w:tcPr>
            <w:tcW w:w="4340" w:type="dxa"/>
            <w:vAlign w:val="bottom"/>
            <w:tcBorders>
              <w:top w:val="single" w:sz="8" w:color="0000FF"/>
            </w:tcBorders>
            <w:gridSpan w:val="6"/>
          </w:tcPr>
          <w:p>
            <w:pPr>
              <w:spacing w:after="0"/>
              <w:rPr>
                <w:sz w:val="22"/>
                <w:szCs w:val="22"/>
                <w:color w:val="auto"/>
              </w:rPr>
            </w:pPr>
          </w:p>
        </w:tc>
        <w:tc>
          <w:tcPr>
            <w:tcW w:w="144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31.2 *</w:t>
            </w:r>
          </w:p>
        </w:tc>
        <w:tc>
          <w:tcPr>
            <w:tcW w:w="580" w:type="dxa"/>
            <w:vAlign w:val="bottom"/>
          </w:tcPr>
          <w:p>
            <w:pPr>
              <w:spacing w:after="0"/>
              <w:rPr>
                <w:sz w:val="22"/>
                <w:szCs w:val="22"/>
                <w:color w:val="auto"/>
              </w:rPr>
            </w:pPr>
          </w:p>
        </w:tc>
        <w:tc>
          <w:tcPr>
            <w:tcW w:w="350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91">
              <w:r>
                <w:rPr>
                  <w:rFonts w:ascii="Arial" w:cs="Arial" w:eastAsia="Arial" w:hAnsi="Arial"/>
                  <w:sz w:val="18"/>
                  <w:szCs w:val="18"/>
                  <w:color w:val="0000FF"/>
                  <w:w w:val="91"/>
                </w:rPr>
                <w:t>Rule 13a-14(a)/15d-14(a) Certifications of CFO.</w:t>
              </w:r>
            </w:hyperlink>
          </w:p>
        </w:tc>
        <w:tc>
          <w:tcPr>
            <w:tcW w:w="5800" w:type="dxa"/>
            <w:vAlign w:val="bottom"/>
            <w:gridSpan w:val="1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6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32.1 *</w:t>
            </w:r>
          </w:p>
        </w:tc>
        <w:tc>
          <w:tcPr>
            <w:tcW w:w="580" w:type="dxa"/>
            <w:vAlign w:val="bottom"/>
          </w:tcPr>
          <w:p>
            <w:pPr>
              <w:spacing w:after="0"/>
              <w:rPr>
                <w:sz w:val="22"/>
                <w:szCs w:val="22"/>
                <w:color w:val="auto"/>
              </w:rPr>
            </w:pPr>
          </w:p>
        </w:tc>
        <w:tc>
          <w:tcPr>
            <w:tcW w:w="254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92">
              <w:r>
                <w:rPr>
                  <w:rFonts w:ascii="Arial" w:cs="Arial" w:eastAsia="Arial" w:hAnsi="Arial"/>
                  <w:sz w:val="18"/>
                  <w:szCs w:val="18"/>
                  <w:color w:val="0000FF"/>
                  <w:w w:val="91"/>
                </w:rPr>
                <w:t>Section 1350 Certification of CEO.</w:t>
              </w:r>
            </w:hyperlink>
          </w:p>
        </w:tc>
        <w:tc>
          <w:tcPr>
            <w:tcW w:w="6760" w:type="dxa"/>
            <w:vAlign w:val="bottom"/>
            <w:gridSpan w:val="15"/>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32.2 *</w:t>
            </w:r>
          </w:p>
        </w:tc>
        <w:tc>
          <w:tcPr>
            <w:tcW w:w="580" w:type="dxa"/>
            <w:vAlign w:val="bottom"/>
          </w:tcPr>
          <w:p>
            <w:pPr>
              <w:spacing w:after="0"/>
              <w:rPr>
                <w:sz w:val="22"/>
                <w:szCs w:val="22"/>
                <w:color w:val="auto"/>
              </w:rPr>
            </w:pPr>
          </w:p>
        </w:tc>
        <w:tc>
          <w:tcPr>
            <w:tcW w:w="9300" w:type="dxa"/>
            <w:vAlign w:val="bottom"/>
            <w:gridSpan w:val="18"/>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Section 1350 Certification of CFO.</w:t>
              </w:r>
            </w:hyperlink>
          </w:p>
        </w:tc>
        <w:tc>
          <w:tcPr>
            <w:tcW w:w="0" w:type="dxa"/>
            <w:vAlign w:val="bottom"/>
          </w:tcPr>
          <w:p>
            <w:pPr>
              <w:spacing w:after="0"/>
              <w:rPr>
                <w:sz w:val="1"/>
                <w:szCs w:val="1"/>
                <w:color w:val="auto"/>
              </w:rPr>
            </w:pPr>
          </w:p>
        </w:tc>
      </w:tr>
      <w:tr>
        <w:trPr>
          <w:trHeight w:val="304"/>
        </w:trPr>
        <w:tc>
          <w:tcPr>
            <w:tcW w:w="124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101.INS *</w:t>
            </w:r>
          </w:p>
        </w:tc>
        <w:tc>
          <w:tcPr>
            <w:tcW w:w="25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w w:val="96"/>
              </w:rPr>
              <w:t>Inline XBRL Instance Document.</w:t>
            </w:r>
          </w:p>
        </w:tc>
        <w:tc>
          <w:tcPr>
            <w:tcW w:w="67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40" w:type="dxa"/>
            <w:vAlign w:val="bottom"/>
            <w:gridSpan w:val="3"/>
          </w:tcPr>
          <w:p>
            <w:pPr>
              <w:jc w:val="center"/>
              <w:ind w:right="440"/>
              <w:spacing w:after="0"/>
              <w:rPr>
                <w:sz w:val="20"/>
                <w:szCs w:val="20"/>
                <w:color w:val="auto"/>
              </w:rPr>
            </w:pPr>
            <w:r>
              <w:rPr>
                <w:rFonts w:ascii="Arial" w:cs="Arial" w:eastAsia="Arial" w:hAnsi="Arial"/>
                <w:sz w:val="18"/>
                <w:szCs w:val="18"/>
                <w:color w:val="auto"/>
                <w:w w:val="94"/>
              </w:rPr>
              <w:t>101.SCH *</w:t>
            </w:r>
          </w:p>
        </w:tc>
        <w:tc>
          <w:tcPr>
            <w:tcW w:w="930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240" w:type="dxa"/>
            <w:vAlign w:val="bottom"/>
            <w:gridSpan w:val="3"/>
          </w:tcPr>
          <w:p>
            <w:pPr>
              <w:jc w:val="center"/>
              <w:ind w:right="440"/>
              <w:spacing w:after="0"/>
              <w:rPr>
                <w:sz w:val="20"/>
                <w:szCs w:val="20"/>
                <w:color w:val="auto"/>
              </w:rPr>
            </w:pPr>
            <w:r>
              <w:rPr>
                <w:rFonts w:ascii="Arial" w:cs="Arial" w:eastAsia="Arial" w:hAnsi="Arial"/>
                <w:sz w:val="18"/>
                <w:szCs w:val="18"/>
                <w:color w:val="auto"/>
                <w:w w:val="97"/>
              </w:rPr>
              <w:t>101.CAL *</w:t>
            </w:r>
          </w:p>
        </w:tc>
        <w:tc>
          <w:tcPr>
            <w:tcW w:w="930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240" w:type="dxa"/>
            <w:vAlign w:val="bottom"/>
            <w:gridSpan w:val="3"/>
          </w:tcPr>
          <w:p>
            <w:pPr>
              <w:jc w:val="center"/>
              <w:ind w:right="440"/>
              <w:spacing w:after="0"/>
              <w:rPr>
                <w:sz w:val="20"/>
                <w:szCs w:val="20"/>
                <w:color w:val="auto"/>
              </w:rPr>
            </w:pPr>
            <w:r>
              <w:rPr>
                <w:rFonts w:ascii="Arial" w:cs="Arial" w:eastAsia="Arial" w:hAnsi="Arial"/>
                <w:sz w:val="18"/>
                <w:szCs w:val="18"/>
                <w:color w:val="auto"/>
                <w:w w:val="96"/>
              </w:rPr>
              <w:t>101.DEF *</w:t>
            </w:r>
          </w:p>
        </w:tc>
        <w:tc>
          <w:tcPr>
            <w:tcW w:w="930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4"/>
        </w:trPr>
        <w:tc>
          <w:tcPr>
            <w:tcW w:w="124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101.LAB *</w:t>
            </w:r>
          </w:p>
        </w:tc>
        <w:tc>
          <w:tcPr>
            <w:tcW w:w="930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124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101.PRE *</w:t>
            </w:r>
          </w:p>
        </w:tc>
        <w:tc>
          <w:tcPr>
            <w:tcW w:w="9300" w:type="dxa"/>
            <w:vAlign w:val="bottom"/>
            <w:gridSpan w:val="1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4"/>
        </w:trPr>
        <w:tc>
          <w:tcPr>
            <w:tcW w:w="66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104 *</w:t>
            </w:r>
          </w:p>
        </w:tc>
        <w:tc>
          <w:tcPr>
            <w:tcW w:w="580" w:type="dxa"/>
            <w:vAlign w:val="bottom"/>
          </w:tcPr>
          <w:p>
            <w:pPr>
              <w:spacing w:after="0"/>
              <w:rPr>
                <w:sz w:val="24"/>
                <w:szCs w:val="24"/>
                <w:color w:val="auto"/>
              </w:rPr>
            </w:pPr>
          </w:p>
        </w:tc>
        <w:tc>
          <w:tcPr>
            <w:tcW w:w="9300" w:type="dxa"/>
            <w:vAlign w:val="bottom"/>
            <w:gridSpan w:val="1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373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5" w:right="7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FAIR ISAAC CORPORATION</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1080" w:type="dxa"/>
            <w:vAlign w:val="bottom"/>
          </w:tcPr>
          <w:p>
            <w:pPr>
              <w:ind w:left="180"/>
              <w:spacing w:after="0"/>
              <w:rPr>
                <w:sz w:val="20"/>
                <w:szCs w:val="20"/>
                <w:color w:val="auto"/>
              </w:rPr>
            </w:pPr>
            <w:r>
              <w:rPr>
                <w:rFonts w:ascii="Arial" w:cs="Arial" w:eastAsia="Arial" w:hAnsi="Arial"/>
                <w:sz w:val="18"/>
                <w:szCs w:val="18"/>
                <w:color w:val="auto"/>
                <w:w w:val="88"/>
              </w:rPr>
              <w:t>May 5, 2021</w:t>
            </w:r>
          </w:p>
        </w:tc>
      </w:tr>
    </w:tbl>
    <w:p>
      <w:pPr>
        <w:spacing w:after="0" w:line="269" w:lineRule="exact"/>
        <w:rPr>
          <w:sz w:val="20"/>
          <w:szCs w:val="20"/>
          <w:color w:val="auto"/>
        </w:rPr>
      </w:pPr>
    </w:p>
    <w:tbl>
      <w:tblPr>
        <w:tblLayout w:type="fixed"/>
        <w:tblInd w:w="530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MICHAEL I. MCLAUGHLIN</w:t>
            </w:r>
          </w:p>
        </w:tc>
      </w:tr>
      <w:tr>
        <w:trPr>
          <w:trHeight w:val="222"/>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5"/>
              </w:rPr>
              <w:t>Michael I. McLaughlin</w:t>
            </w:r>
          </w:p>
        </w:tc>
      </w:tr>
      <w:tr>
        <w:trPr>
          <w:trHeight w:val="230"/>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r>
      <w:tr>
        <w:trPr>
          <w:trHeight w:val="229"/>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2"/>
              </w:rPr>
              <w:t>(for Registrant as duly authorized officer and</w:t>
            </w:r>
          </w:p>
        </w:tc>
      </w:tr>
      <w:tr>
        <w:trPr>
          <w:trHeight w:val="230"/>
        </w:trPr>
        <w:tc>
          <w:tcPr>
            <w:tcW w:w="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5"/>
              </w:rPr>
              <w:t>as Principal Financial Officer)</w:t>
            </w:r>
          </w:p>
        </w:tc>
      </w:tr>
    </w:tbl>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1080" w:type="dxa"/>
            <w:vAlign w:val="bottom"/>
          </w:tcPr>
          <w:p>
            <w:pPr>
              <w:ind w:left="180"/>
              <w:spacing w:after="0"/>
              <w:rPr>
                <w:sz w:val="20"/>
                <w:szCs w:val="20"/>
                <w:color w:val="auto"/>
              </w:rPr>
            </w:pPr>
            <w:r>
              <w:rPr>
                <w:rFonts w:ascii="Arial" w:cs="Arial" w:eastAsia="Arial" w:hAnsi="Arial"/>
                <w:sz w:val="18"/>
                <w:szCs w:val="18"/>
                <w:color w:val="auto"/>
                <w:w w:val="88"/>
              </w:rPr>
              <w:t>May 5, 2021</w:t>
            </w:r>
          </w:p>
        </w:tc>
      </w:tr>
    </w:tbl>
    <w:p>
      <w:pPr>
        <w:spacing w:after="0" w:line="269" w:lineRule="exact"/>
        <w:rPr>
          <w:sz w:val="20"/>
          <w:szCs w:val="20"/>
          <w:color w:val="auto"/>
        </w:rPr>
      </w:pPr>
    </w:p>
    <w:tbl>
      <w:tblPr>
        <w:tblLayout w:type="fixed"/>
        <w:tblInd w:w="530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MICHAEL S. LEONARD</w:t>
            </w:r>
          </w:p>
        </w:tc>
      </w:tr>
      <w:tr>
        <w:trPr>
          <w:trHeight w:val="222"/>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1"/>
              </w:rPr>
              <w:t>Michael S. Leonard</w:t>
            </w:r>
          </w:p>
        </w:tc>
      </w:tr>
      <w:tr>
        <w:trPr>
          <w:trHeight w:val="176"/>
        </w:trPr>
        <w:tc>
          <w:tcPr>
            <w:tcW w:w="520" w:type="dxa"/>
            <w:vAlign w:val="bottom"/>
          </w:tcPr>
          <w:p>
            <w:pPr>
              <w:spacing w:after="0"/>
              <w:rPr>
                <w:sz w:val="15"/>
                <w:szCs w:val="15"/>
                <w:color w:val="auto"/>
              </w:rPr>
            </w:pPr>
          </w:p>
        </w:tc>
        <w:tc>
          <w:tcPr>
            <w:tcW w:w="538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1"/>
              </w:rPr>
              <w:t>Vice President and Chief Accounting Officer</w:t>
            </w:r>
          </w:p>
        </w:tc>
      </w:tr>
      <w:tr>
        <w:trPr>
          <w:trHeight w:val="230"/>
        </w:trPr>
        <w:tc>
          <w:tcPr>
            <w:tcW w:w="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auto"/>
        </w:rPr>
        <w:t>EXHIBIT 10.2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Long-Term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 Restricted Stock Unit Award Agreement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Terms and Conditions</w:t>
      </w:r>
      <w:r>
        <w:rPr>
          <w:rFonts w:ascii="Arial" w:cs="Arial" w:eastAsia="Arial" w:hAnsi="Arial"/>
          <w:sz w:val="25"/>
          <w:szCs w:val="25"/>
          <w:color w:val="auto"/>
          <w:vertAlign w:val="superscript"/>
        </w:rPr>
        <w:t>1</w:t>
      </w:r>
    </w:p>
    <w:p>
      <w:pPr>
        <w:spacing w:after="0" w:line="199" w:lineRule="exact"/>
        <w:rPr>
          <w:sz w:val="20"/>
          <w:szCs w:val="20"/>
          <w:color w:val="auto"/>
        </w:rPr>
      </w:pPr>
    </w:p>
    <w:p>
      <w:pPr>
        <w:ind w:left="660" w:hanging="652"/>
        <w:spacing w:after="0" w:line="280" w:lineRule="auto"/>
        <w:tabs>
          <w:tab w:leader="none" w:pos="412"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Restricted Stock Units</w:t>
      </w:r>
      <w:r>
        <w:rPr>
          <w:rFonts w:ascii="Arial" w:cs="Arial" w:eastAsia="Arial" w:hAnsi="Arial"/>
          <w:sz w:val="18"/>
          <w:szCs w:val="18"/>
          <w:color w:val="auto"/>
        </w:rPr>
        <w:t>. The Company hereby grants to you, subject to the terms and conditions in this Director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 Award Agreement (the “Agreement”) and subject to the terms and conditions of the Plan, an Award of the number of Stock Units (the “Units”) specified on the cover page of this Agreement. Each Unit represents the right to receive one Share and will be credited to an account in your name maintained by the Company or its agent. This account shall be unfunded and maintained for book-keeping purposes only, with the Units simply representing an unfunded and unsecured obligation of the Company.</w:t>
      </w:r>
    </w:p>
    <w:p>
      <w:pPr>
        <w:spacing w:after="0" w:line="183" w:lineRule="exact"/>
        <w:rPr>
          <w:rFonts w:ascii="Arial" w:cs="Arial" w:eastAsia="Arial" w:hAnsi="Arial"/>
          <w:sz w:val="18"/>
          <w:szCs w:val="18"/>
          <w:color w:val="auto"/>
        </w:rPr>
      </w:pPr>
    </w:p>
    <w:p>
      <w:pPr>
        <w:ind w:left="660" w:hanging="652"/>
        <w:spacing w:after="0" w:line="257" w:lineRule="auto"/>
        <w:tabs>
          <w:tab w:leader="none" w:pos="412" w:val="left"/>
        </w:tabs>
        <w:numPr>
          <w:ilvl w:val="0"/>
          <w:numId w:val="26"/>
        </w:numPr>
        <w:rPr>
          <w:rFonts w:ascii="Arial" w:cs="Arial" w:eastAsia="Arial" w:hAnsi="Arial"/>
          <w:sz w:val="19"/>
          <w:szCs w:val="19"/>
          <w:color w:val="auto"/>
        </w:rPr>
      </w:pPr>
      <w:r>
        <w:rPr>
          <w:rFonts w:ascii="Arial" w:cs="Arial" w:eastAsia="Arial" w:hAnsi="Arial"/>
          <w:sz w:val="19"/>
          <w:szCs w:val="19"/>
          <w:b w:val="1"/>
          <w:bCs w:val="1"/>
          <w:u w:val="single" w:color="auto"/>
          <w:color w:val="auto"/>
        </w:rPr>
        <w:t>Restrictions on Units</w:t>
      </w:r>
      <w:r>
        <w:rPr>
          <w:rFonts w:ascii="Arial" w:cs="Arial" w:eastAsia="Arial" w:hAnsi="Arial"/>
          <w:sz w:val="19"/>
          <w:szCs w:val="19"/>
          <w:color w:val="auto"/>
        </w:rPr>
        <w:t>. Neither this Award nor the Units subject to this Award may be assigned or transferred other than (i) a transfer</w:t>
      </w:r>
      <w:r>
        <w:rPr>
          <w:rFonts w:ascii="Arial" w:cs="Arial" w:eastAsia="Arial" w:hAnsi="Arial"/>
          <w:sz w:val="19"/>
          <w:szCs w:val="19"/>
          <w:b w:val="1"/>
          <w:bCs w:val="1"/>
          <w:color w:val="auto"/>
        </w:rPr>
        <w:t xml:space="preserve"> </w:t>
      </w:r>
      <w:r>
        <w:rPr>
          <w:rFonts w:ascii="Arial" w:cs="Arial" w:eastAsia="Arial" w:hAnsi="Arial"/>
          <w:sz w:val="19"/>
          <w:szCs w:val="19"/>
          <w:color w:val="auto"/>
        </w:rPr>
        <w:t>upon your death in accordance with your will, by the applicable laws of descent and distribution or pursuant to a beneficiary designation submitted in accordance with Section 6(d) of the Plan (to the extent such designation is valid under applicable law), (ii) pursuant to a qualified domestic relations order, or (iii) by gift to any “family member” (as defined in General Instruction A.1(a)(5) to Form S-8 under the Securities Act of 1933). Following any such transfer, this Award and the Units subject to this Award shall continue to be subject to the same terms and conditions that were applicable to them immediately prior to the transfer. The Units and the right you or your permitted transferee has to receive Shares in settlement of the Units under this Agreement shall be subject to forfeiture as provided in Section 4 of this Agreement until satisfaction of the vesting conditions set forth in Section 3 of this Agreement.</w:t>
      </w:r>
    </w:p>
    <w:p>
      <w:pPr>
        <w:spacing w:after="0" w:line="202" w:lineRule="exact"/>
        <w:rPr>
          <w:rFonts w:ascii="Arial" w:cs="Arial" w:eastAsia="Arial" w:hAnsi="Arial"/>
          <w:sz w:val="19"/>
          <w:szCs w:val="19"/>
          <w:color w:val="auto"/>
        </w:rPr>
      </w:pPr>
    </w:p>
    <w:p>
      <w:pPr>
        <w:ind w:left="360" w:hanging="352"/>
        <w:spacing w:after="0"/>
        <w:tabs>
          <w:tab w:leader="none" w:pos="360" w:val="left"/>
        </w:tabs>
        <w:numPr>
          <w:ilvl w:val="0"/>
          <w:numId w:val="26"/>
        </w:numPr>
        <w:rPr>
          <w:rFonts w:ascii="Arial" w:cs="Arial" w:eastAsia="Arial" w:hAnsi="Arial"/>
          <w:sz w:val="20"/>
          <w:szCs w:val="20"/>
          <w:color w:val="auto"/>
        </w:rPr>
      </w:pPr>
      <w:r>
        <w:rPr>
          <w:rFonts w:ascii="Arial" w:cs="Arial" w:eastAsia="Arial" w:hAnsi="Arial"/>
          <w:sz w:val="20"/>
          <w:szCs w:val="20"/>
          <w:b w:val="1"/>
          <w:bCs w:val="1"/>
          <w:u w:val="single" w:color="auto"/>
          <w:color w:val="auto"/>
        </w:rPr>
        <w:t>Vesting of Units</w:t>
      </w:r>
      <w:r>
        <w:rPr>
          <w:rFonts w:ascii="Arial" w:cs="Arial" w:eastAsia="Arial" w:hAnsi="Arial"/>
          <w:sz w:val="20"/>
          <w:szCs w:val="20"/>
          <w:color w:val="auto"/>
        </w:rPr>
        <w:t>.</w:t>
      </w:r>
    </w:p>
    <w:p>
      <w:pPr>
        <w:spacing w:after="0" w:line="248" w:lineRule="exact"/>
        <w:rPr>
          <w:rFonts w:ascii="Arial" w:cs="Arial" w:eastAsia="Arial" w:hAnsi="Arial"/>
          <w:sz w:val="20"/>
          <w:szCs w:val="20"/>
          <w:color w:val="auto"/>
        </w:rPr>
      </w:pPr>
    </w:p>
    <w:p>
      <w:pPr>
        <w:jc w:val="both"/>
        <w:ind w:left="660" w:hanging="4"/>
        <w:spacing w:after="0" w:line="250" w:lineRule="auto"/>
        <w:tabs>
          <w:tab w:leader="none" w:pos="1298" w:val="left"/>
        </w:tabs>
        <w:numPr>
          <w:ilvl w:val="1"/>
          <w:numId w:val="26"/>
        </w:numPr>
        <w:rPr>
          <w:rFonts w:ascii="Arial" w:cs="Arial" w:eastAsia="Arial" w:hAnsi="Arial"/>
          <w:sz w:val="20"/>
          <w:szCs w:val="20"/>
          <w:color w:val="auto"/>
        </w:rPr>
      </w:pPr>
      <w:r>
        <w:rPr>
          <w:rFonts w:ascii="Arial" w:cs="Arial" w:eastAsia="Arial" w:hAnsi="Arial"/>
          <w:sz w:val="20"/>
          <w:szCs w:val="20"/>
          <w:u w:val="single" w:color="auto"/>
          <w:color w:val="auto"/>
        </w:rPr>
        <w:t>Scheduled Vesting</w:t>
      </w:r>
      <w:r>
        <w:rPr>
          <w:rFonts w:ascii="Arial" w:cs="Arial" w:eastAsia="Arial" w:hAnsi="Arial"/>
          <w:sz w:val="20"/>
          <w:szCs w:val="20"/>
          <w:color w:val="auto"/>
        </w:rPr>
        <w:t>. If you remain a Service Provider continuously from the Grant Date specified on the cover page of this Agreement, then the Units will vest in the numbers and on the dates specified in the vesting schedule on the cover page of this Agreement.</w:t>
      </w:r>
    </w:p>
    <w:p>
      <w:pPr>
        <w:spacing w:after="0" w:line="212" w:lineRule="exact"/>
        <w:rPr>
          <w:rFonts w:ascii="Arial" w:cs="Arial" w:eastAsia="Arial" w:hAnsi="Arial"/>
          <w:sz w:val="20"/>
          <w:szCs w:val="20"/>
          <w:color w:val="auto"/>
        </w:rPr>
      </w:pPr>
    </w:p>
    <w:p>
      <w:pPr>
        <w:jc w:val="both"/>
        <w:ind w:left="660" w:hanging="4"/>
        <w:spacing w:after="0" w:line="246" w:lineRule="auto"/>
        <w:tabs>
          <w:tab w:leader="none" w:pos="1296" w:val="left"/>
        </w:tabs>
        <w:numPr>
          <w:ilvl w:val="1"/>
          <w:numId w:val="26"/>
        </w:numPr>
        <w:rPr>
          <w:rFonts w:ascii="Arial" w:cs="Arial" w:eastAsia="Arial" w:hAnsi="Arial"/>
          <w:sz w:val="20"/>
          <w:szCs w:val="20"/>
          <w:color w:val="auto"/>
        </w:rPr>
      </w:pPr>
      <w:r>
        <w:rPr>
          <w:rFonts w:ascii="Arial" w:cs="Arial" w:eastAsia="Arial" w:hAnsi="Arial"/>
          <w:sz w:val="20"/>
          <w:szCs w:val="20"/>
          <w:u w:val="single" w:color="auto"/>
          <w:color w:val="auto"/>
        </w:rPr>
        <w:t>Accelerated Vesting</w:t>
      </w:r>
      <w:r>
        <w:rPr>
          <w:rFonts w:ascii="Arial" w:cs="Arial" w:eastAsia="Arial" w:hAnsi="Arial"/>
          <w:sz w:val="20"/>
          <w:szCs w:val="20"/>
          <w:color w:val="auto"/>
        </w:rPr>
        <w:t>. Vesting of the Units will be accelerated if your Service to the Company or any Affiliate terminates because of your death or Disability, as provided in Section 6(e)(2) of the Plan. Vesting will also be accelerated under the circumstances described in Section 12(d) of the Plan or upon a Change in Control and may be accelerated by action of the Committee in accordance with Section 3(b)(2) of the Plan.</w:t>
      </w:r>
    </w:p>
    <w:p>
      <w:pPr>
        <w:spacing w:after="0" w:line="212" w:lineRule="exact"/>
        <w:rPr>
          <w:rFonts w:ascii="Arial" w:cs="Arial" w:eastAsia="Arial" w:hAnsi="Arial"/>
          <w:sz w:val="20"/>
          <w:szCs w:val="20"/>
          <w:color w:val="auto"/>
        </w:rPr>
      </w:pPr>
    </w:p>
    <w:p>
      <w:pPr>
        <w:ind w:left="660" w:hanging="652"/>
        <w:spacing w:after="0" w:line="293" w:lineRule="auto"/>
        <w:tabs>
          <w:tab w:leader="none" w:pos="412" w:val="left"/>
        </w:tabs>
        <w:numPr>
          <w:ilvl w:val="0"/>
          <w:numId w:val="26"/>
        </w:numPr>
        <w:rPr>
          <w:rFonts w:ascii="Arial" w:cs="Arial" w:eastAsia="Arial" w:hAnsi="Arial"/>
          <w:sz w:val="19"/>
          <w:szCs w:val="19"/>
          <w:color w:val="auto"/>
        </w:rPr>
      </w:pPr>
      <w:r>
        <w:rPr>
          <w:rFonts w:ascii="Arial" w:cs="Arial" w:eastAsia="Arial" w:hAnsi="Arial"/>
          <w:sz w:val="19"/>
          <w:szCs w:val="19"/>
          <w:b w:val="1"/>
          <w:bCs w:val="1"/>
          <w:u w:val="single" w:color="auto"/>
          <w:color w:val="auto"/>
        </w:rPr>
        <w:t>Service Requirement</w:t>
      </w:r>
      <w:r>
        <w:rPr>
          <w:rFonts w:ascii="Arial" w:cs="Arial" w:eastAsia="Arial" w:hAnsi="Arial"/>
          <w:sz w:val="19"/>
          <w:szCs w:val="19"/>
          <w:color w:val="auto"/>
        </w:rPr>
        <w:t>. Except as otherwise provided in accordance with Section 3(b) of this Agreement, if you cease to be a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Provider prior to the vesting date(s) specified on the cover page of this Agreement, you will forfeit all unvested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1714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60" w:right="60" w:hanging="652"/>
        <w:spacing w:after="0" w:line="208" w:lineRule="auto"/>
        <w:tabs>
          <w:tab w:leader="none" w:pos="298" w:val="left"/>
        </w:tabs>
        <w:numPr>
          <w:ilvl w:val="0"/>
          <w:numId w:val="27"/>
        </w:numPr>
        <w:rPr>
          <w:rFonts w:ascii="Arial" w:cs="Arial" w:eastAsia="Arial" w:hAnsi="Arial"/>
          <w:sz w:val="28"/>
          <w:szCs w:val="28"/>
          <w:color w:val="auto"/>
          <w:vertAlign w:val="superscript"/>
        </w:rPr>
      </w:pPr>
      <w:r>
        <w:rPr>
          <w:rFonts w:ascii="Arial" w:cs="Arial" w:eastAsia="Arial" w:hAnsi="Arial"/>
          <w:sz w:val="20"/>
          <w:szCs w:val="20"/>
          <w:color w:val="auto"/>
        </w:rPr>
        <w:t>To the extent any capitalized term used in this Agreement is not defined, it has the meaning assigned to it in the Plan as the Plan currently exists or as it is amended in the future.</w:t>
      </w:r>
    </w:p>
    <w:p>
      <w:pPr>
        <w:sectPr>
          <w:pgSz w:w="11900" w:h="16838" w:orient="portrait"/>
          <w:cols w:equalWidth="0" w:num="1">
            <w:col w:w="11240"/>
          </w:cols>
          <w:pgMar w:left="320" w:top="1426" w:right="339" w:bottom="1440" w:gutter="0" w:footer="0" w:header="0"/>
        </w:sectPr>
      </w:pPr>
    </w:p>
    <w:bookmarkStart w:id="59" w:name="page60"/>
    <w:bookmarkEnd w:id="59"/>
    <w:p>
      <w:pPr>
        <w:ind w:left="660" w:hanging="652"/>
        <w:spacing w:after="0" w:line="275" w:lineRule="auto"/>
        <w:tabs>
          <w:tab w:leader="none" w:pos="358"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Units</w:t>
      </w:r>
      <w:r>
        <w:rPr>
          <w:rFonts w:ascii="Arial" w:cs="Arial" w:eastAsia="Arial" w:hAnsi="Arial"/>
          <w:sz w:val="18"/>
          <w:szCs w:val="18"/>
          <w:color w:val="auto"/>
        </w:rPr>
        <w:t>. After any Units vest pursuant to Section 3 of this Agreement, the Company shall, as soon as practicable (but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event within the period specified in Treas. Reg. § 1.409A-1(b)(4) to qualify for a short-term deferral exception to Section 409A of the Code), cause to be issued and delivered to you, or to your validly designated beneficiary or estate in the event of your death, one Share in payment and settlement of each vested Unit. Delivery of the Shares shall be effected by the electronic delivery of the Shares to a brokerage account designated by you and acceptable to the Company, or by another method provided by the Company, and shall be subject to compliance with all applicable legal requirements, including compliance with the requirements of applicable federal and state securities laws, and shall be in complete satisfaction and settlement of such vested Units.</w:t>
      </w:r>
    </w:p>
    <w:p>
      <w:pPr>
        <w:spacing w:after="0" w:line="189" w:lineRule="exact"/>
        <w:rPr>
          <w:rFonts w:ascii="Arial" w:cs="Arial" w:eastAsia="Arial" w:hAnsi="Arial"/>
          <w:sz w:val="18"/>
          <w:szCs w:val="18"/>
          <w:color w:val="auto"/>
        </w:rPr>
      </w:pPr>
    </w:p>
    <w:p>
      <w:pPr>
        <w:ind w:left="660" w:hanging="652"/>
        <w:spacing w:after="0" w:line="323" w:lineRule="auto"/>
        <w:tabs>
          <w:tab w:leader="none" w:pos="385"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 Provided you are a U.S. based director, you are responsible for paying any withholding taxes that may be due as a</w:t>
      </w:r>
      <w:r>
        <w:rPr>
          <w:rFonts w:ascii="Arial" w:cs="Arial" w:eastAsia="Arial" w:hAnsi="Arial"/>
          <w:sz w:val="18"/>
          <w:szCs w:val="18"/>
          <w:b w:val="1"/>
          <w:bCs w:val="1"/>
          <w:color w:val="auto"/>
        </w:rPr>
        <w:t xml:space="preserve"> </w:t>
      </w:r>
      <w:r>
        <w:rPr>
          <w:rFonts w:ascii="Arial" w:cs="Arial" w:eastAsia="Arial" w:hAnsi="Arial"/>
          <w:sz w:val="18"/>
          <w:szCs w:val="18"/>
          <w:color w:val="auto"/>
        </w:rPr>
        <w:t>result of the issuance of Shares pursuant to the settlement of the Units. The Company will not withhold any taxes on your behalf.</w:t>
      </w:r>
    </w:p>
    <w:p>
      <w:pPr>
        <w:spacing w:after="0" w:line="144" w:lineRule="exact"/>
        <w:rPr>
          <w:rFonts w:ascii="Arial" w:cs="Arial" w:eastAsia="Arial" w:hAnsi="Arial"/>
          <w:sz w:val="18"/>
          <w:szCs w:val="18"/>
          <w:color w:val="auto"/>
        </w:rPr>
      </w:pPr>
    </w:p>
    <w:p>
      <w:pPr>
        <w:ind w:left="660" w:hanging="652"/>
        <w:spacing w:after="0" w:line="294" w:lineRule="auto"/>
        <w:tabs>
          <w:tab w:leader="none" w:pos="426"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No Shareholder Rights Before Settlement</w:t>
      </w:r>
      <w:r>
        <w:rPr>
          <w:rFonts w:ascii="Arial" w:cs="Arial" w:eastAsia="Arial" w:hAnsi="Arial"/>
          <w:sz w:val="18"/>
          <w:szCs w:val="18"/>
          <w:color w:val="auto"/>
        </w:rPr>
        <w:t>. The Units subject to this Award do not entitle you to any rights of a shareholder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You will not have any of the rights of a shareholder of the Company in connection with the grant of Units subject to this Award unless and until Shares are issued to you upon settlement of the Units as provided in Section 5 of this Agreement.</w:t>
      </w:r>
    </w:p>
    <w:p>
      <w:pPr>
        <w:spacing w:after="0" w:line="170" w:lineRule="exact"/>
        <w:rPr>
          <w:rFonts w:ascii="Arial" w:cs="Arial" w:eastAsia="Arial" w:hAnsi="Arial"/>
          <w:sz w:val="18"/>
          <w:szCs w:val="18"/>
          <w:color w:val="auto"/>
        </w:rPr>
      </w:pPr>
    </w:p>
    <w:p>
      <w:pPr>
        <w:ind w:left="660" w:hanging="652"/>
        <w:spacing w:after="0" w:line="253" w:lineRule="auto"/>
        <w:tabs>
          <w:tab w:leader="none" w:pos="385" w:val="left"/>
        </w:tabs>
        <w:numPr>
          <w:ilvl w:val="0"/>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Discontinuance of Service</w:t>
      </w:r>
      <w:r>
        <w:rPr>
          <w:rFonts w:ascii="Arial" w:cs="Arial" w:eastAsia="Arial" w:hAnsi="Arial"/>
          <w:sz w:val="20"/>
          <w:szCs w:val="20"/>
          <w:color w:val="auto"/>
        </w:rPr>
        <w:t>. This Agreement does not give you a right to continued Service with the Company or any Affiliate,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or any such Affiliate may terminate your Service at any time and otherwise deal with you without regard to the effect it may have upon you under this Agreement.</w:t>
      </w:r>
    </w:p>
    <w:p>
      <w:pPr>
        <w:spacing w:after="0" w:line="204" w:lineRule="exact"/>
        <w:rPr>
          <w:rFonts w:ascii="Arial" w:cs="Arial" w:eastAsia="Arial" w:hAnsi="Arial"/>
          <w:sz w:val="20"/>
          <w:szCs w:val="20"/>
          <w:color w:val="auto"/>
        </w:rPr>
      </w:pPr>
    </w:p>
    <w:p>
      <w:pPr>
        <w:ind w:left="660" w:hanging="652"/>
        <w:spacing w:after="0" w:line="294" w:lineRule="auto"/>
        <w:tabs>
          <w:tab w:leader="none" w:pos="372"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Plan Document</w:t>
      </w:r>
      <w:r>
        <w:rPr>
          <w:rFonts w:ascii="Arial" w:cs="Arial" w:eastAsia="Arial" w:hAnsi="Arial"/>
          <w:sz w:val="18"/>
          <w:szCs w:val="18"/>
          <w:color w:val="auto"/>
        </w:rPr>
        <w:t>. This Agreement and the Award are subject to all the provisions of the Plan, and to all interpretations, rules</w:t>
      </w:r>
      <w:r>
        <w:rPr>
          <w:rFonts w:ascii="Arial" w:cs="Arial" w:eastAsia="Arial" w:hAnsi="Arial"/>
          <w:sz w:val="18"/>
          <w:szCs w:val="18"/>
          <w:b w:val="1"/>
          <w:bCs w:val="1"/>
          <w:color w:val="auto"/>
        </w:rPr>
        <w:t xml:space="preserve"> </w:t>
      </w:r>
      <w:r>
        <w:rPr>
          <w:rFonts w:ascii="Arial" w:cs="Arial" w:eastAsia="Arial" w:hAnsi="Arial"/>
          <w:sz w:val="18"/>
          <w:szCs w:val="18"/>
          <w:color w:val="auto"/>
        </w:rPr>
        <w:t>and regulations which may, from time to time, be adopted and promulgated by the Committee pursuant to the Plan. If there is any conflict between the provisions of this Agreement and the Plan, the provisions of the Plan will govern.</w:t>
      </w:r>
    </w:p>
    <w:p>
      <w:pPr>
        <w:spacing w:after="0" w:line="170" w:lineRule="exact"/>
        <w:rPr>
          <w:rFonts w:ascii="Arial" w:cs="Arial" w:eastAsia="Arial" w:hAnsi="Arial"/>
          <w:sz w:val="18"/>
          <w:szCs w:val="18"/>
          <w:color w:val="auto"/>
        </w:rPr>
      </w:pPr>
    </w:p>
    <w:p>
      <w:pPr>
        <w:ind w:left="660" w:hanging="652"/>
        <w:spacing w:after="0" w:line="248" w:lineRule="auto"/>
        <w:tabs>
          <w:tab w:leader="none" w:pos="552" w:val="left"/>
        </w:tabs>
        <w:numPr>
          <w:ilvl w:val="0"/>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No Advice Regarding Grant</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is not providing any tax, legal or financial advice, nor is the Company making any</w:t>
      </w:r>
      <w:r>
        <w:rPr>
          <w:rFonts w:ascii="Arial" w:cs="Arial" w:eastAsia="Arial" w:hAnsi="Arial"/>
          <w:sz w:val="20"/>
          <w:szCs w:val="20"/>
          <w:b w:val="1"/>
          <w:bCs w:val="1"/>
          <w:color w:val="auto"/>
        </w:rPr>
        <w:t xml:space="preserve"> </w:t>
      </w:r>
      <w:r>
        <w:rPr>
          <w:rFonts w:ascii="Arial" w:cs="Arial" w:eastAsia="Arial" w:hAnsi="Arial"/>
          <w:sz w:val="20"/>
          <w:szCs w:val="20"/>
          <w:color w:val="auto"/>
        </w:rPr>
        <w:t>recommendations regarding your participation in the Plan, or your acquisition or sale of the underlying Shares. You understand and agree that you should consult with your own personal tax, legal and financial advisors regarding your participation in the Plan before taking any action related to the Plan.</w:t>
      </w:r>
    </w:p>
    <w:p>
      <w:pPr>
        <w:spacing w:after="0" w:line="210" w:lineRule="exact"/>
        <w:rPr>
          <w:rFonts w:ascii="Arial" w:cs="Arial" w:eastAsia="Arial" w:hAnsi="Arial"/>
          <w:sz w:val="20"/>
          <w:szCs w:val="20"/>
          <w:color w:val="auto"/>
        </w:rPr>
      </w:pPr>
    </w:p>
    <w:p>
      <w:pPr>
        <w:ind w:left="660" w:hanging="652"/>
        <w:spacing w:after="0" w:line="265" w:lineRule="auto"/>
        <w:tabs>
          <w:tab w:leader="none" w:pos="450" w:val="left"/>
        </w:tabs>
        <w:numPr>
          <w:ilvl w:val="0"/>
          <w:numId w:val="28"/>
        </w:numPr>
        <w:rPr>
          <w:rFonts w:ascii="Arial" w:cs="Arial" w:eastAsia="Arial" w:hAnsi="Arial"/>
          <w:sz w:val="19"/>
          <w:szCs w:val="19"/>
          <w:color w:val="auto"/>
        </w:rPr>
      </w:pPr>
      <w:r>
        <w:rPr>
          <w:rFonts w:ascii="Arial" w:cs="Arial" w:eastAsia="Arial" w:hAnsi="Arial"/>
          <w:sz w:val="19"/>
          <w:szCs w:val="19"/>
          <w:b w:val="1"/>
          <w:bCs w:val="1"/>
          <w:u w:val="single" w:color="auto"/>
          <w:color w:val="auto"/>
        </w:rPr>
        <w:t>Choice of Law and Venue</w:t>
      </w:r>
      <w:r>
        <w:rPr>
          <w:rFonts w:ascii="Arial" w:cs="Arial" w:eastAsia="Arial" w:hAnsi="Arial"/>
          <w:sz w:val="19"/>
          <w:szCs w:val="19"/>
          <w:color w:val="auto"/>
        </w:rPr>
        <w:t>. This Award and Agreement will be interpreted and construed in accordance with and governed by the laws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State of Minnesota, and all Participants agree to the exclusive venue and jurisdiction of the State and Federal Courts located in Hennepin County, Minnesota and waive any objection based on lack of jurisdiction or inconvenient forum. Any action relating to or arising out of this Plan must be commenced within one year after the cause of action accrued.</w:t>
      </w:r>
    </w:p>
    <w:p>
      <w:pPr>
        <w:spacing w:after="0" w:line="196" w:lineRule="exact"/>
        <w:rPr>
          <w:rFonts w:ascii="Arial" w:cs="Arial" w:eastAsia="Arial" w:hAnsi="Arial"/>
          <w:sz w:val="19"/>
          <w:szCs w:val="19"/>
          <w:color w:val="auto"/>
        </w:rPr>
      </w:pPr>
    </w:p>
    <w:p>
      <w:pPr>
        <w:ind w:left="660" w:right="20" w:hanging="652"/>
        <w:spacing w:after="0" w:line="267" w:lineRule="auto"/>
        <w:tabs>
          <w:tab w:leader="none" w:pos="552" w:val="left"/>
        </w:tabs>
        <w:numPr>
          <w:ilvl w:val="0"/>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Binding Effect</w:t>
      </w:r>
      <w:r>
        <w:rPr>
          <w:rFonts w:ascii="Arial" w:cs="Arial" w:eastAsia="Arial" w:hAnsi="Arial"/>
          <w:sz w:val="20"/>
          <w:szCs w:val="20"/>
          <w:color w:val="auto"/>
        </w:rPr>
        <w:t>. This Agreement will be binding in all respects on your heirs, representatives, successors and assigns, and on the</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and assigns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3" w:right="339" w:bottom="1440" w:gutter="0" w:footer="0" w:header="0"/>
        </w:sectPr>
      </w:pPr>
    </w:p>
    <w:bookmarkStart w:id="60" w:name="page61"/>
    <w:bookmarkEnd w:id="60"/>
    <w:p>
      <w:pPr>
        <w:ind w:left="660" w:hanging="652"/>
        <w:spacing w:after="0" w:line="272" w:lineRule="auto"/>
        <w:tabs>
          <w:tab w:leader="none" w:pos="574"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Law</w:t>
      </w:r>
      <w:r>
        <w:rPr>
          <w:rFonts w:ascii="Arial" w:cs="Arial" w:eastAsia="Arial" w:hAnsi="Arial"/>
          <w:sz w:val="18"/>
          <w:szCs w:val="18"/>
          <w:color w:val="auto"/>
        </w:rPr>
        <w:t>. Notwithstanding any other provision of the Plan or this Agreement, unless there is an exemption from any</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qualification or other legal requirement applicable to the Shares, the Company shall not be required to deliver any Shares issuable upon settlement of the Units prior to the completion of any registration or qualification of the shares under U.S. federal, state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You understand that the Company is under no obligation to register or qualify the Shares with the SEC or any state or foreign securities commission or to seek approval or clearance from any governmental authority for the issuance or sale of the Shares. Further, you agree that the Company shall have unilateral authority to amend the Agreement without your consent to the extent necessary to comply with securities or other laws applicable to the issuance of the Shares.</w:t>
      </w:r>
    </w:p>
    <w:p>
      <w:pPr>
        <w:spacing w:after="0" w:line="192" w:lineRule="exact"/>
        <w:rPr>
          <w:sz w:val="20"/>
          <w:szCs w:val="20"/>
          <w:color w:val="auto"/>
        </w:rPr>
      </w:pPr>
    </w:p>
    <w:p>
      <w:pPr>
        <w:ind w:left="660" w:right="20" w:hanging="652"/>
        <w:spacing w:after="0" w:line="253" w:lineRule="auto"/>
        <w:tabs>
          <w:tab w:leader="none" w:pos="457" w:val="left"/>
        </w:tabs>
        <w:numPr>
          <w:ilvl w:val="0"/>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Insider Trading Policy</w:t>
      </w:r>
      <w:r>
        <w:rPr>
          <w:rFonts w:ascii="Arial" w:cs="Arial" w:eastAsia="Arial" w:hAnsi="Arial"/>
          <w:sz w:val="20"/>
          <w:szCs w:val="20"/>
          <w:color w:val="auto"/>
        </w:rPr>
        <w:t>. You acknowledge that you are subject to the Company’s insider trading policy as set forth in the “Statement of</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Policy as to Trades in the Company’s Securities By Company Personnel and Confidential Information” and that you are responsible for ensuring compliance with the restrictions and requirements therein.</w:t>
      </w:r>
    </w:p>
    <w:p>
      <w:pPr>
        <w:spacing w:after="0" w:line="204" w:lineRule="exact"/>
        <w:rPr>
          <w:sz w:val="20"/>
          <w:szCs w:val="20"/>
          <w:color w:val="auto"/>
        </w:rPr>
      </w:pPr>
    </w:p>
    <w:p>
      <w:pPr>
        <w:ind w:left="660" w:hanging="652"/>
        <w:spacing w:after="0" w:line="248" w:lineRule="auto"/>
        <w:tabs>
          <w:tab w:leader="none" w:pos="533" w:val="left"/>
        </w:tabs>
        <w:numPr>
          <w:ilvl w:val="0"/>
          <w:numId w:val="31"/>
        </w:numPr>
        <w:rPr>
          <w:rFonts w:ascii="Arial" w:cs="Arial" w:eastAsia="Arial" w:hAnsi="Arial"/>
          <w:sz w:val="20"/>
          <w:szCs w:val="20"/>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your participation in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on the Award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210" w:lineRule="exact"/>
        <w:rPr>
          <w:rFonts w:ascii="Arial" w:cs="Arial" w:eastAsia="Arial" w:hAnsi="Arial"/>
          <w:sz w:val="20"/>
          <w:szCs w:val="20"/>
          <w:color w:val="auto"/>
        </w:rPr>
      </w:pPr>
    </w:p>
    <w:p>
      <w:pPr>
        <w:ind w:left="660" w:hanging="652"/>
        <w:spacing w:after="0" w:line="248" w:lineRule="auto"/>
        <w:tabs>
          <w:tab w:leader="none" w:pos="507" w:val="left"/>
        </w:tabs>
        <w:numPr>
          <w:ilvl w:val="0"/>
          <w:numId w:val="31"/>
        </w:numPr>
        <w:rPr>
          <w:rFonts w:ascii="Arial" w:cs="Arial" w:eastAsia="Arial" w:hAnsi="Arial"/>
          <w:sz w:val="20"/>
          <w:szCs w:val="20"/>
          <w:color w:val="auto"/>
        </w:rPr>
      </w:pPr>
      <w:r>
        <w:rPr>
          <w:rFonts w:ascii="Arial" w:cs="Arial" w:eastAsia="Arial" w:hAnsi="Arial"/>
          <w:sz w:val="20"/>
          <w:szCs w:val="20"/>
          <w:b w:val="1"/>
          <w:bCs w:val="1"/>
          <w:u w:val="single" w:color="auto"/>
          <w:color w:val="auto"/>
        </w:rPr>
        <w:t>Electronic Delivery and Participation</w:t>
      </w:r>
      <w:r>
        <w:rPr>
          <w:rFonts w:ascii="Arial" w:cs="Arial" w:eastAsia="Arial" w:hAnsi="Arial"/>
          <w:sz w:val="20"/>
          <w:szCs w:val="20"/>
          <w:color w:val="auto"/>
        </w:rPr>
        <w:t>. The Company may, in its sole discretion, decide to deliver any documents related to current or</w:t>
      </w:r>
      <w:r>
        <w:rPr>
          <w:rFonts w:ascii="Arial" w:cs="Arial" w:eastAsia="Arial" w:hAnsi="Arial"/>
          <w:sz w:val="20"/>
          <w:szCs w:val="20"/>
          <w:b w:val="1"/>
          <w:bCs w:val="1"/>
          <w:color w:val="auto"/>
        </w:rPr>
        <w:t xml:space="preserve"> </w:t>
      </w:r>
      <w:r>
        <w:rPr>
          <w:rFonts w:ascii="Arial" w:cs="Arial" w:eastAsia="Arial" w:hAnsi="Arial"/>
          <w:sz w:val="20"/>
          <w:szCs w:val="20"/>
          <w:color w:val="auto"/>
        </w:rPr>
        <w:t>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210" w:lineRule="exact"/>
        <w:rPr>
          <w:rFonts w:ascii="Arial" w:cs="Arial" w:eastAsia="Arial" w:hAnsi="Arial"/>
          <w:sz w:val="20"/>
          <w:szCs w:val="20"/>
          <w:color w:val="auto"/>
        </w:rPr>
      </w:pPr>
    </w:p>
    <w:p>
      <w:pPr>
        <w:ind w:left="660" w:hanging="652"/>
        <w:spacing w:after="0" w:line="246" w:lineRule="auto"/>
        <w:tabs>
          <w:tab w:leader="none" w:pos="484" w:val="left"/>
        </w:tabs>
        <w:numPr>
          <w:ilvl w:val="0"/>
          <w:numId w:val="31"/>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 of the Code</w:t>
      </w:r>
      <w:r>
        <w:rPr>
          <w:rFonts w:ascii="Arial" w:cs="Arial" w:eastAsia="Arial" w:hAnsi="Arial"/>
          <w:sz w:val="20"/>
          <w:szCs w:val="20"/>
          <w:color w:val="auto"/>
        </w:rPr>
        <w:t>. The award of Units as provided in this Agreement and any issuance of Shares or payment pursuant to this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are intended to be exempt from Section 409A of the Code under the short-term deferral exception specified in Treas. Reg. § 1.409A-l(b)(4).18. </w:t>
      </w:r>
      <w:r>
        <w:rPr>
          <w:rFonts w:ascii="Arial" w:cs="Arial" w:eastAsia="Arial" w:hAnsi="Arial"/>
          <w:sz w:val="20"/>
          <w:szCs w:val="20"/>
          <w:b w:val="1"/>
          <w:bCs w:val="1"/>
          <w:color w:val="auto"/>
        </w:rPr>
        <w:t>Waiver</w:t>
      </w:r>
      <w:r>
        <w:rPr>
          <w:rFonts w:ascii="Arial" w:cs="Arial" w:eastAsia="Arial" w:hAnsi="Arial"/>
          <w:sz w:val="20"/>
          <w:szCs w:val="20"/>
          <w:color w:val="auto"/>
        </w:rPr>
        <w:t>. You acknowledge that a waiver by the Company of breach of any provision of this Agreement shall not operate or be construed as a waiver of any other provision of this Agreement, or of any subsequent breach by you or any other Participant.</w:t>
      </w:r>
    </w:p>
    <w:p>
      <w:pPr>
        <w:spacing w:after="0" w:line="212" w:lineRule="exact"/>
        <w:rPr>
          <w:sz w:val="20"/>
          <w:szCs w:val="20"/>
          <w:color w:val="auto"/>
        </w:rPr>
      </w:pPr>
    </w:p>
    <w:p>
      <w:pPr>
        <w:ind w:left="660" w:right="20" w:hanging="652"/>
        <w:spacing w:after="0" w:line="293" w:lineRule="auto"/>
        <w:tabs>
          <w:tab w:leader="none" w:pos="606" w:val="left"/>
        </w:tabs>
        <w:numPr>
          <w:ilvl w:val="0"/>
          <w:numId w:val="32"/>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The provisions of this Agreement are severable and if any one or more provisions are determined to be illegal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unenforceable, in whole or in part, the remaining provisions shall nevertheless be binding and enforceable.</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i w:val="1"/>
          <w:iCs w:val="1"/>
          <w:color w:val="auto"/>
        </w:rPr>
        <w:t>By accepting this Award in the manner prescribed by the Company, you agree to all the terms and conditions described in this Agreement and in the Plan document.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Rev 02/18/2021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3"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20"/>
          <w:szCs w:val="20"/>
          <w:b w:val="1"/>
          <w:bCs w:val="1"/>
          <w:color w:val="auto"/>
        </w:rPr>
        <w:t>EXHIBIT 10.3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Long-Term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 Non-Statutory Stock Option Agreement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Option Terms and Conditions</w:t>
      </w:r>
      <w:r>
        <w:rPr>
          <w:rFonts w:ascii="Arial" w:cs="Arial" w:eastAsia="Arial" w:hAnsi="Arial"/>
          <w:sz w:val="25"/>
          <w:szCs w:val="25"/>
          <w:color w:val="auto"/>
          <w:vertAlign w:val="superscript"/>
        </w:rPr>
        <w:t>1</w:t>
      </w:r>
    </w:p>
    <w:p>
      <w:pPr>
        <w:spacing w:after="0" w:line="199" w:lineRule="exact"/>
        <w:rPr>
          <w:sz w:val="20"/>
          <w:szCs w:val="20"/>
          <w:color w:val="auto"/>
        </w:rPr>
      </w:pPr>
    </w:p>
    <w:p>
      <w:pPr>
        <w:jc w:val="both"/>
        <w:ind w:left="660" w:hanging="652"/>
        <w:spacing w:after="0" w:line="253"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b w:val="1"/>
          <w:bCs w:val="1"/>
          <w:u w:val="single" w:color="auto"/>
          <w:color w:val="auto"/>
        </w:rPr>
        <w:t>Grant of Stock Options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hereby grants to you, subject to the terms and conditions in this Director Non-Statutory</w:t>
      </w:r>
      <w:r>
        <w:rPr>
          <w:rFonts w:ascii="Arial" w:cs="Arial" w:eastAsia="Arial" w:hAnsi="Arial"/>
          <w:sz w:val="20"/>
          <w:szCs w:val="20"/>
          <w:b w:val="1"/>
          <w:bCs w:val="1"/>
          <w:color w:val="auto"/>
        </w:rPr>
        <w:t xml:space="preserve"> </w:t>
      </w:r>
      <w:r>
        <w:rPr>
          <w:rFonts w:ascii="Arial" w:cs="Arial" w:eastAsia="Arial" w:hAnsi="Arial"/>
          <w:sz w:val="20"/>
          <w:szCs w:val="20"/>
          <w:color w:val="auto"/>
        </w:rPr>
        <w:t>Stock Option Agreement (the “Agreement”) and subject to the terms and conditions of the Plan, an option to purchase the number of Shares specified on the cover page of this Agreement (the “Option”).</w:t>
      </w:r>
    </w:p>
    <w:p>
      <w:pPr>
        <w:spacing w:after="0" w:line="204" w:lineRule="exact"/>
        <w:rPr>
          <w:rFonts w:ascii="Arial" w:cs="Arial" w:eastAsia="Arial" w:hAnsi="Arial"/>
          <w:sz w:val="20"/>
          <w:szCs w:val="20"/>
          <w:color w:val="auto"/>
        </w:rPr>
      </w:pPr>
    </w:p>
    <w:p>
      <w:pPr>
        <w:ind w:left="660" w:hanging="652"/>
        <w:spacing w:after="0" w:line="267" w:lineRule="auto"/>
        <w:tabs>
          <w:tab w:leader="none" w:pos="399" w:val="left"/>
        </w:tabs>
        <w:numPr>
          <w:ilvl w:val="0"/>
          <w:numId w:val="33"/>
        </w:numPr>
        <w:rPr>
          <w:rFonts w:ascii="Arial" w:cs="Arial" w:eastAsia="Arial" w:hAnsi="Arial"/>
          <w:sz w:val="20"/>
          <w:szCs w:val="20"/>
          <w:color w:val="auto"/>
        </w:rPr>
      </w:pPr>
      <w:r>
        <w:rPr>
          <w:rFonts w:ascii="Arial" w:cs="Arial" w:eastAsia="Arial" w:hAnsi="Arial"/>
          <w:sz w:val="20"/>
          <w:szCs w:val="20"/>
          <w:b w:val="1"/>
          <w:bCs w:val="1"/>
          <w:u w:val="single" w:color="auto"/>
          <w:color w:val="auto"/>
        </w:rPr>
        <w:t>Non-Statutory Stock Option</w:t>
      </w:r>
      <w:r>
        <w:rPr>
          <w:rFonts w:ascii="Arial" w:cs="Arial" w:eastAsia="Arial" w:hAnsi="Arial"/>
          <w:sz w:val="20"/>
          <w:szCs w:val="20"/>
          <w:color w:val="auto"/>
        </w:rPr>
        <w:t>. This Option 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not</w:t>
      </w:r>
      <w:r>
        <w:rPr>
          <w:rFonts w:ascii="Arial" w:cs="Arial" w:eastAsia="Arial" w:hAnsi="Arial"/>
          <w:sz w:val="20"/>
          <w:szCs w:val="20"/>
          <w:b w:val="1"/>
          <w:bCs w:val="1"/>
          <w:color w:val="auto"/>
        </w:rPr>
        <w:t xml:space="preserve"> </w:t>
      </w:r>
      <w:r>
        <w:rPr>
          <w:rFonts w:ascii="Arial" w:cs="Arial" w:eastAsia="Arial" w:hAnsi="Arial"/>
          <w:sz w:val="20"/>
          <w:szCs w:val="20"/>
          <w:color w:val="auto"/>
        </w:rPr>
        <w:t>intended to be an “incentive stock option” within the meaning of Section 422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Code and will be interpreted accordingly.</w:t>
      </w:r>
    </w:p>
    <w:p>
      <w:pPr>
        <w:spacing w:after="0" w:line="190" w:lineRule="exact"/>
        <w:rPr>
          <w:rFonts w:ascii="Arial" w:cs="Arial" w:eastAsia="Arial" w:hAnsi="Arial"/>
          <w:sz w:val="20"/>
          <w:szCs w:val="20"/>
          <w:color w:val="auto"/>
        </w:rPr>
      </w:pPr>
    </w:p>
    <w:p>
      <w:pPr>
        <w:ind w:left="660" w:hanging="652"/>
        <w:spacing w:after="0" w:line="246" w:lineRule="auto"/>
        <w:tabs>
          <w:tab w:leader="none" w:pos="372" w:val="left"/>
        </w:tabs>
        <w:numPr>
          <w:ilvl w:val="0"/>
          <w:numId w:val="33"/>
        </w:numPr>
        <w:rPr>
          <w:rFonts w:ascii="Arial" w:cs="Arial" w:eastAsia="Arial" w:hAnsi="Arial"/>
          <w:sz w:val="20"/>
          <w:szCs w:val="20"/>
          <w:color w:val="auto"/>
        </w:rPr>
      </w:pPr>
      <w:r>
        <w:rPr>
          <w:rFonts w:ascii="Arial" w:cs="Arial" w:eastAsia="Arial" w:hAnsi="Arial"/>
          <w:sz w:val="20"/>
          <w:szCs w:val="20"/>
          <w:b w:val="1"/>
          <w:bCs w:val="1"/>
          <w:u w:val="single" w:color="auto"/>
          <w:color w:val="auto"/>
        </w:rPr>
        <w:t>Vesting and Exercise Schedule</w:t>
      </w:r>
      <w:r>
        <w:rPr>
          <w:rFonts w:ascii="Arial" w:cs="Arial" w:eastAsia="Arial" w:hAnsi="Arial"/>
          <w:sz w:val="20"/>
          <w:szCs w:val="20"/>
          <w:color w:val="auto"/>
        </w:rPr>
        <w:t>. This Option will vest and become exercisable as to the portion of Shares and on the dates specified on</w:t>
      </w:r>
      <w:r>
        <w:rPr>
          <w:rFonts w:ascii="Arial" w:cs="Arial" w:eastAsia="Arial" w:hAnsi="Arial"/>
          <w:sz w:val="20"/>
          <w:szCs w:val="20"/>
          <w:b w:val="1"/>
          <w:bCs w:val="1"/>
          <w:color w:val="auto"/>
        </w:rPr>
        <w:t xml:space="preserve"> </w:t>
      </w:r>
      <w:r>
        <w:rPr>
          <w:rFonts w:ascii="Arial" w:cs="Arial" w:eastAsia="Arial" w:hAnsi="Arial"/>
          <w:sz w:val="20"/>
          <w:szCs w:val="20"/>
          <w:color w:val="auto"/>
        </w:rPr>
        <w:t>the cover page to this Agreement, so long as you remain a Service Provider. The vesting and exercise schedule is cumulative, meaning that to the extent the Option has not already been exercised and has not expired, terminated or been cancelled, you or the person otherwise entitled to exercise the Option as provided in this Agreement may at any time purchase all or any portion of the Shares that may then be purchased under that schedule.</w:t>
      </w:r>
    </w:p>
    <w:p>
      <w:pPr>
        <w:spacing w:after="0" w:line="218" w:lineRule="exact"/>
        <w:rPr>
          <w:sz w:val="20"/>
          <w:szCs w:val="20"/>
          <w:color w:val="auto"/>
        </w:rPr>
      </w:pPr>
    </w:p>
    <w:p>
      <w:pPr>
        <w:jc w:val="both"/>
        <w:ind w:left="660" w:hanging="435"/>
        <w:spacing w:after="0" w:line="246" w:lineRule="auto"/>
        <w:rPr>
          <w:sz w:val="20"/>
          <w:szCs w:val="20"/>
          <w:color w:val="auto"/>
        </w:rPr>
      </w:pPr>
      <w:r>
        <w:rPr>
          <w:rFonts w:ascii="Arial" w:cs="Arial" w:eastAsia="Arial" w:hAnsi="Arial"/>
          <w:sz w:val="20"/>
          <w:szCs w:val="20"/>
          <w:color w:val="auto"/>
        </w:rPr>
        <w:t>Vesting and exercisability of this Option will be accelerated during the term of the Option if your Service to the Company or any Affiliate terminates because of your death or Disability, as provided in Section 6(e)(2) of the Plan. Vesting and exercisability will also be accelerated under the circumstances described in Section 12(d) of the Plan or upon a Change in Control and may be accelerated by action of the Committee in accordance with Section 3(b)(2) of the Plan.</w:t>
      </w:r>
    </w:p>
    <w:p>
      <w:pPr>
        <w:spacing w:after="0" w:line="212"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Expiration</w:t>
      </w:r>
      <w:r>
        <w:rPr>
          <w:rFonts w:ascii="Arial" w:cs="Arial" w:eastAsia="Arial" w:hAnsi="Arial"/>
          <w:sz w:val="20"/>
          <w:szCs w:val="20"/>
          <w:color w:val="auto"/>
        </w:rPr>
        <w:t>. This Option will expire and will no longer be exercisable at 5:00 p.m. Central Time on the earlier of:</w:t>
      </w:r>
    </w:p>
    <w:p>
      <w:pPr>
        <w:spacing w:after="0" w:line="248" w:lineRule="exact"/>
        <w:rPr>
          <w:rFonts w:ascii="Arial" w:cs="Arial" w:eastAsia="Arial" w:hAnsi="Arial"/>
          <w:sz w:val="20"/>
          <w:szCs w:val="20"/>
          <w:color w:val="auto"/>
        </w:rPr>
      </w:pPr>
    </w:p>
    <w:p>
      <w:pPr>
        <w:ind w:left="1300" w:hanging="644"/>
        <w:spacing w:after="0"/>
        <w:tabs>
          <w:tab w:leader="none" w:pos="1300" w:val="left"/>
        </w:tabs>
        <w:numPr>
          <w:ilvl w:val="1"/>
          <w:numId w:val="34"/>
        </w:numPr>
        <w:rPr>
          <w:rFonts w:ascii="Arial" w:cs="Arial" w:eastAsia="Arial" w:hAnsi="Arial"/>
          <w:sz w:val="20"/>
          <w:szCs w:val="20"/>
          <w:color w:val="auto"/>
        </w:rPr>
      </w:pPr>
      <w:r>
        <w:rPr>
          <w:rFonts w:ascii="Arial" w:cs="Arial" w:eastAsia="Arial" w:hAnsi="Arial"/>
          <w:sz w:val="20"/>
          <w:szCs w:val="20"/>
          <w:color w:val="auto"/>
        </w:rPr>
        <w:t>the expiration date specified on the cover page of this Agreement; or</w:t>
      </w:r>
    </w:p>
    <w:p>
      <w:pPr>
        <w:spacing w:after="0" w:line="242" w:lineRule="exact"/>
        <w:rPr>
          <w:rFonts w:ascii="Arial" w:cs="Arial" w:eastAsia="Arial" w:hAnsi="Arial"/>
          <w:sz w:val="20"/>
          <w:szCs w:val="20"/>
          <w:color w:val="auto"/>
        </w:rPr>
      </w:pPr>
    </w:p>
    <w:p>
      <w:pPr>
        <w:ind w:left="1300" w:hanging="644"/>
        <w:spacing w:after="0"/>
        <w:tabs>
          <w:tab w:leader="none" w:pos="1300" w:val="left"/>
        </w:tabs>
        <w:numPr>
          <w:ilvl w:val="1"/>
          <w:numId w:val="34"/>
        </w:numPr>
        <w:rPr>
          <w:rFonts w:ascii="Arial" w:cs="Arial" w:eastAsia="Arial" w:hAnsi="Arial"/>
          <w:sz w:val="20"/>
          <w:szCs w:val="20"/>
          <w:color w:val="auto"/>
        </w:rPr>
      </w:pPr>
      <w:r>
        <w:rPr>
          <w:rFonts w:ascii="Arial" w:cs="Arial" w:eastAsia="Arial" w:hAnsi="Arial"/>
          <w:sz w:val="20"/>
          <w:szCs w:val="20"/>
          <w:color w:val="auto"/>
        </w:rPr>
        <w:t>the date that is one year after the termination of your Service as a Service Provider.</w:t>
      </w:r>
    </w:p>
    <w:p>
      <w:pPr>
        <w:spacing w:after="0" w:line="236" w:lineRule="exact"/>
        <w:rPr>
          <w:rFonts w:ascii="Arial" w:cs="Arial" w:eastAsia="Arial" w:hAnsi="Arial"/>
          <w:sz w:val="20"/>
          <w:szCs w:val="20"/>
          <w:color w:val="auto"/>
        </w:rPr>
      </w:pPr>
    </w:p>
    <w:p>
      <w:pPr>
        <w:ind w:left="660" w:hanging="652"/>
        <w:spacing w:after="0" w:line="253" w:lineRule="auto"/>
        <w:tabs>
          <w:tab w:leader="none" w:pos="372" w:val="left"/>
        </w:tabs>
        <w:numPr>
          <w:ilvl w:val="0"/>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Service Requirement</w:t>
      </w:r>
      <w:r>
        <w:rPr>
          <w:rFonts w:ascii="Arial" w:cs="Arial" w:eastAsia="Arial" w:hAnsi="Arial"/>
          <w:sz w:val="20"/>
          <w:szCs w:val="20"/>
          <w:color w:val="auto"/>
        </w:rPr>
        <w:t>. Except as otherwise provided in Section 3(b) of this Agreement and Section 6(e)(2) of the Plan, this Option may</w:t>
      </w:r>
      <w:r>
        <w:rPr>
          <w:rFonts w:ascii="Arial" w:cs="Arial" w:eastAsia="Arial" w:hAnsi="Arial"/>
          <w:sz w:val="20"/>
          <w:szCs w:val="20"/>
          <w:b w:val="1"/>
          <w:bCs w:val="1"/>
          <w:color w:val="auto"/>
        </w:rPr>
        <w:t xml:space="preserve"> </w:t>
      </w:r>
      <w:r>
        <w:rPr>
          <w:rFonts w:ascii="Arial" w:cs="Arial" w:eastAsia="Arial" w:hAnsi="Arial"/>
          <w:sz w:val="20"/>
          <w:szCs w:val="20"/>
          <w:color w:val="auto"/>
        </w:rPr>
        <w:t>be exercised only while you continue to provide Service to the Company or an Affiliate as a Service Provider, and only if you have continuously provided such Service since the date this Option was granted.</w:t>
      </w:r>
    </w:p>
    <w:p>
      <w:pPr>
        <w:spacing w:after="0" w:line="204" w:lineRule="exact"/>
        <w:rPr>
          <w:rFonts w:ascii="Arial" w:cs="Arial" w:eastAsia="Arial" w:hAnsi="Arial"/>
          <w:sz w:val="20"/>
          <w:szCs w:val="20"/>
          <w:color w:val="auto"/>
        </w:rPr>
      </w:pPr>
    </w:p>
    <w:p>
      <w:pPr>
        <w:ind w:left="660" w:hanging="652"/>
        <w:spacing w:after="0" w:line="265" w:lineRule="auto"/>
        <w:tabs>
          <w:tab w:leader="none" w:pos="399" w:val="left"/>
        </w:tabs>
        <w:numPr>
          <w:ilvl w:val="0"/>
          <w:numId w:val="34"/>
        </w:numPr>
        <w:rPr>
          <w:rFonts w:ascii="Arial" w:cs="Arial" w:eastAsia="Arial" w:hAnsi="Arial"/>
          <w:sz w:val="19"/>
          <w:szCs w:val="19"/>
          <w:color w:val="auto"/>
        </w:rPr>
      </w:pPr>
      <w:r>
        <w:rPr>
          <w:rFonts w:ascii="Arial" w:cs="Arial" w:eastAsia="Arial" w:hAnsi="Arial"/>
          <w:sz w:val="19"/>
          <w:szCs w:val="19"/>
          <w:b w:val="1"/>
          <w:bCs w:val="1"/>
          <w:u w:val="single" w:color="auto"/>
          <w:color w:val="auto"/>
        </w:rPr>
        <w:t>Exercise of Option</w:t>
      </w:r>
      <w:r>
        <w:rPr>
          <w:rFonts w:ascii="Arial" w:cs="Arial" w:eastAsia="Arial" w:hAnsi="Arial"/>
          <w:sz w:val="19"/>
          <w:szCs w:val="19"/>
          <w:color w:val="auto"/>
        </w:rPr>
        <w:t>. Subject to Section 5 of this Agreement and the Company’s policies governing trading in its securities, the vested</w:t>
      </w:r>
      <w:r>
        <w:rPr>
          <w:rFonts w:ascii="Arial" w:cs="Arial" w:eastAsia="Arial" w:hAnsi="Arial"/>
          <w:sz w:val="19"/>
          <w:szCs w:val="19"/>
          <w:b w:val="1"/>
          <w:bCs w:val="1"/>
          <w:color w:val="auto"/>
        </w:rPr>
        <w:t xml:space="preserve"> </w:t>
      </w:r>
      <w:r>
        <w:rPr>
          <w:rFonts w:ascii="Arial" w:cs="Arial" w:eastAsia="Arial" w:hAnsi="Arial"/>
          <w:sz w:val="19"/>
          <w:szCs w:val="19"/>
          <w:color w:val="auto"/>
        </w:rPr>
        <w:t>and exercisable portion of this Option may be exercised through use of an account maintained for you by a securities broker approved by the Company or through delivery to the Company’s Stock Administration office of written notification of exercise that states the number of Shares to be purchased and is signed or otherwise authenticated by the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7145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0" w:lineRule="exact"/>
        <w:rPr>
          <w:sz w:val="20"/>
          <w:szCs w:val="20"/>
          <w:color w:val="auto"/>
        </w:rPr>
      </w:pPr>
    </w:p>
    <w:p>
      <w:pPr>
        <w:ind w:left="660" w:right="60" w:hanging="652"/>
        <w:spacing w:after="0" w:line="208" w:lineRule="auto"/>
        <w:tabs>
          <w:tab w:leader="none" w:pos="298" w:val="left"/>
        </w:tabs>
        <w:numPr>
          <w:ilvl w:val="0"/>
          <w:numId w:val="35"/>
        </w:numPr>
        <w:rPr>
          <w:rFonts w:ascii="Arial" w:cs="Arial" w:eastAsia="Arial" w:hAnsi="Arial"/>
          <w:sz w:val="28"/>
          <w:szCs w:val="28"/>
          <w:color w:val="auto"/>
          <w:vertAlign w:val="superscript"/>
        </w:rPr>
      </w:pPr>
      <w:r>
        <w:rPr>
          <w:rFonts w:ascii="Arial" w:cs="Arial" w:eastAsia="Arial" w:hAnsi="Arial"/>
          <w:sz w:val="20"/>
          <w:szCs w:val="20"/>
          <w:color w:val="auto"/>
        </w:rPr>
        <w:t>To the extent any capitalized term used in this Agreement is not defined, it has the meaning assigned to it in the Plan as the Plan currently exists or as it is amended in the future.</w:t>
      </w:r>
    </w:p>
    <w:p>
      <w:pPr>
        <w:sectPr>
          <w:pgSz w:w="11900" w:h="16838" w:orient="portrait"/>
          <w:cols w:equalWidth="0" w:num="1">
            <w:col w:w="11240"/>
          </w:cols>
          <w:pgMar w:left="320" w:top="1426" w:right="339" w:bottom="1440" w:gutter="0" w:footer="0" w:header="0"/>
        </w:sectPr>
      </w:pPr>
    </w:p>
    <w:bookmarkStart w:id="62" w:name="page63"/>
    <w:bookmarkEnd w:id="62"/>
    <w:p>
      <w:pPr>
        <w:ind w:left="660"/>
        <w:spacing w:after="0" w:line="260" w:lineRule="auto"/>
        <w:rPr>
          <w:sz w:val="20"/>
          <w:szCs w:val="20"/>
          <w:color w:val="auto"/>
        </w:rPr>
      </w:pPr>
      <w:r>
        <w:rPr>
          <w:rFonts w:ascii="Arial" w:cs="Arial" w:eastAsia="Arial" w:hAnsi="Arial"/>
          <w:sz w:val="20"/>
          <w:szCs w:val="20"/>
          <w:color w:val="auto"/>
        </w:rPr>
        <w:t>exercising this Option. If the person exercising this Option is not the Optionee, he or she also must submit appropriate proof of his or her right to exercise this Option.</w:t>
      </w:r>
    </w:p>
    <w:p>
      <w:pPr>
        <w:spacing w:after="0" w:line="198" w:lineRule="exact"/>
        <w:rPr>
          <w:sz w:val="20"/>
          <w:szCs w:val="20"/>
          <w:color w:val="auto"/>
        </w:rPr>
      </w:pPr>
    </w:p>
    <w:p>
      <w:pPr>
        <w:ind w:left="660" w:right="20" w:hanging="652"/>
        <w:spacing w:after="0" w:line="293" w:lineRule="auto"/>
        <w:tabs>
          <w:tab w:leader="none" w:pos="453" w:val="left"/>
        </w:tabs>
        <w:numPr>
          <w:ilvl w:val="0"/>
          <w:numId w:val="36"/>
        </w:numPr>
        <w:rPr>
          <w:rFonts w:ascii="Arial" w:cs="Arial" w:eastAsia="Arial" w:hAnsi="Arial"/>
          <w:sz w:val="19"/>
          <w:szCs w:val="19"/>
          <w:color w:val="auto"/>
        </w:rPr>
      </w:pPr>
      <w:r>
        <w:rPr>
          <w:rFonts w:ascii="Arial" w:cs="Arial" w:eastAsia="Arial" w:hAnsi="Arial"/>
          <w:sz w:val="19"/>
          <w:szCs w:val="19"/>
          <w:b w:val="1"/>
          <w:bCs w:val="1"/>
          <w:u w:val="single" w:color="auto"/>
          <w:color w:val="auto"/>
        </w:rPr>
        <w:t>Payment of Exercise Price</w:t>
      </w:r>
      <w:r>
        <w:rPr>
          <w:rFonts w:ascii="Arial" w:cs="Arial" w:eastAsia="Arial" w:hAnsi="Arial"/>
          <w:sz w:val="19"/>
          <w:szCs w:val="19"/>
          <w:color w:val="auto"/>
        </w:rPr>
        <w:t>. When you submit your notice of exercise pursuant to Section 6 of this Agreement, you must include</w:t>
      </w:r>
      <w:r>
        <w:rPr>
          <w:rFonts w:ascii="Arial" w:cs="Arial" w:eastAsia="Arial" w:hAnsi="Arial"/>
          <w:sz w:val="19"/>
          <w:szCs w:val="19"/>
          <w:b w:val="1"/>
          <w:bCs w:val="1"/>
          <w:color w:val="auto"/>
        </w:rPr>
        <w:t xml:space="preserve"> </w:t>
      </w:r>
      <w:r>
        <w:rPr>
          <w:rFonts w:ascii="Arial" w:cs="Arial" w:eastAsia="Arial" w:hAnsi="Arial"/>
          <w:sz w:val="19"/>
          <w:szCs w:val="19"/>
          <w:color w:val="auto"/>
        </w:rPr>
        <w:t>payment of the exercise price of the Shares being purchased through one or a combination of the following methods:</w:t>
      </w:r>
    </w:p>
    <w:p>
      <w:pPr>
        <w:spacing w:after="0" w:line="174" w:lineRule="exact"/>
        <w:rPr>
          <w:rFonts w:ascii="Arial" w:cs="Arial" w:eastAsia="Arial" w:hAnsi="Arial"/>
          <w:sz w:val="19"/>
          <w:szCs w:val="19"/>
          <w:color w:val="auto"/>
        </w:rPr>
      </w:pPr>
    </w:p>
    <w:p>
      <w:pPr>
        <w:ind w:left="620" w:hanging="414"/>
        <w:spacing w:after="0"/>
        <w:tabs>
          <w:tab w:leader="none" w:pos="620" w:val="left"/>
        </w:tabs>
        <w:numPr>
          <w:ilvl w:val="1"/>
          <w:numId w:val="36"/>
        </w:numPr>
        <w:rPr>
          <w:rFonts w:ascii="Arial" w:cs="Arial" w:eastAsia="Arial" w:hAnsi="Arial"/>
          <w:sz w:val="20"/>
          <w:szCs w:val="20"/>
          <w:color w:val="auto"/>
        </w:rPr>
      </w:pPr>
      <w:r>
        <w:rPr>
          <w:rFonts w:ascii="Arial" w:cs="Arial" w:eastAsia="Arial" w:hAnsi="Arial"/>
          <w:sz w:val="20"/>
          <w:szCs w:val="20"/>
          <w:color w:val="auto"/>
        </w:rPr>
        <w:t>your personal check, a cashier’s check or money order;</w:t>
      </w:r>
    </w:p>
    <w:p>
      <w:pPr>
        <w:spacing w:after="0" w:line="242" w:lineRule="exact"/>
        <w:rPr>
          <w:rFonts w:ascii="Arial" w:cs="Arial" w:eastAsia="Arial" w:hAnsi="Arial"/>
          <w:sz w:val="20"/>
          <w:szCs w:val="20"/>
          <w:color w:val="auto"/>
        </w:rPr>
      </w:pPr>
    </w:p>
    <w:p>
      <w:pPr>
        <w:ind w:left="1140" w:hanging="916"/>
        <w:spacing w:after="0" w:line="250" w:lineRule="auto"/>
        <w:tabs>
          <w:tab w:leader="none" w:pos="670" w:val="left"/>
        </w:tabs>
        <w:numPr>
          <w:ilvl w:val="2"/>
          <w:numId w:val="36"/>
        </w:numPr>
        <w:rPr>
          <w:rFonts w:ascii="Arial" w:cs="Arial" w:eastAsia="Arial" w:hAnsi="Arial"/>
          <w:sz w:val="20"/>
          <w:szCs w:val="20"/>
          <w:color w:val="auto"/>
        </w:rPr>
      </w:pPr>
      <w:r>
        <w:rPr>
          <w:rFonts w:ascii="Arial" w:cs="Arial" w:eastAsia="Arial" w:hAnsi="Arial"/>
          <w:sz w:val="20"/>
          <w:szCs w:val="20"/>
          <w:color w:val="auto"/>
        </w:rPr>
        <w:t>to the extent permitted by law, a broker-assisted cashless exercise in which you irrevocably instruct a broker to deliver proceeds of a sale of all or a portion of the Shares for which the Option is being exercised to the Company in payment of the purchase price of such Shares;</w:t>
      </w:r>
    </w:p>
    <w:p>
      <w:pPr>
        <w:spacing w:after="0" w:line="212" w:lineRule="exact"/>
        <w:rPr>
          <w:rFonts w:ascii="Arial" w:cs="Arial" w:eastAsia="Arial" w:hAnsi="Arial"/>
          <w:sz w:val="20"/>
          <w:szCs w:val="20"/>
          <w:color w:val="auto"/>
        </w:rPr>
      </w:pPr>
    </w:p>
    <w:p>
      <w:pPr>
        <w:ind w:left="1140" w:hanging="891"/>
        <w:spacing w:after="0" w:line="260" w:lineRule="auto"/>
        <w:tabs>
          <w:tab w:leader="none" w:pos="707" w:val="left"/>
        </w:tabs>
        <w:numPr>
          <w:ilvl w:val="3"/>
          <w:numId w:val="36"/>
        </w:numPr>
        <w:rPr>
          <w:rFonts w:ascii="Arial" w:cs="Arial" w:eastAsia="Arial" w:hAnsi="Arial"/>
          <w:sz w:val="20"/>
          <w:szCs w:val="20"/>
          <w:color w:val="auto"/>
        </w:rPr>
      </w:pPr>
      <w:r>
        <w:rPr>
          <w:rFonts w:ascii="Arial" w:cs="Arial" w:eastAsia="Arial" w:hAnsi="Arial"/>
          <w:sz w:val="20"/>
          <w:szCs w:val="20"/>
          <w:color w:val="auto"/>
        </w:rPr>
        <w:t>by delivery to the Company or its designated agent of unencumbered Shares having an aggregate Fair Market Value on the date of exercise equal to the exercise price of the Shares for which the Option is being exercised; or</w:t>
      </w:r>
    </w:p>
    <w:p>
      <w:pPr>
        <w:spacing w:after="0" w:line="203" w:lineRule="exact"/>
        <w:rPr>
          <w:rFonts w:ascii="Arial" w:cs="Arial" w:eastAsia="Arial" w:hAnsi="Arial"/>
          <w:sz w:val="20"/>
          <w:szCs w:val="20"/>
          <w:color w:val="auto"/>
        </w:rPr>
      </w:pPr>
    </w:p>
    <w:p>
      <w:pPr>
        <w:ind w:left="1140" w:hanging="844"/>
        <w:spacing w:after="0" w:line="250" w:lineRule="auto"/>
        <w:tabs>
          <w:tab w:leader="none" w:pos="814" w:val="left"/>
        </w:tabs>
        <w:numPr>
          <w:ilvl w:val="4"/>
          <w:numId w:val="36"/>
        </w:numPr>
        <w:rPr>
          <w:rFonts w:ascii="Arial" w:cs="Arial" w:eastAsia="Arial" w:hAnsi="Arial"/>
          <w:sz w:val="20"/>
          <w:szCs w:val="20"/>
          <w:color w:val="auto"/>
        </w:rPr>
      </w:pPr>
      <w:r>
        <w:rPr>
          <w:rFonts w:ascii="Arial" w:cs="Arial" w:eastAsia="Arial" w:hAnsi="Arial"/>
          <w:sz w:val="20"/>
          <w:szCs w:val="20"/>
          <w:color w:val="auto"/>
        </w:rPr>
        <w:t>by a reduction in the number of Shares to be delivered to you upon exercise, such number of Shares to be withheld having an aggregate Fair Market Value on the date of exercise equal to the exercise price of the Shares for which the Option is being exercised.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However, if the Committee determines, in any given circumstance, that payment of the exercise price with Shares pursuant to subsection</w:t>
      </w:r>
    </w:p>
    <w:p>
      <w:pPr>
        <w:spacing w:after="0" w:line="39"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(c) above or by authorizing the Company to retain Shares pursuant to subsection (d) above is undesirable for any reason, you will not be permitted to pay any portion of the exercise price in that manner. Moreover, if the Committee determines that payment of the exercise price by one of the methods specified above is required or desirable for legal or administrative reasons, you will be required to pay the exercise price by such method.</w:t>
      </w:r>
    </w:p>
    <w:p>
      <w:pPr>
        <w:spacing w:after="0" w:line="215" w:lineRule="exact"/>
        <w:rPr>
          <w:sz w:val="20"/>
          <w:szCs w:val="20"/>
          <w:color w:val="auto"/>
        </w:rPr>
      </w:pPr>
    </w:p>
    <w:p>
      <w:pPr>
        <w:ind w:left="660" w:hanging="652"/>
        <w:spacing w:after="0" w:line="267" w:lineRule="auto"/>
        <w:tabs>
          <w:tab w:leader="none" w:pos="385" w:val="left"/>
        </w:tabs>
        <w:numPr>
          <w:ilvl w:val="0"/>
          <w:numId w:val="37"/>
        </w:numPr>
        <w:rPr>
          <w:rFonts w:ascii="Arial" w:cs="Arial" w:eastAsia="Arial" w:hAnsi="Arial"/>
          <w:sz w:val="20"/>
          <w:szCs w:val="20"/>
          <w:color w:val="auto"/>
        </w:rPr>
      </w:pPr>
      <w:r>
        <w:rPr>
          <w:rFonts w:ascii="Arial" w:cs="Arial" w:eastAsia="Arial" w:hAnsi="Arial"/>
          <w:sz w:val="20"/>
          <w:szCs w:val="20"/>
          <w:b w:val="1"/>
          <w:bCs w:val="1"/>
          <w:u w:val="single" w:color="auto"/>
          <w:color w:val="auto"/>
        </w:rPr>
        <w:t>Withholding Taxes</w:t>
      </w:r>
      <w:r>
        <w:rPr>
          <w:rFonts w:ascii="Arial" w:cs="Arial" w:eastAsia="Arial" w:hAnsi="Arial"/>
          <w:sz w:val="20"/>
          <w:szCs w:val="20"/>
          <w:color w:val="auto"/>
        </w:rPr>
        <w:t>. Provided you are a U.S. based director, you are responsible for paying any withholding taxes that may be due as a</w:t>
      </w:r>
      <w:r>
        <w:rPr>
          <w:rFonts w:ascii="Arial" w:cs="Arial" w:eastAsia="Arial" w:hAnsi="Arial"/>
          <w:sz w:val="20"/>
          <w:szCs w:val="20"/>
          <w:b w:val="1"/>
          <w:bCs w:val="1"/>
          <w:color w:val="auto"/>
        </w:rPr>
        <w:t xml:space="preserve"> </w:t>
      </w:r>
      <w:r>
        <w:rPr>
          <w:rFonts w:ascii="Arial" w:cs="Arial" w:eastAsia="Arial" w:hAnsi="Arial"/>
          <w:sz w:val="20"/>
          <w:szCs w:val="20"/>
          <w:color w:val="auto"/>
        </w:rPr>
        <w:t>result of your exercise of this Option. The Company will not withhold any taxes on your behalf.</w:t>
      </w:r>
    </w:p>
    <w:p>
      <w:pPr>
        <w:spacing w:after="0" w:line="190" w:lineRule="exact"/>
        <w:rPr>
          <w:rFonts w:ascii="Arial" w:cs="Arial" w:eastAsia="Arial" w:hAnsi="Arial"/>
          <w:sz w:val="20"/>
          <w:szCs w:val="20"/>
          <w:color w:val="auto"/>
        </w:rPr>
      </w:pPr>
    </w:p>
    <w:p>
      <w:pPr>
        <w:ind w:left="660" w:hanging="652"/>
        <w:spacing w:after="0" w:line="262" w:lineRule="auto"/>
        <w:tabs>
          <w:tab w:leader="none" w:pos="372" w:val="left"/>
        </w:tabs>
        <w:numPr>
          <w:ilvl w:val="0"/>
          <w:numId w:val="37"/>
        </w:numPr>
        <w:rPr>
          <w:rFonts w:ascii="Arial" w:cs="Arial" w:eastAsia="Arial" w:hAnsi="Arial"/>
          <w:sz w:val="19"/>
          <w:szCs w:val="19"/>
          <w:color w:val="auto"/>
        </w:rPr>
      </w:pPr>
      <w:r>
        <w:rPr>
          <w:rFonts w:ascii="Arial" w:cs="Arial" w:eastAsia="Arial" w:hAnsi="Arial"/>
          <w:sz w:val="19"/>
          <w:szCs w:val="19"/>
          <w:b w:val="1"/>
          <w:bCs w:val="1"/>
          <w:u w:val="single" w:color="auto"/>
          <w:color w:val="auto"/>
        </w:rPr>
        <w:t>Delivery of Shares</w:t>
      </w:r>
      <w:r>
        <w:rPr>
          <w:rFonts w:ascii="Arial" w:cs="Arial" w:eastAsia="Arial" w:hAnsi="Arial"/>
          <w:sz w:val="19"/>
          <w:szCs w:val="19"/>
          <w:color w:val="auto"/>
        </w:rPr>
        <w:t>. As soon as practicable after the Company receives the notice of exercise and exercise price provided for above, and</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determines that all conditions to exercise and delivery of Shares and the compliance provisions of Section 17 of this Agreement, have been satisfied, it will arrange for the delivery of the Shares being purchased. Delivery of the Shares shall be effected by the electronic delivery of the Shares to a brokerage account designated by you and acceptable to the Company, or by another method provided by the Company. All Shares so issued will be fully paid and nonassessable.</w:t>
      </w:r>
    </w:p>
    <w:p>
      <w:pPr>
        <w:spacing w:after="0" w:line="197" w:lineRule="exact"/>
        <w:rPr>
          <w:rFonts w:ascii="Arial" w:cs="Arial" w:eastAsia="Arial" w:hAnsi="Arial"/>
          <w:sz w:val="19"/>
          <w:szCs w:val="19"/>
          <w:color w:val="auto"/>
        </w:rPr>
      </w:pPr>
    </w:p>
    <w:p>
      <w:pPr>
        <w:ind w:left="660" w:hanging="652"/>
        <w:spacing w:after="0" w:line="275" w:lineRule="auto"/>
        <w:tabs>
          <w:tab w:leader="none" w:pos="525"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of Option</w:t>
      </w:r>
      <w:r>
        <w:rPr>
          <w:rFonts w:ascii="Arial" w:cs="Arial" w:eastAsia="Arial" w:hAnsi="Arial"/>
          <w:sz w:val="18"/>
          <w:szCs w:val="18"/>
          <w:color w:val="auto"/>
        </w:rPr>
        <w:t>. During your lifetime, only you (or your guardian or legal representative in the event of legal incapacity) may</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this Option except in the case of a transfer described below. You may not assign or transfer this Option other than (i) a transfer upon your death in accordance with your will, by the laws of descent and distribution or pursuant to a beneficiary designation submitted in accordance with Section 6(d) of the Plan, (ii) pursuant to a qualified domestic relations order, or (iii) by gift to any “family member” (as defined in General Instruction A.1(a)(5) to Form S-8 under the Securities Act of 1933). Following any such transfer, this Option shall continue to be subject to the same terms and conditions that were applicable to this Option immediately prior to its transfer and may be exercised by such permitted transferee as and to the extent that this Option has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9" w:right="339" w:bottom="1440" w:gutter="0" w:footer="0" w:header="0"/>
        </w:sectPr>
      </w:pPr>
    </w:p>
    <w:bookmarkStart w:id="63" w:name="page64"/>
    <w:bookmarkEnd w:id="63"/>
    <w:p>
      <w:pPr>
        <w:ind w:left="660"/>
        <w:spacing w:after="0"/>
        <w:rPr>
          <w:sz w:val="20"/>
          <w:szCs w:val="20"/>
          <w:color w:val="auto"/>
        </w:rPr>
      </w:pPr>
      <w:r>
        <w:rPr>
          <w:rFonts w:ascii="Arial" w:cs="Arial" w:eastAsia="Arial" w:hAnsi="Arial"/>
          <w:sz w:val="20"/>
          <w:szCs w:val="20"/>
          <w:color w:val="auto"/>
        </w:rPr>
        <w:t>become exercisable and has not terminated in accordance with the provisions of the Plan and this Agreement.</w:t>
      </w:r>
    </w:p>
    <w:p>
      <w:pPr>
        <w:spacing w:after="0" w:line="237" w:lineRule="exact"/>
        <w:rPr>
          <w:sz w:val="20"/>
          <w:szCs w:val="20"/>
          <w:color w:val="auto"/>
        </w:rPr>
      </w:pPr>
    </w:p>
    <w:p>
      <w:pPr>
        <w:ind w:left="660" w:hanging="652"/>
        <w:spacing w:after="0" w:line="285" w:lineRule="auto"/>
        <w:tabs>
          <w:tab w:leader="none" w:pos="450"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No Shareholder Rights Before Delivery of Shares</w:t>
      </w:r>
      <w:r>
        <w:rPr>
          <w:rFonts w:ascii="Arial" w:cs="Arial" w:eastAsia="Arial" w:hAnsi="Arial"/>
          <w:sz w:val="18"/>
          <w:szCs w:val="18"/>
          <w:color w:val="auto"/>
        </w:rPr>
        <w:t>. Neither you nor any permitted transferee of this Option will have any of the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of a shareholder of the Company with respect to any Shares subject to this Option until such Shares have been delivered to you or your permitted transferee pursuant to Section 9 of this Agreement. No adjustments shall be made for dividends or other rights if the applicable record date occurs before such delivery has been effected, except as otherwise described in the Plan.</w:t>
      </w:r>
    </w:p>
    <w:p>
      <w:pPr>
        <w:spacing w:after="0" w:line="177" w:lineRule="exact"/>
        <w:rPr>
          <w:rFonts w:ascii="Arial" w:cs="Arial" w:eastAsia="Arial" w:hAnsi="Arial"/>
          <w:sz w:val="18"/>
          <w:szCs w:val="18"/>
          <w:color w:val="auto"/>
        </w:rPr>
      </w:pPr>
    </w:p>
    <w:p>
      <w:pPr>
        <w:ind w:left="660" w:hanging="652"/>
        <w:spacing w:after="0" w:line="253" w:lineRule="auto"/>
        <w:tabs>
          <w:tab w:leader="none" w:pos="471" w:val="left"/>
        </w:tabs>
        <w:numPr>
          <w:ilvl w:val="0"/>
          <w:numId w:val="38"/>
        </w:numPr>
        <w:rPr>
          <w:rFonts w:ascii="Arial" w:cs="Arial" w:eastAsia="Arial" w:hAnsi="Arial"/>
          <w:sz w:val="20"/>
          <w:szCs w:val="20"/>
          <w:color w:val="auto"/>
        </w:rPr>
      </w:pPr>
      <w:r>
        <w:rPr>
          <w:rFonts w:ascii="Arial" w:cs="Arial" w:eastAsia="Arial" w:hAnsi="Arial"/>
          <w:sz w:val="20"/>
          <w:szCs w:val="20"/>
          <w:b w:val="1"/>
          <w:bCs w:val="1"/>
          <w:u w:val="single" w:color="auto"/>
          <w:color w:val="auto"/>
        </w:rPr>
        <w:t>Discontinuance of Service</w:t>
      </w:r>
      <w:r>
        <w:rPr>
          <w:rFonts w:ascii="Arial" w:cs="Arial" w:eastAsia="Arial" w:hAnsi="Arial"/>
          <w:sz w:val="20"/>
          <w:szCs w:val="20"/>
          <w:color w:val="auto"/>
        </w:rPr>
        <w:t>. This Agreement does not give you a right to continued Service with the Company or any Affiliate,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or any such Affiliate may terminate your Service at any time and otherwise deal with you without regard to the effect it may have upon you under this Agreement.</w:t>
      </w:r>
    </w:p>
    <w:p>
      <w:pPr>
        <w:spacing w:after="0" w:line="204" w:lineRule="exact"/>
        <w:rPr>
          <w:rFonts w:ascii="Arial" w:cs="Arial" w:eastAsia="Arial" w:hAnsi="Arial"/>
          <w:sz w:val="20"/>
          <w:szCs w:val="20"/>
          <w:color w:val="auto"/>
        </w:rPr>
      </w:pPr>
    </w:p>
    <w:p>
      <w:pPr>
        <w:ind w:left="660" w:hanging="652"/>
        <w:spacing w:after="0" w:line="272" w:lineRule="auto"/>
        <w:tabs>
          <w:tab w:leader="none" w:pos="498" w:val="left"/>
        </w:tabs>
        <w:numPr>
          <w:ilvl w:val="0"/>
          <w:numId w:val="38"/>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Plan Document</w:t>
      </w:r>
      <w:r>
        <w:rPr>
          <w:rFonts w:ascii="Arial" w:cs="Arial" w:eastAsia="Arial" w:hAnsi="Arial"/>
          <w:sz w:val="19"/>
          <w:szCs w:val="19"/>
          <w:color w:val="auto"/>
        </w:rPr>
        <w:t>. This Agreement and Option are subject to all the provisions of the Plan, and to all interpretations, rules</w:t>
      </w:r>
      <w:r>
        <w:rPr>
          <w:rFonts w:ascii="Arial" w:cs="Arial" w:eastAsia="Arial" w:hAnsi="Arial"/>
          <w:sz w:val="19"/>
          <w:szCs w:val="19"/>
          <w:b w:val="1"/>
          <w:bCs w:val="1"/>
          <w:color w:val="auto"/>
        </w:rPr>
        <w:t xml:space="preserve"> </w:t>
      </w:r>
      <w:r>
        <w:rPr>
          <w:rFonts w:ascii="Arial" w:cs="Arial" w:eastAsia="Arial" w:hAnsi="Arial"/>
          <w:sz w:val="19"/>
          <w:szCs w:val="19"/>
          <w:color w:val="auto"/>
        </w:rPr>
        <w:t>and regulations which may, from time to time, be adopted and promulgated by the Committee pursuant to the Plan. If there is any conflict between the provisions of this Agreement and the Plan, the provisions of the Plan will govern.</w:t>
      </w:r>
    </w:p>
    <w:p>
      <w:pPr>
        <w:spacing w:after="0" w:line="188" w:lineRule="exact"/>
        <w:rPr>
          <w:rFonts w:ascii="Arial" w:cs="Arial" w:eastAsia="Arial" w:hAnsi="Arial"/>
          <w:sz w:val="19"/>
          <w:szCs w:val="19"/>
          <w:color w:val="auto"/>
        </w:rPr>
      </w:pPr>
    </w:p>
    <w:p>
      <w:pPr>
        <w:ind w:left="660" w:hanging="652"/>
        <w:spacing w:after="0" w:line="248" w:lineRule="auto"/>
        <w:tabs>
          <w:tab w:leader="none" w:pos="552" w:val="left"/>
        </w:tabs>
        <w:numPr>
          <w:ilvl w:val="0"/>
          <w:numId w:val="38"/>
        </w:numPr>
        <w:rPr>
          <w:rFonts w:ascii="Arial" w:cs="Arial" w:eastAsia="Arial" w:hAnsi="Arial"/>
          <w:sz w:val="20"/>
          <w:szCs w:val="20"/>
          <w:color w:val="auto"/>
        </w:rPr>
      </w:pPr>
      <w:r>
        <w:rPr>
          <w:rFonts w:ascii="Arial" w:cs="Arial" w:eastAsia="Arial" w:hAnsi="Arial"/>
          <w:sz w:val="20"/>
          <w:szCs w:val="20"/>
          <w:b w:val="1"/>
          <w:bCs w:val="1"/>
          <w:u w:val="single" w:color="auto"/>
          <w:color w:val="auto"/>
        </w:rPr>
        <w:t>No Advice Regarding Grant</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is not providing any tax, legal or financial advice, nor is the Company making any</w:t>
      </w:r>
      <w:r>
        <w:rPr>
          <w:rFonts w:ascii="Arial" w:cs="Arial" w:eastAsia="Arial" w:hAnsi="Arial"/>
          <w:sz w:val="20"/>
          <w:szCs w:val="20"/>
          <w:b w:val="1"/>
          <w:bCs w:val="1"/>
          <w:color w:val="auto"/>
        </w:rPr>
        <w:t xml:space="preserve"> </w:t>
      </w:r>
      <w:r>
        <w:rPr>
          <w:rFonts w:ascii="Arial" w:cs="Arial" w:eastAsia="Arial" w:hAnsi="Arial"/>
          <w:sz w:val="20"/>
          <w:szCs w:val="20"/>
          <w:color w:val="auto"/>
        </w:rPr>
        <w:t>recommendations regarding your participation in the Plan, or your acquisition or sale of the underlying Shares. You understand and agree that you should consult with your own personal tax, legal and financial advisors regarding your participation in the Plan before taking any action related to the Plan.</w:t>
      </w:r>
    </w:p>
    <w:p>
      <w:pPr>
        <w:spacing w:after="0" w:line="210" w:lineRule="exact"/>
        <w:rPr>
          <w:rFonts w:ascii="Arial" w:cs="Arial" w:eastAsia="Arial" w:hAnsi="Arial"/>
          <w:sz w:val="20"/>
          <w:szCs w:val="20"/>
          <w:color w:val="auto"/>
        </w:rPr>
      </w:pPr>
    </w:p>
    <w:p>
      <w:pPr>
        <w:ind w:left="660" w:hanging="652"/>
        <w:spacing w:after="0" w:line="265" w:lineRule="auto"/>
        <w:tabs>
          <w:tab w:leader="none" w:pos="457" w:val="left"/>
        </w:tabs>
        <w:numPr>
          <w:ilvl w:val="0"/>
          <w:numId w:val="38"/>
        </w:numPr>
        <w:rPr>
          <w:rFonts w:ascii="Arial" w:cs="Arial" w:eastAsia="Arial" w:hAnsi="Arial"/>
          <w:sz w:val="19"/>
          <w:szCs w:val="19"/>
          <w:color w:val="auto"/>
        </w:rPr>
      </w:pPr>
      <w:r>
        <w:rPr>
          <w:rFonts w:ascii="Arial" w:cs="Arial" w:eastAsia="Arial" w:hAnsi="Arial"/>
          <w:sz w:val="19"/>
          <w:szCs w:val="19"/>
          <w:b w:val="1"/>
          <w:bCs w:val="1"/>
          <w:u w:val="single" w:color="auto"/>
          <w:color w:val="auto"/>
        </w:rPr>
        <w:t>Choice of Law and Venue</w:t>
      </w:r>
      <w:r>
        <w:rPr>
          <w:rFonts w:ascii="Arial" w:cs="Arial" w:eastAsia="Arial" w:hAnsi="Arial"/>
          <w:sz w:val="19"/>
          <w:szCs w:val="19"/>
          <w:color w:val="auto"/>
        </w:rPr>
        <w:t>. This Option and Agreement will be interpreted and construed in accordance with and governed by the laws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State of Minnesota and you agree to the exclusive venue and jurisdiction of the State and Federal Courts located in Hennepin County, Minnesota and waive any objection based on lack of jurisdiction or inconvenient forum. Any action relating to or arising out of this Plan must be commenced within one year after the cause of action accrued.</w:t>
      </w:r>
    </w:p>
    <w:p>
      <w:pPr>
        <w:spacing w:after="0" w:line="196" w:lineRule="exact"/>
        <w:rPr>
          <w:rFonts w:ascii="Arial" w:cs="Arial" w:eastAsia="Arial" w:hAnsi="Arial"/>
          <w:sz w:val="19"/>
          <w:szCs w:val="19"/>
          <w:color w:val="auto"/>
        </w:rPr>
      </w:pPr>
    </w:p>
    <w:p>
      <w:pPr>
        <w:ind w:left="660" w:right="20" w:hanging="652"/>
        <w:spacing w:after="0" w:line="267" w:lineRule="auto"/>
        <w:tabs>
          <w:tab w:leader="none" w:pos="552" w:val="left"/>
        </w:tabs>
        <w:numPr>
          <w:ilvl w:val="0"/>
          <w:numId w:val="38"/>
        </w:numPr>
        <w:rPr>
          <w:rFonts w:ascii="Arial" w:cs="Arial" w:eastAsia="Arial" w:hAnsi="Arial"/>
          <w:sz w:val="20"/>
          <w:szCs w:val="20"/>
          <w:color w:val="auto"/>
        </w:rPr>
      </w:pPr>
      <w:r>
        <w:rPr>
          <w:rFonts w:ascii="Arial" w:cs="Arial" w:eastAsia="Arial" w:hAnsi="Arial"/>
          <w:sz w:val="20"/>
          <w:szCs w:val="20"/>
          <w:b w:val="1"/>
          <w:bCs w:val="1"/>
          <w:u w:val="single" w:color="auto"/>
          <w:color w:val="auto"/>
        </w:rPr>
        <w:t>Binding Effect</w:t>
      </w:r>
      <w:r>
        <w:rPr>
          <w:rFonts w:ascii="Arial" w:cs="Arial" w:eastAsia="Arial" w:hAnsi="Arial"/>
          <w:sz w:val="20"/>
          <w:szCs w:val="20"/>
          <w:color w:val="auto"/>
        </w:rPr>
        <w:t>. This Agreement will be binding in all respects on your heirs, representatives, successors and assigns, and on the</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and assigns of the Company.</w:t>
      </w:r>
    </w:p>
    <w:p>
      <w:pPr>
        <w:spacing w:after="0" w:line="190" w:lineRule="exact"/>
        <w:rPr>
          <w:rFonts w:ascii="Arial" w:cs="Arial" w:eastAsia="Arial" w:hAnsi="Arial"/>
          <w:sz w:val="20"/>
          <w:szCs w:val="20"/>
          <w:color w:val="auto"/>
        </w:rPr>
      </w:pPr>
    </w:p>
    <w:p>
      <w:pPr>
        <w:ind w:left="660" w:hanging="652"/>
        <w:spacing w:after="0" w:line="272" w:lineRule="auto"/>
        <w:tabs>
          <w:tab w:leader="none" w:pos="574"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Law</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 the Plan or this Agreement, unless there is an exemption from any</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qualification or other legal requirement applicable to the Shares, the Company shall not be required to deliver any Shares issuable upon exercise of the Option prior to the completion of any registration or qualification of the shares under any U.S. federal, state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You understand that the Company is under no obligation to register or qualify the Shares with the SEC or any state or foreign securities commission or to seek approval or clearance from any governmental authority for the issuance or sale of the Shares. Further, you agree that the Company shall have unilateral authority to amend the Agreement without your consent to the extent necessary to comply with securities or other laws applicable to the issuance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9" w:right="339" w:bottom="1440" w:gutter="0" w:footer="0" w:header="0"/>
        </w:sectPr>
      </w:pPr>
    </w:p>
    <w:bookmarkStart w:id="64" w:name="page65"/>
    <w:bookmarkEnd w:id="64"/>
    <w:p>
      <w:pPr>
        <w:ind w:left="733" w:right="60" w:hanging="652"/>
        <w:spacing w:after="0" w:line="253" w:lineRule="auto"/>
        <w:tabs>
          <w:tab w:leader="none" w:pos="530" w:val="left"/>
        </w:tabs>
        <w:numPr>
          <w:ilvl w:val="1"/>
          <w:numId w:val="39"/>
        </w:numPr>
        <w:rPr>
          <w:rFonts w:ascii="Arial" w:cs="Arial" w:eastAsia="Arial" w:hAnsi="Arial"/>
          <w:sz w:val="20"/>
          <w:szCs w:val="20"/>
          <w:color w:val="auto"/>
        </w:rPr>
      </w:pPr>
      <w:r>
        <w:rPr>
          <w:rFonts w:ascii="Arial" w:cs="Arial" w:eastAsia="Arial" w:hAnsi="Arial"/>
          <w:sz w:val="20"/>
          <w:szCs w:val="20"/>
          <w:b w:val="1"/>
          <w:bCs w:val="1"/>
          <w:u w:val="single" w:color="auto"/>
          <w:color w:val="auto"/>
        </w:rPr>
        <w:t>Insider Trading Policy</w:t>
      </w:r>
      <w:r>
        <w:rPr>
          <w:rFonts w:ascii="Arial" w:cs="Arial" w:eastAsia="Arial" w:hAnsi="Arial"/>
          <w:sz w:val="20"/>
          <w:szCs w:val="20"/>
          <w:color w:val="auto"/>
        </w:rPr>
        <w:t>. You acknowledge that you are subject to the Company's insider trading policy as set forth in the "Statement of</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Policy as to Trades in the Company’s Securities. By Company Personnel and Confidential Information" and that you are responsible for ensuring compliance with the restrictions and requirements therein.</w:t>
      </w:r>
    </w:p>
    <w:p>
      <w:pPr>
        <w:spacing w:after="0" w:line="204" w:lineRule="exact"/>
        <w:rPr>
          <w:rFonts w:ascii="Arial" w:cs="Arial" w:eastAsia="Arial" w:hAnsi="Arial"/>
          <w:sz w:val="20"/>
          <w:szCs w:val="20"/>
          <w:color w:val="auto"/>
        </w:rPr>
      </w:pPr>
    </w:p>
    <w:p>
      <w:pPr>
        <w:ind w:left="733" w:hanging="652"/>
        <w:spacing w:after="0" w:line="248" w:lineRule="auto"/>
        <w:tabs>
          <w:tab w:leader="none" w:pos="607" w:val="left"/>
        </w:tabs>
        <w:numPr>
          <w:ilvl w:val="1"/>
          <w:numId w:val="39"/>
        </w:numPr>
        <w:rPr>
          <w:rFonts w:ascii="Arial" w:cs="Arial" w:eastAsia="Arial" w:hAnsi="Arial"/>
          <w:sz w:val="20"/>
          <w:szCs w:val="20"/>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your participation in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on the Option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210" w:lineRule="exact"/>
        <w:rPr>
          <w:rFonts w:ascii="Arial" w:cs="Arial" w:eastAsia="Arial" w:hAnsi="Arial"/>
          <w:sz w:val="20"/>
          <w:szCs w:val="20"/>
          <w:color w:val="auto"/>
        </w:rPr>
      </w:pPr>
    </w:p>
    <w:p>
      <w:pPr>
        <w:ind w:left="733" w:hanging="733"/>
        <w:spacing w:after="0" w:line="248" w:lineRule="auto"/>
        <w:tabs>
          <w:tab w:leader="none" w:pos="512" w:val="left"/>
        </w:tabs>
        <w:numPr>
          <w:ilvl w:val="0"/>
          <w:numId w:val="40"/>
        </w:numPr>
        <w:rPr>
          <w:rFonts w:ascii="Arial" w:cs="Arial" w:eastAsia="Arial" w:hAnsi="Arial"/>
          <w:sz w:val="20"/>
          <w:szCs w:val="20"/>
          <w:color w:val="auto"/>
        </w:rPr>
      </w:pPr>
      <w:r>
        <w:rPr>
          <w:rFonts w:ascii="Arial" w:cs="Arial" w:eastAsia="Arial" w:hAnsi="Arial"/>
          <w:sz w:val="20"/>
          <w:szCs w:val="20"/>
          <w:b w:val="1"/>
          <w:bCs w:val="1"/>
          <w:u w:val="single" w:color="auto"/>
          <w:color w:val="auto"/>
        </w:rPr>
        <w:t>Electronic Delivery and Participation</w:t>
      </w:r>
      <w:r>
        <w:rPr>
          <w:rFonts w:ascii="Arial" w:cs="Arial" w:eastAsia="Arial" w:hAnsi="Arial"/>
          <w:sz w:val="20"/>
          <w:szCs w:val="20"/>
          <w:color w:val="auto"/>
        </w:rPr>
        <w:t>. The Company may, in its sole discretion, decide to deliver any documents related to current or</w:t>
      </w:r>
      <w:r>
        <w:rPr>
          <w:rFonts w:ascii="Arial" w:cs="Arial" w:eastAsia="Arial" w:hAnsi="Arial"/>
          <w:sz w:val="20"/>
          <w:szCs w:val="20"/>
          <w:b w:val="1"/>
          <w:bCs w:val="1"/>
          <w:color w:val="auto"/>
        </w:rPr>
        <w:t xml:space="preserve"> </w:t>
      </w:r>
      <w:r>
        <w:rPr>
          <w:rFonts w:ascii="Arial" w:cs="Arial" w:eastAsia="Arial" w:hAnsi="Arial"/>
          <w:sz w:val="20"/>
          <w:szCs w:val="20"/>
          <w:color w:val="auto"/>
        </w:rPr>
        <w:t>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210" w:lineRule="exact"/>
        <w:rPr>
          <w:rFonts w:ascii="Arial" w:cs="Arial" w:eastAsia="Arial" w:hAnsi="Arial"/>
          <w:sz w:val="20"/>
          <w:szCs w:val="20"/>
          <w:color w:val="auto"/>
        </w:rPr>
      </w:pPr>
    </w:p>
    <w:p>
      <w:pPr>
        <w:ind w:left="733" w:hanging="733"/>
        <w:spacing w:after="0" w:line="293" w:lineRule="auto"/>
        <w:tabs>
          <w:tab w:leader="none" w:pos="499" w:val="left"/>
        </w:tabs>
        <w:numPr>
          <w:ilvl w:val="0"/>
          <w:numId w:val="40"/>
        </w:numPr>
        <w:rPr>
          <w:rFonts w:ascii="Arial" w:cs="Arial" w:eastAsia="Arial" w:hAnsi="Arial"/>
          <w:sz w:val="19"/>
          <w:szCs w:val="19"/>
          <w:color w:val="auto"/>
        </w:rPr>
      </w:pPr>
      <w:r>
        <w:rPr>
          <w:rFonts w:ascii="Arial" w:cs="Arial" w:eastAsia="Arial" w:hAnsi="Arial"/>
          <w:sz w:val="19"/>
          <w:szCs w:val="19"/>
          <w:b w:val="1"/>
          <w:bCs w:val="1"/>
          <w:u w:val="single" w:color="auto"/>
          <w:color w:val="auto"/>
        </w:rPr>
        <w:t>Waiver</w:t>
      </w:r>
      <w:r>
        <w:rPr>
          <w:rFonts w:ascii="Arial" w:cs="Arial" w:eastAsia="Arial" w:hAnsi="Arial"/>
          <w:sz w:val="19"/>
          <w:szCs w:val="19"/>
          <w:color w:val="auto"/>
        </w:rPr>
        <w:t>. You acknowledge that a waiver by the Company of breach of any provision of this Agreement shall not operate or be construed</w:t>
      </w:r>
      <w:r>
        <w:rPr>
          <w:rFonts w:ascii="Arial" w:cs="Arial" w:eastAsia="Arial" w:hAnsi="Arial"/>
          <w:sz w:val="19"/>
          <w:szCs w:val="19"/>
          <w:b w:val="1"/>
          <w:bCs w:val="1"/>
          <w:color w:val="auto"/>
        </w:rPr>
        <w:t xml:space="preserve"> </w:t>
      </w:r>
      <w:r>
        <w:rPr>
          <w:rFonts w:ascii="Arial" w:cs="Arial" w:eastAsia="Arial" w:hAnsi="Arial"/>
          <w:sz w:val="19"/>
          <w:szCs w:val="19"/>
          <w:color w:val="auto"/>
        </w:rPr>
        <w:t>as a waiver of any other provision of this Agreement, or of any subsequent breach by you or any other Participant.</w:t>
      </w:r>
    </w:p>
    <w:p>
      <w:pPr>
        <w:spacing w:after="0" w:line="168" w:lineRule="exact"/>
        <w:rPr>
          <w:rFonts w:ascii="Arial" w:cs="Arial" w:eastAsia="Arial" w:hAnsi="Arial"/>
          <w:sz w:val="19"/>
          <w:szCs w:val="19"/>
          <w:color w:val="auto"/>
        </w:rPr>
      </w:pPr>
    </w:p>
    <w:p>
      <w:pPr>
        <w:ind w:left="733" w:hanging="733"/>
        <w:spacing w:after="0" w:line="293" w:lineRule="auto"/>
        <w:tabs>
          <w:tab w:leader="none" w:pos="661" w:val="left"/>
        </w:tabs>
        <w:numPr>
          <w:ilvl w:val="0"/>
          <w:numId w:val="40"/>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The provisions of this Agreement are severable and if any one or more provisions are determined to be illegal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unenforceable, in whole or in part, the remaining provisions shall nevertheless be binding and enforceable.</w:t>
      </w:r>
    </w:p>
    <w:p>
      <w:pPr>
        <w:spacing w:after="0" w:line="175" w:lineRule="exact"/>
        <w:rPr>
          <w:sz w:val="20"/>
          <w:szCs w:val="20"/>
          <w:color w:val="auto"/>
        </w:rPr>
      </w:pPr>
    </w:p>
    <w:p>
      <w:pPr>
        <w:ind w:left="73"/>
        <w:spacing w:after="0" w:line="260" w:lineRule="auto"/>
        <w:rPr>
          <w:sz w:val="20"/>
          <w:szCs w:val="20"/>
          <w:color w:val="auto"/>
        </w:rPr>
      </w:pPr>
      <w:r>
        <w:rPr>
          <w:rFonts w:ascii="Arial" w:cs="Arial" w:eastAsia="Arial" w:hAnsi="Arial"/>
          <w:sz w:val="20"/>
          <w:szCs w:val="20"/>
          <w:b w:val="1"/>
          <w:bCs w:val="1"/>
          <w:i w:val="1"/>
          <w:iCs w:val="1"/>
          <w:color w:val="auto"/>
        </w:rPr>
        <w:t>By accepting this Option in the manner prescribed by the Company, you agree to all the terms and conditions described in this Agreement and in the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3"/>
        <w:spacing w:after="0"/>
        <w:rPr>
          <w:sz w:val="20"/>
          <w:szCs w:val="20"/>
          <w:color w:val="auto"/>
        </w:rPr>
      </w:pPr>
      <w:r>
        <w:rPr>
          <w:rFonts w:ascii="Arial" w:cs="Arial" w:eastAsia="Arial" w:hAnsi="Arial"/>
          <w:sz w:val="20"/>
          <w:szCs w:val="20"/>
          <w:color w:val="auto"/>
        </w:rPr>
        <w:t>Rev 02/18/2021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2"/>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13"/>
          </w:cols>
          <w:pgMar w:left="247" w:top="1413"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0"/>
          <w:szCs w:val="20"/>
          <w:b w:val="1"/>
          <w:bCs w:val="1"/>
          <w:color w:val="auto"/>
        </w:rPr>
        <w:t>EXHIBIT 10.4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Long-Term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Restricted Stock Unit Award Agreement (U.S.)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Terms and Conditions</w:t>
      </w:r>
      <w:r>
        <w:rPr>
          <w:rFonts w:ascii="Arial" w:cs="Arial" w:eastAsia="Arial" w:hAnsi="Arial"/>
          <w:sz w:val="25"/>
          <w:szCs w:val="25"/>
          <w:color w:val="auto"/>
          <w:vertAlign w:val="superscript"/>
        </w:rPr>
        <w:t>1</w:t>
      </w:r>
    </w:p>
    <w:p>
      <w:pPr>
        <w:spacing w:after="0" w:line="199" w:lineRule="exact"/>
        <w:rPr>
          <w:sz w:val="20"/>
          <w:szCs w:val="20"/>
          <w:color w:val="auto"/>
        </w:rPr>
      </w:pPr>
    </w:p>
    <w:p>
      <w:pPr>
        <w:ind w:left="660" w:hanging="652"/>
        <w:spacing w:after="0" w:line="280" w:lineRule="auto"/>
        <w:tabs>
          <w:tab w:leader="none" w:pos="385"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Restricted Stock Units</w:t>
      </w:r>
      <w:r>
        <w:rPr>
          <w:rFonts w:ascii="Arial" w:cs="Arial" w:eastAsia="Arial" w:hAnsi="Arial"/>
          <w:sz w:val="18"/>
          <w:szCs w:val="18"/>
          <w:color w:val="auto"/>
        </w:rPr>
        <w:t>. The Company hereby grants to you, subject to the terms and conditions in this Executive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 Award Agreement (the “Agreement”) and subject to the terms and conditions of the Plan, an Award of the number of Stock Units (the “Units”) specified on the cover page of this Agreement. Each Unit represents the right to receive one Share and will be credited to an account in your name maintained by the Company or its agent. This account shall be unfunded and maintained for book-keeping purposes only, with the Units simply representing an unfunded and unsecured obligation of the Company.</w:t>
      </w:r>
    </w:p>
    <w:p>
      <w:pPr>
        <w:spacing w:after="0" w:line="183" w:lineRule="exact"/>
        <w:rPr>
          <w:rFonts w:ascii="Arial" w:cs="Arial" w:eastAsia="Arial" w:hAnsi="Arial"/>
          <w:sz w:val="18"/>
          <w:szCs w:val="18"/>
          <w:color w:val="auto"/>
        </w:rPr>
      </w:pPr>
    </w:p>
    <w:p>
      <w:pPr>
        <w:ind w:left="660" w:hanging="652"/>
        <w:spacing w:after="0" w:line="277" w:lineRule="auto"/>
        <w:tabs>
          <w:tab w:leader="none" w:pos="493"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on Units</w:t>
      </w:r>
      <w:r>
        <w:rPr>
          <w:rFonts w:ascii="Arial" w:cs="Arial" w:eastAsia="Arial" w:hAnsi="Arial"/>
          <w:sz w:val="18"/>
          <w:szCs w:val="18"/>
          <w:color w:val="auto"/>
        </w:rPr>
        <w:t>. Neither this Award nor the Units subject to this Award may be sold, assigned, transferred, exchanged or</w:t>
      </w:r>
      <w:r>
        <w:rPr>
          <w:rFonts w:ascii="Arial" w:cs="Arial" w:eastAsia="Arial" w:hAnsi="Arial"/>
          <w:sz w:val="18"/>
          <w:szCs w:val="18"/>
          <w:b w:val="1"/>
          <w:bCs w:val="1"/>
          <w:color w:val="auto"/>
        </w:rPr>
        <w:t xml:space="preserve"> </w:t>
      </w:r>
      <w:r>
        <w:rPr>
          <w:rFonts w:ascii="Arial" w:cs="Arial" w:eastAsia="Arial" w:hAnsi="Arial"/>
          <w:sz w:val="18"/>
          <w:szCs w:val="18"/>
          <w:color w:val="auto"/>
        </w:rPr>
        <w:t>encumbered other than by a transfer upon your death in accordance with your will, by the applicable laws of descent and distribution or pursuant to a beneficiary designation submitted in accordance with Section 6(d) of the Plan (to the extent such designation is valid under applicable law). Any attempted transfer in violation of this Section 2 shall be of no effect and may result in the forfeiture of all Units. The Units and your right to receive Shares in settlement of the Units under this Agreement shall be subject to forfeiture as provided in Section 4 of this Agreement until satisfaction of the vesting conditions set forth in Section 3 of this Agreement.</w:t>
      </w:r>
    </w:p>
    <w:p>
      <w:pPr>
        <w:spacing w:after="0" w:line="186" w:lineRule="exact"/>
        <w:rPr>
          <w:rFonts w:ascii="Arial" w:cs="Arial" w:eastAsia="Arial" w:hAnsi="Arial"/>
          <w:sz w:val="18"/>
          <w:szCs w:val="18"/>
          <w:color w:val="auto"/>
        </w:rPr>
      </w:pPr>
    </w:p>
    <w:p>
      <w:pPr>
        <w:ind w:left="360" w:hanging="352"/>
        <w:spacing w:after="0"/>
        <w:tabs>
          <w:tab w:leader="none" w:pos="360" w:val="left"/>
        </w:tabs>
        <w:numPr>
          <w:ilvl w:val="0"/>
          <w:numId w:val="41"/>
        </w:numPr>
        <w:rPr>
          <w:rFonts w:ascii="Arial" w:cs="Arial" w:eastAsia="Arial" w:hAnsi="Arial"/>
          <w:sz w:val="20"/>
          <w:szCs w:val="20"/>
          <w:color w:val="auto"/>
        </w:rPr>
      </w:pPr>
      <w:r>
        <w:rPr>
          <w:rFonts w:ascii="Arial" w:cs="Arial" w:eastAsia="Arial" w:hAnsi="Arial"/>
          <w:sz w:val="20"/>
          <w:szCs w:val="20"/>
          <w:b w:val="1"/>
          <w:bCs w:val="1"/>
          <w:u w:val="single" w:color="auto"/>
          <w:color w:val="auto"/>
        </w:rPr>
        <w:t>Vesting of Units</w:t>
      </w:r>
      <w:r>
        <w:rPr>
          <w:rFonts w:ascii="Arial" w:cs="Arial" w:eastAsia="Arial" w:hAnsi="Arial"/>
          <w:sz w:val="20"/>
          <w:szCs w:val="20"/>
          <w:color w:val="auto"/>
        </w:rPr>
        <w:t>.</w:t>
      </w:r>
    </w:p>
    <w:p>
      <w:pPr>
        <w:spacing w:after="0" w:line="248" w:lineRule="exact"/>
        <w:rPr>
          <w:rFonts w:ascii="Arial" w:cs="Arial" w:eastAsia="Arial" w:hAnsi="Arial"/>
          <w:sz w:val="20"/>
          <w:szCs w:val="20"/>
          <w:color w:val="auto"/>
        </w:rPr>
      </w:pPr>
    </w:p>
    <w:p>
      <w:pPr>
        <w:jc w:val="both"/>
        <w:ind w:left="660" w:hanging="4"/>
        <w:spacing w:after="0" w:line="250" w:lineRule="auto"/>
        <w:tabs>
          <w:tab w:leader="none" w:pos="1104" w:val="left"/>
        </w:tabs>
        <w:numPr>
          <w:ilvl w:val="1"/>
          <w:numId w:val="41"/>
        </w:numPr>
        <w:rPr>
          <w:rFonts w:ascii="Arial" w:cs="Arial" w:eastAsia="Arial" w:hAnsi="Arial"/>
          <w:sz w:val="20"/>
          <w:szCs w:val="20"/>
          <w:color w:val="auto"/>
        </w:rPr>
      </w:pPr>
      <w:r>
        <w:rPr>
          <w:rFonts w:ascii="Arial" w:cs="Arial" w:eastAsia="Arial" w:hAnsi="Arial"/>
          <w:sz w:val="20"/>
          <w:szCs w:val="20"/>
          <w:u w:val="single" w:color="auto"/>
          <w:color w:val="auto"/>
        </w:rPr>
        <w:t>Scheduled Vesting</w:t>
      </w:r>
      <w:r>
        <w:rPr>
          <w:rFonts w:ascii="Arial" w:cs="Arial" w:eastAsia="Arial" w:hAnsi="Arial"/>
          <w:sz w:val="20"/>
          <w:szCs w:val="20"/>
          <w:color w:val="auto"/>
        </w:rPr>
        <w:t>. If you remain a Service Provider to the Company or any of its Affiliates continuously from the Grant Date specified on the cover page of this Agreement, then the Units will vest in the numbers and on the dates specified in the vesting schedule on the cover page of this Agreement.</w:t>
      </w:r>
    </w:p>
    <w:p>
      <w:pPr>
        <w:spacing w:after="0" w:line="212" w:lineRule="exact"/>
        <w:rPr>
          <w:rFonts w:ascii="Arial" w:cs="Arial" w:eastAsia="Arial" w:hAnsi="Arial"/>
          <w:sz w:val="20"/>
          <w:szCs w:val="20"/>
          <w:color w:val="auto"/>
        </w:rPr>
      </w:pPr>
    </w:p>
    <w:p>
      <w:pPr>
        <w:ind w:left="660" w:right="40" w:hanging="4"/>
        <w:spacing w:after="0" w:line="271" w:lineRule="auto"/>
        <w:tabs>
          <w:tab w:leader="none" w:pos="1088"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Continued Vesting</w:t>
      </w:r>
      <w:r>
        <w:rPr>
          <w:rFonts w:ascii="Arial" w:cs="Arial" w:eastAsia="Arial" w:hAnsi="Arial"/>
          <w:sz w:val="18"/>
          <w:szCs w:val="18"/>
          <w:color w:val="auto"/>
        </w:rPr>
        <w:t>. Notwithstanding Section 3(a), vesting of the Units will continue in accordance with the vesting schedule specified on the cover page of this Agreement if your Service to the Company or any Affiliate terminates because of your Retirement and the following conditions are satisfied: (i) you commenced discussions with the Company’s Chief Executive Officer or most senior human resources executive regarding your retirement from Service at least 12 full months prior to the date your Service terminates (the “Retirement Date”) and (ii) during the period beginning on your Retirement Date and ending on the final day of the vesting schedule specified on the cover page, you: (a) continue to be available to provide Service as requested and (b) do not become employed by or otherwise provide paid services to any other entity or organization; provided, however, that you may be permitted to serve as an independent director on the board of directors for one or more entities that are not competitive with the Company’s business so long as any such service as an independent director is reviewed and approved in advance by the Committee. For the avoidance of doubt, if you fail to comply with the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714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2" w:lineRule="exact"/>
        <w:rPr>
          <w:sz w:val="20"/>
          <w:szCs w:val="20"/>
          <w:color w:val="auto"/>
        </w:rPr>
      </w:pPr>
    </w:p>
    <w:p>
      <w:pPr>
        <w:ind w:left="660" w:hanging="652"/>
        <w:spacing w:after="0" w:line="218" w:lineRule="auto"/>
        <w:tabs>
          <w:tab w:leader="none" w:pos="250" w:val="left"/>
        </w:tabs>
        <w:numPr>
          <w:ilvl w:val="0"/>
          <w:numId w:val="42"/>
        </w:numPr>
        <w:rPr>
          <w:rFonts w:ascii="Arial" w:cs="Arial" w:eastAsia="Arial" w:hAnsi="Arial"/>
          <w:sz w:val="23"/>
          <w:szCs w:val="23"/>
          <w:color w:val="auto"/>
          <w:vertAlign w:val="superscript"/>
        </w:rPr>
      </w:pPr>
      <w:r>
        <w:rPr>
          <w:rFonts w:ascii="Arial" w:cs="Arial" w:eastAsia="Arial" w:hAnsi="Arial"/>
          <w:sz w:val="16"/>
          <w:szCs w:val="16"/>
          <w:color w:val="auto"/>
        </w:rPr>
        <w:t>To the extent any capitalized term used in this Agreement is not defined, it has the meaning assigned to it in the Plan as the Plan currently exists or as it is amended in the future.</w:t>
      </w:r>
    </w:p>
    <w:p>
      <w:pPr>
        <w:sectPr>
          <w:pgSz w:w="11900" w:h="16838" w:orient="portrait"/>
          <w:cols w:equalWidth="0" w:num="1">
            <w:col w:w="11240"/>
          </w:cols>
          <w:pgMar w:left="320" w:top="1426" w:right="339" w:bottom="1440" w:gutter="0" w:footer="0" w:header="0"/>
        </w:sectPr>
      </w:pPr>
    </w:p>
    <w:bookmarkStart w:id="66" w:name="page67"/>
    <w:bookmarkEnd w:id="66"/>
    <w:p>
      <w:pPr>
        <w:ind w:left="652"/>
        <w:spacing w:after="0"/>
        <w:rPr>
          <w:sz w:val="20"/>
          <w:szCs w:val="20"/>
          <w:color w:val="auto"/>
        </w:rPr>
      </w:pPr>
      <w:r>
        <w:rPr>
          <w:rFonts w:ascii="Arial" w:cs="Arial" w:eastAsia="Arial" w:hAnsi="Arial"/>
          <w:sz w:val="20"/>
          <w:szCs w:val="20"/>
          <w:color w:val="auto"/>
        </w:rPr>
        <w:t>in this Section 3(b), you will forfeit all unvested Units.</w:t>
      </w:r>
    </w:p>
    <w:p>
      <w:pPr>
        <w:spacing w:after="0" w:line="229" w:lineRule="exact"/>
        <w:rPr>
          <w:sz w:val="20"/>
          <w:szCs w:val="20"/>
          <w:color w:val="auto"/>
        </w:rPr>
      </w:pPr>
    </w:p>
    <w:p>
      <w:pPr>
        <w:ind w:left="652"/>
        <w:spacing w:after="0" w:line="244" w:lineRule="auto"/>
        <w:rPr>
          <w:sz w:val="20"/>
          <w:szCs w:val="20"/>
          <w:color w:val="auto"/>
        </w:rPr>
      </w:pPr>
      <w:r>
        <w:rPr>
          <w:rFonts w:ascii="Arial" w:cs="Arial" w:eastAsia="Arial" w:hAnsi="Arial"/>
          <w:sz w:val="20"/>
          <w:szCs w:val="20"/>
          <w:color w:val="auto"/>
        </w:rPr>
        <w:t>For purposes of this Award, “Retirement” means the termination of your employment (i) when you are age 55 or older and have at least five years of continuous Service as an employee (which must be immediately preceding the date of termination) and (ii) the sum of your age as of the date of your termination plus your years of Service as an employee equals at least 75. Any Units that vest pursuant to this Section 3(b) shall be paid to you not later than 74 days after the applicable vesting date of the Units as specified on the cover page of this Agreement.</w:t>
      </w:r>
    </w:p>
    <w:p>
      <w:pPr>
        <w:spacing w:after="0" w:line="221" w:lineRule="exact"/>
        <w:rPr>
          <w:sz w:val="20"/>
          <w:szCs w:val="20"/>
          <w:color w:val="auto"/>
        </w:rPr>
      </w:pPr>
    </w:p>
    <w:p>
      <w:pPr>
        <w:jc w:val="both"/>
        <w:ind w:left="652" w:hanging="4"/>
        <w:spacing w:after="0" w:line="272" w:lineRule="auto"/>
        <w:tabs>
          <w:tab w:leader="none" w:pos="1069"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Accelerated Vesting</w:t>
      </w:r>
      <w:r>
        <w:rPr>
          <w:rFonts w:ascii="Arial" w:cs="Arial" w:eastAsia="Arial" w:hAnsi="Arial"/>
          <w:sz w:val="18"/>
          <w:szCs w:val="18"/>
          <w:color w:val="auto"/>
        </w:rPr>
        <w:t>. Vesting of the Units will be accelerated if your Service to the Company or any Affiliate terminates because of your death or Disability, as provided in Section 6(e)(2) of the Plan. Vesting will also be accelerated under the circumstances described in Section 12(d) of the Plan and may be accelerated by action of the Committee in accordance with Sections 3(b)(2), 12(b)</w:t>
      </w:r>
    </w:p>
    <w:p>
      <w:pPr>
        <w:ind w:left="652"/>
        <w:spacing w:after="0" w:line="244" w:lineRule="auto"/>
        <w:rPr>
          <w:rFonts w:ascii="Arial" w:cs="Arial" w:eastAsia="Arial" w:hAnsi="Arial"/>
          <w:sz w:val="18"/>
          <w:szCs w:val="18"/>
          <w:color w:val="auto"/>
        </w:rPr>
      </w:pPr>
      <w:r>
        <w:rPr>
          <w:rFonts w:ascii="Arial" w:cs="Arial" w:eastAsia="Arial" w:hAnsi="Arial"/>
          <w:sz w:val="20"/>
          <w:szCs w:val="20"/>
          <w:color w:val="auto"/>
        </w:rPr>
        <w:t>(3) and 12(c) of the Plan. Vesting may also be accelerated upon the occurrence of events and in accordance with the terms and conditions specified in any other written agreement you have with the Company.</w:t>
      </w:r>
    </w:p>
    <w:p>
      <w:pPr>
        <w:spacing w:after="0" w:line="212" w:lineRule="exact"/>
        <w:rPr>
          <w:rFonts w:ascii="Arial" w:cs="Arial" w:eastAsia="Arial" w:hAnsi="Arial"/>
          <w:sz w:val="18"/>
          <w:szCs w:val="18"/>
          <w:color w:val="auto"/>
        </w:rPr>
      </w:pPr>
    </w:p>
    <w:p>
      <w:pPr>
        <w:ind w:left="652" w:hanging="652"/>
        <w:spacing w:after="0" w:line="253" w:lineRule="auto"/>
        <w:tabs>
          <w:tab w:leader="none" w:pos="404" w:val="left"/>
        </w:tabs>
        <w:numPr>
          <w:ilvl w:val="0"/>
          <w:numId w:val="44"/>
        </w:numPr>
        <w:rPr>
          <w:rFonts w:ascii="Arial" w:cs="Arial" w:eastAsia="Arial" w:hAnsi="Arial"/>
          <w:sz w:val="20"/>
          <w:szCs w:val="20"/>
          <w:color w:val="auto"/>
        </w:rPr>
      </w:pPr>
      <w:r>
        <w:rPr>
          <w:rFonts w:ascii="Arial" w:cs="Arial" w:eastAsia="Arial" w:hAnsi="Arial"/>
          <w:sz w:val="20"/>
          <w:szCs w:val="20"/>
          <w:b w:val="1"/>
          <w:bCs w:val="1"/>
          <w:u w:val="single" w:color="auto"/>
          <w:color w:val="auto"/>
        </w:rPr>
        <w:t>Service Requirement</w:t>
      </w:r>
      <w:r>
        <w:rPr>
          <w:rFonts w:ascii="Arial" w:cs="Arial" w:eastAsia="Arial" w:hAnsi="Arial"/>
          <w:sz w:val="20"/>
          <w:szCs w:val="20"/>
          <w:color w:val="auto"/>
        </w:rPr>
        <w:t>. Except as otherwise provided in accordance with Sections 3(b) or 3(c) of this Agreement, if you cease to be a</w:t>
      </w:r>
      <w:r>
        <w:rPr>
          <w:rFonts w:ascii="Arial" w:cs="Arial" w:eastAsia="Arial" w:hAnsi="Arial"/>
          <w:sz w:val="20"/>
          <w:szCs w:val="20"/>
          <w:b w:val="1"/>
          <w:bCs w:val="1"/>
          <w:color w:val="auto"/>
        </w:rPr>
        <w:t xml:space="preserve"> </w:t>
      </w:r>
      <w:r>
        <w:rPr>
          <w:rFonts w:ascii="Arial" w:cs="Arial" w:eastAsia="Arial" w:hAnsi="Arial"/>
          <w:sz w:val="20"/>
          <w:szCs w:val="20"/>
          <w:color w:val="auto"/>
        </w:rPr>
        <w:t>Service Provider to the Company or any of its Affiliates prior to the vesting date(s) specified on the cover page of this Agreement, you will forfeit all unvested Units.</w:t>
      </w:r>
    </w:p>
    <w:p>
      <w:pPr>
        <w:spacing w:after="0" w:line="204" w:lineRule="exact"/>
        <w:rPr>
          <w:rFonts w:ascii="Arial" w:cs="Arial" w:eastAsia="Arial" w:hAnsi="Arial"/>
          <w:sz w:val="20"/>
          <w:szCs w:val="20"/>
          <w:color w:val="auto"/>
        </w:rPr>
      </w:pPr>
    </w:p>
    <w:p>
      <w:pPr>
        <w:ind w:left="652" w:hanging="652"/>
        <w:spacing w:after="0" w:line="248" w:lineRule="auto"/>
        <w:tabs>
          <w:tab w:leader="none" w:pos="350" w:val="left"/>
        </w:tabs>
        <w:numPr>
          <w:ilvl w:val="0"/>
          <w:numId w:val="44"/>
        </w:numPr>
        <w:rPr>
          <w:rFonts w:ascii="Arial" w:cs="Arial" w:eastAsia="Arial" w:hAnsi="Arial"/>
          <w:sz w:val="20"/>
          <w:szCs w:val="20"/>
          <w:color w:val="auto"/>
        </w:rPr>
      </w:pPr>
      <w:r>
        <w:rPr>
          <w:rFonts w:ascii="Arial" w:cs="Arial" w:eastAsia="Arial" w:hAnsi="Arial"/>
          <w:sz w:val="20"/>
          <w:szCs w:val="20"/>
          <w:b w:val="1"/>
          <w:bCs w:val="1"/>
          <w:u w:val="single" w:color="auto"/>
          <w:color w:val="auto"/>
        </w:rPr>
        <w:t>Leave of Absence</w:t>
      </w:r>
      <w:r>
        <w:rPr>
          <w:rFonts w:ascii="Arial" w:cs="Arial" w:eastAsia="Arial" w:hAnsi="Arial"/>
          <w:sz w:val="20"/>
          <w:szCs w:val="20"/>
          <w:color w:val="auto"/>
        </w:rPr>
        <w:t>. Your Service will be deemed continuing while you are on a leave of absence approved by the Company in writing or</w:t>
      </w:r>
      <w:r>
        <w:rPr>
          <w:rFonts w:ascii="Arial" w:cs="Arial" w:eastAsia="Arial" w:hAnsi="Arial"/>
          <w:sz w:val="20"/>
          <w:szCs w:val="20"/>
          <w:b w:val="1"/>
          <w:bCs w:val="1"/>
          <w:color w:val="auto"/>
        </w:rPr>
        <w:t xml:space="preserve"> </w:t>
      </w:r>
      <w:r>
        <w:rPr>
          <w:rFonts w:ascii="Arial" w:cs="Arial" w:eastAsia="Arial" w:hAnsi="Arial"/>
          <w:sz w:val="20"/>
          <w:szCs w:val="20"/>
          <w:color w:val="auto"/>
        </w:rPr>
        <w:t>guaranteed by applicable law or other written agreement you have entered into with the Company (an “Approved Leave”). If you do not resume providing Service to the Company or any Affiliate following your Approved Leave, your Service will be deemed to have terminated upon the expiration of the Approved Leave.</w:t>
      </w:r>
    </w:p>
    <w:p>
      <w:pPr>
        <w:spacing w:after="0" w:line="210" w:lineRule="exact"/>
        <w:rPr>
          <w:rFonts w:ascii="Arial" w:cs="Arial" w:eastAsia="Arial" w:hAnsi="Arial"/>
          <w:sz w:val="20"/>
          <w:szCs w:val="20"/>
          <w:color w:val="auto"/>
        </w:rPr>
      </w:pPr>
    </w:p>
    <w:p>
      <w:pPr>
        <w:ind w:left="652" w:hanging="652"/>
        <w:spacing w:after="0" w:line="311" w:lineRule="auto"/>
        <w:tabs>
          <w:tab w:leader="none" w:pos="364" w:val="left"/>
        </w:tabs>
        <w:numPr>
          <w:ilvl w:val="0"/>
          <w:numId w:val="44"/>
        </w:numPr>
        <w:rPr>
          <w:rFonts w:ascii="Arial" w:cs="Arial" w:eastAsia="Arial" w:hAnsi="Arial"/>
          <w:sz w:val="16"/>
          <w:szCs w:val="16"/>
          <w:color w:val="auto"/>
        </w:rPr>
      </w:pPr>
      <w:r>
        <w:rPr>
          <w:rFonts w:ascii="Arial" w:cs="Arial" w:eastAsia="Arial" w:hAnsi="Arial"/>
          <w:sz w:val="16"/>
          <w:szCs w:val="16"/>
          <w:b w:val="1"/>
          <w:bCs w:val="1"/>
          <w:u w:val="single" w:color="auto"/>
          <w:color w:val="auto"/>
        </w:rPr>
        <w:t>Settlement of Units</w:t>
      </w:r>
      <w:r>
        <w:rPr>
          <w:rFonts w:ascii="Arial" w:cs="Arial" w:eastAsia="Arial" w:hAnsi="Arial"/>
          <w:sz w:val="16"/>
          <w:szCs w:val="16"/>
          <w:color w:val="auto"/>
        </w:rPr>
        <w:t>. After any Units vest pursuant to Sections 3(a) or 3(c) of this Agreement, the Company shall, as soon as practicable</w:t>
      </w:r>
      <w:r>
        <w:rPr>
          <w:rFonts w:ascii="Arial" w:cs="Arial" w:eastAsia="Arial" w:hAnsi="Arial"/>
          <w:sz w:val="16"/>
          <w:szCs w:val="16"/>
          <w:b w:val="1"/>
          <w:bCs w:val="1"/>
          <w:color w:val="auto"/>
        </w:rPr>
        <w:t xml:space="preserve"> </w:t>
      </w:r>
      <w:r>
        <w:rPr>
          <w:rFonts w:ascii="Arial" w:cs="Arial" w:eastAsia="Arial" w:hAnsi="Arial"/>
          <w:sz w:val="16"/>
          <w:szCs w:val="16"/>
          <w:color w:val="auto"/>
        </w:rPr>
        <w:t>(but in any event within the period specified in Treas. Reg. § 1.409A-1(b)(4) to qualify for a short-term deferral exception to Section 409A of the Code), cause to be issued and delivered to you, or to your validly designated beneficiary or estate in the event of your death, one Share in payment and settlement of each vested Unit (the date of such issuance being the “Settlement Date”). After any Units vest pursuant to Section 3(b) of this Agreement, the Company shall, as soon as practicable (but in any event within the period specified in Treas. Reg. § 1.409A–3(d)), cause to be issued and delivered to you, one Share in payment and settlement of each vested Unit. Delivery of the Shares shall be effected by the electronic delivery of the Shares to a brokerage account maintained for you at E*TRADE or another broker designated by the Company, or by another method provided by the Company, and shall be subject to the tax withholding provisions of Section 7 of this Agreement and the compliance provisions of Section 15 of this Agreement.</w:t>
      </w:r>
    </w:p>
    <w:p>
      <w:pPr>
        <w:spacing w:after="0" w:line="162" w:lineRule="exact"/>
        <w:rPr>
          <w:rFonts w:ascii="Arial" w:cs="Arial" w:eastAsia="Arial" w:hAnsi="Arial"/>
          <w:sz w:val="16"/>
          <w:szCs w:val="16"/>
          <w:color w:val="auto"/>
        </w:rPr>
      </w:pPr>
    </w:p>
    <w:p>
      <w:pPr>
        <w:ind w:left="652" w:hanging="652"/>
        <w:spacing w:after="0" w:line="245" w:lineRule="auto"/>
        <w:tabs>
          <w:tab w:leader="none" w:pos="377" w:val="left"/>
        </w:tabs>
        <w:numPr>
          <w:ilvl w:val="0"/>
          <w:numId w:val="44"/>
        </w:numPr>
        <w:rPr>
          <w:rFonts w:ascii="Arial" w:cs="Arial" w:eastAsia="Arial" w:hAnsi="Arial"/>
          <w:sz w:val="20"/>
          <w:szCs w:val="20"/>
          <w:color w:val="auto"/>
        </w:rPr>
      </w:pPr>
      <w:r>
        <w:rPr>
          <w:rFonts w:ascii="Arial" w:cs="Arial" w:eastAsia="Arial" w:hAnsi="Arial"/>
          <w:sz w:val="20"/>
          <w:szCs w:val="20"/>
          <w:b w:val="1"/>
          <w:bCs w:val="1"/>
          <w:u w:val="single" w:color="auto"/>
          <w:color w:val="auto"/>
        </w:rPr>
        <w:t>Tax Consequences and Withholding</w:t>
      </w:r>
      <w:r>
        <w:rPr>
          <w:rFonts w:ascii="Arial" w:cs="Arial" w:eastAsia="Arial" w:hAnsi="Arial"/>
          <w:sz w:val="20"/>
          <w:szCs w:val="20"/>
          <w:color w:val="auto"/>
        </w:rPr>
        <w:t>. You acknowledge that, regardless of any action taken by the Company, the ultimate liability for</w:t>
      </w:r>
      <w:r>
        <w:rPr>
          <w:rFonts w:ascii="Arial" w:cs="Arial" w:eastAsia="Arial" w:hAnsi="Arial"/>
          <w:sz w:val="20"/>
          <w:szCs w:val="20"/>
          <w:b w:val="1"/>
          <w:bCs w:val="1"/>
          <w:color w:val="auto"/>
        </w:rPr>
        <w:t xml:space="preserve"> </w:t>
      </w:r>
      <w:r>
        <w:rPr>
          <w:rFonts w:ascii="Arial" w:cs="Arial" w:eastAsia="Arial" w:hAnsi="Arial"/>
          <w:sz w:val="20"/>
          <w:szCs w:val="20"/>
          <w:color w:val="auto"/>
        </w:rPr>
        <w:t>all income tax, social insurance or other tax-related items related to your participation in the Plan and legally applicable to you (the “Tax-Related Items”) is and remains your responsibility and may exceed the amount actually withheld by the Company. You further acknowledge that the Company (a) makes no representations or undertakings regarding the treatment of any Tax-Related Items in connection with any aspect of the Award or the Shares acquired pursuant to the Award, and (b) does not commit to and is under no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5074920</wp:posOffset>
            </wp:positionH>
            <wp:positionV relativeFrom="paragraph">
              <wp:posOffset>-3554095</wp:posOffset>
            </wp:positionV>
            <wp:extent cx="400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12"/>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32"/>
          </w:cols>
          <w:pgMar w:left="328" w:top="1419" w:right="339" w:bottom="1440" w:gutter="0" w:footer="0" w:header="0"/>
        </w:sectPr>
      </w:pPr>
    </w:p>
    <w:bookmarkStart w:id="67" w:name="page68"/>
    <w:bookmarkEnd w:id="67"/>
    <w:p>
      <w:pPr>
        <w:jc w:val="both"/>
        <w:ind w:left="652"/>
        <w:spacing w:after="0" w:line="246" w:lineRule="auto"/>
        <w:rPr>
          <w:sz w:val="20"/>
          <w:szCs w:val="20"/>
          <w:color w:val="auto"/>
        </w:rPr>
      </w:pPr>
      <w:r>
        <w:rPr>
          <w:rFonts w:ascii="Arial" w:cs="Arial" w:eastAsia="Arial" w:hAnsi="Arial"/>
          <w:sz w:val="20"/>
          <w:szCs w:val="20"/>
          <w:color w:val="auto"/>
        </w:rPr>
        <w:t>to structure the terms of the grant or any aspect of the Award to reduce or eliminate your liability for Tax-Related Items or achieve any particular tax result. Further, if you are subject to Tax-Related Items in more than one jurisdiction, you acknowledge that the Company (or your employer, if different) may be required to withhold or account for Tax-Related Items in more than one jurisdiction.</w:t>
      </w:r>
    </w:p>
    <w:p>
      <w:pPr>
        <w:spacing w:after="0" w:line="191" w:lineRule="exact"/>
        <w:rPr>
          <w:sz w:val="20"/>
          <w:szCs w:val="20"/>
          <w:color w:val="auto"/>
        </w:rPr>
      </w:pPr>
    </w:p>
    <w:p>
      <w:pPr>
        <w:jc w:val="both"/>
        <w:ind w:left="652"/>
        <w:spacing w:after="0" w:line="242" w:lineRule="auto"/>
        <w:rPr>
          <w:sz w:val="20"/>
          <w:szCs w:val="20"/>
          <w:color w:val="auto"/>
        </w:rPr>
      </w:pPr>
      <w:r>
        <w:rPr>
          <w:rFonts w:ascii="Arial" w:cs="Arial" w:eastAsia="Arial" w:hAnsi="Arial"/>
          <w:sz w:val="20"/>
          <w:szCs w:val="20"/>
          <w:color w:val="auto"/>
        </w:rPr>
        <w:t>Prior to the tax withholding event, you agree to make arrangements to satisfy all Tax-Related Items. In this regard, you authorize the Company to satisfy any applicable withholding obligation for the Tax-Related Items through an automatic Share withholding procedure (the “Share Withholding Method”). Under the Share Withholding Method, the Company or its agent will withhold, upon the tax withholding event, a portion of the Shares with a Fair Market Value (measured as of such date) sufficient to cover the Tax-Related Items; provided, however, that the number of any Shares so withheld shall not exceed the number necessary to satisfy the Company’s withholding obligation using the applicable minimum statutory withholding rate or such other rate as may be permitted under the Plan up to the maximum rate applicable in your jurisdiction. You will be deemed to have been issued the full number of Shares subject to the vested Units, notwithstanding that a number of the Shares are held back solely for the purpose of paying the Tax-Related Items.</w:t>
      </w:r>
    </w:p>
    <w:p>
      <w:pPr>
        <w:spacing w:after="0" w:line="194" w:lineRule="exact"/>
        <w:rPr>
          <w:sz w:val="20"/>
          <w:szCs w:val="20"/>
          <w:color w:val="auto"/>
        </w:rPr>
      </w:pPr>
    </w:p>
    <w:p>
      <w:pPr>
        <w:jc w:val="both"/>
        <w:ind w:left="652" w:hanging="442"/>
        <w:spacing w:after="0" w:line="250" w:lineRule="auto"/>
        <w:rPr>
          <w:sz w:val="20"/>
          <w:szCs w:val="20"/>
          <w:color w:val="auto"/>
        </w:rPr>
      </w:pPr>
      <w:r>
        <w:rPr>
          <w:rFonts w:ascii="Arial" w:cs="Arial" w:eastAsia="Arial" w:hAnsi="Arial"/>
          <w:sz w:val="20"/>
          <w:szCs w:val="20"/>
          <w:color w:val="auto"/>
        </w:rPr>
        <w:t>In the event the Committee determines that the Share Withholding Method would be problematic under applicable tax or securities laws or would result in materially adverse accounting consequences, you authorize the Company to collect the Tax-Related Items through, one of the following alternative methods:</w:t>
      </w:r>
    </w:p>
    <w:p>
      <w:pPr>
        <w:spacing w:after="0" w:line="213" w:lineRule="exact"/>
        <w:rPr>
          <w:sz w:val="20"/>
          <w:szCs w:val="20"/>
          <w:color w:val="auto"/>
        </w:rPr>
      </w:pPr>
    </w:p>
    <w:p>
      <w:pPr>
        <w:ind w:left="1132" w:hanging="823"/>
        <w:spacing w:after="0" w:line="246" w:lineRule="auto"/>
        <w:tabs>
          <w:tab w:leader="none" w:pos="836" w:val="left"/>
        </w:tabs>
        <w:numPr>
          <w:ilvl w:val="2"/>
          <w:numId w:val="45"/>
        </w:numPr>
        <w:rPr>
          <w:rFonts w:ascii="Arial" w:cs="Arial" w:eastAsia="Arial" w:hAnsi="Arial"/>
          <w:sz w:val="20"/>
          <w:szCs w:val="20"/>
          <w:color w:val="auto"/>
        </w:rPr>
      </w:pPr>
      <w:r>
        <w:rPr>
          <w:rFonts w:ascii="Arial" w:cs="Arial" w:eastAsia="Arial" w:hAnsi="Arial"/>
          <w:sz w:val="20"/>
          <w:szCs w:val="20"/>
          <w:color w:val="auto"/>
        </w:rPr>
        <w:t>the use of the proceeds from a next-day sale of the Shares issued to you, provided that (i) such sale is permissible under the Company’s trading policies governing its securities, (ii) you make an irrevocable commitment, on or before a Settlement Date, to effect such sale of the Shares, and (iii) the transaction is not otherwise deemed to constitute a prohibited loan under Section 402 of the Sarbanes-Oxley Act of 2002</w:t>
      </w:r>
    </w:p>
    <w:p>
      <w:pPr>
        <w:spacing w:after="0" w:line="218" w:lineRule="exact"/>
        <w:rPr>
          <w:rFonts w:ascii="Arial" w:cs="Arial" w:eastAsia="Arial" w:hAnsi="Arial"/>
          <w:sz w:val="20"/>
          <w:szCs w:val="20"/>
          <w:color w:val="auto"/>
        </w:rPr>
      </w:pPr>
    </w:p>
    <w:p>
      <w:pPr>
        <w:ind w:left="1132" w:right="20" w:hanging="894"/>
        <w:spacing w:after="0" w:line="260" w:lineRule="auto"/>
        <w:tabs>
          <w:tab w:leader="none" w:pos="704" w:val="left"/>
        </w:tabs>
        <w:numPr>
          <w:ilvl w:val="1"/>
          <w:numId w:val="46"/>
        </w:numPr>
        <w:rPr>
          <w:rFonts w:ascii="Arial" w:cs="Arial" w:eastAsia="Arial" w:hAnsi="Arial"/>
          <w:sz w:val="20"/>
          <w:szCs w:val="20"/>
          <w:color w:val="auto"/>
        </w:rPr>
      </w:pPr>
      <w:r>
        <w:rPr>
          <w:rFonts w:ascii="Arial" w:cs="Arial" w:eastAsia="Arial" w:hAnsi="Arial"/>
          <w:sz w:val="20"/>
          <w:szCs w:val="20"/>
          <w:color w:val="auto"/>
        </w:rPr>
        <w:t>delivery of your authorization to E*TRADE (or another broker designated by the Company) to transfer to the Company from your account at such broker the amount of such Tax-Related Items;</w:t>
      </w:r>
    </w:p>
    <w:p>
      <w:pPr>
        <w:spacing w:after="0" w:line="203" w:lineRule="exact"/>
        <w:rPr>
          <w:rFonts w:ascii="Arial" w:cs="Arial" w:eastAsia="Arial" w:hAnsi="Arial"/>
          <w:sz w:val="20"/>
          <w:szCs w:val="20"/>
          <w:color w:val="auto"/>
        </w:rPr>
      </w:pPr>
    </w:p>
    <w:p>
      <w:pPr>
        <w:ind w:left="612" w:hanging="414"/>
        <w:spacing w:after="0"/>
        <w:tabs>
          <w:tab w:leader="none" w:pos="612" w:val="left"/>
        </w:tabs>
        <w:numPr>
          <w:ilvl w:val="0"/>
          <w:numId w:val="47"/>
        </w:numPr>
        <w:rPr>
          <w:rFonts w:ascii="Arial" w:cs="Arial" w:eastAsia="Arial" w:hAnsi="Arial"/>
          <w:sz w:val="20"/>
          <w:szCs w:val="20"/>
          <w:color w:val="auto"/>
        </w:rPr>
      </w:pPr>
      <w:r>
        <w:rPr>
          <w:rFonts w:ascii="Arial" w:cs="Arial" w:eastAsia="Arial" w:hAnsi="Arial"/>
          <w:sz w:val="20"/>
          <w:szCs w:val="20"/>
          <w:color w:val="auto"/>
        </w:rPr>
        <w:t>withholding from your wages or other cash compensation paid to you by the Company; and/or</w:t>
      </w:r>
    </w:p>
    <w:p>
      <w:pPr>
        <w:spacing w:after="0" w:line="242" w:lineRule="exact"/>
        <w:rPr>
          <w:rFonts w:ascii="Arial" w:cs="Arial" w:eastAsia="Arial" w:hAnsi="Arial"/>
          <w:sz w:val="20"/>
          <w:szCs w:val="20"/>
          <w:color w:val="auto"/>
        </w:rPr>
      </w:pPr>
    </w:p>
    <w:p>
      <w:pPr>
        <w:ind w:left="632" w:hanging="434"/>
        <w:spacing w:after="0"/>
        <w:tabs>
          <w:tab w:leader="none" w:pos="632" w:val="left"/>
        </w:tabs>
        <w:numPr>
          <w:ilvl w:val="0"/>
          <w:numId w:val="47"/>
        </w:numPr>
        <w:rPr>
          <w:rFonts w:ascii="Arial" w:cs="Arial" w:eastAsia="Arial" w:hAnsi="Arial"/>
          <w:sz w:val="20"/>
          <w:szCs w:val="20"/>
          <w:color w:val="auto"/>
        </w:rPr>
      </w:pPr>
      <w:r>
        <w:rPr>
          <w:rFonts w:ascii="Arial" w:cs="Arial" w:eastAsia="Arial" w:hAnsi="Arial"/>
          <w:sz w:val="20"/>
          <w:szCs w:val="20"/>
          <w:color w:val="auto"/>
        </w:rPr>
        <w:t>any other method approved by the Company and permitted under applicable law.</w:t>
      </w:r>
    </w:p>
    <w:p>
      <w:pPr>
        <w:spacing w:after="0" w:line="243" w:lineRule="exact"/>
        <w:rPr>
          <w:sz w:val="20"/>
          <w:szCs w:val="20"/>
          <w:color w:val="auto"/>
        </w:rPr>
      </w:pPr>
    </w:p>
    <w:p>
      <w:pPr>
        <w:ind w:left="652" w:hanging="348"/>
        <w:spacing w:after="0" w:line="260" w:lineRule="auto"/>
        <w:rPr>
          <w:sz w:val="20"/>
          <w:szCs w:val="20"/>
          <w:color w:val="auto"/>
        </w:rPr>
      </w:pPr>
      <w:r>
        <w:rPr>
          <w:rFonts w:ascii="Arial" w:cs="Arial" w:eastAsia="Arial" w:hAnsi="Arial"/>
          <w:sz w:val="20"/>
          <w:szCs w:val="20"/>
          <w:color w:val="auto"/>
        </w:rPr>
        <w:t>In the event of any over-withholding, you will have no entitlement to the over-withheld amount in Shares and such amounts will be refunded to you in cash in accordance with applicable law.</w:t>
      </w:r>
    </w:p>
    <w:p>
      <w:pPr>
        <w:spacing w:after="0" w:line="204" w:lineRule="exact"/>
        <w:rPr>
          <w:sz w:val="20"/>
          <w:szCs w:val="20"/>
          <w:color w:val="auto"/>
        </w:rPr>
      </w:pPr>
    </w:p>
    <w:p>
      <w:pPr>
        <w:ind w:left="652" w:hanging="444"/>
        <w:spacing w:after="0" w:line="260" w:lineRule="auto"/>
        <w:rPr>
          <w:sz w:val="20"/>
          <w:szCs w:val="20"/>
          <w:color w:val="auto"/>
        </w:rPr>
      </w:pPr>
      <w:r>
        <w:rPr>
          <w:rFonts w:ascii="Arial" w:cs="Arial" w:eastAsia="Arial" w:hAnsi="Arial"/>
          <w:sz w:val="20"/>
          <w:szCs w:val="20"/>
          <w:color w:val="auto"/>
        </w:rPr>
        <w:t>The Company may refuse to issue or deliver the Shares or the proceeds of the sale of Shares, if you fail to comply with your obligations in connection with the Tax-Related Items.</w:t>
      </w:r>
    </w:p>
    <w:p>
      <w:pPr>
        <w:spacing w:after="0" w:line="198" w:lineRule="exact"/>
        <w:rPr>
          <w:sz w:val="20"/>
          <w:szCs w:val="20"/>
          <w:color w:val="auto"/>
        </w:rPr>
      </w:pPr>
    </w:p>
    <w:p>
      <w:pPr>
        <w:ind w:left="652" w:hanging="652"/>
        <w:spacing w:after="0" w:line="253" w:lineRule="auto"/>
        <w:tabs>
          <w:tab w:leader="none" w:pos="418" w:val="left"/>
        </w:tabs>
        <w:numPr>
          <w:ilvl w:val="0"/>
          <w:numId w:val="48"/>
        </w:numPr>
        <w:rPr>
          <w:rFonts w:ascii="Arial" w:cs="Arial" w:eastAsia="Arial" w:hAnsi="Arial"/>
          <w:sz w:val="20"/>
          <w:szCs w:val="20"/>
          <w:color w:val="auto"/>
        </w:rPr>
      </w:pPr>
      <w:r>
        <w:rPr>
          <w:rFonts w:ascii="Arial" w:cs="Arial" w:eastAsia="Arial" w:hAnsi="Arial"/>
          <w:sz w:val="20"/>
          <w:szCs w:val="20"/>
          <w:b w:val="1"/>
          <w:bCs w:val="1"/>
          <w:u w:val="single" w:color="auto"/>
          <w:color w:val="auto"/>
        </w:rPr>
        <w:t>No Shareholder Rights Before Settlement</w:t>
      </w:r>
      <w:r>
        <w:rPr>
          <w:rFonts w:ascii="Arial" w:cs="Arial" w:eastAsia="Arial" w:hAnsi="Arial"/>
          <w:sz w:val="20"/>
          <w:szCs w:val="20"/>
          <w:color w:val="auto"/>
        </w:rPr>
        <w:t>. The Units subject to this Award do not entitle you to any rights of a shareholder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You will not have any of the rights of a shareholder of the Company in connection with the grant of Units subject to this Award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12"/>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32"/>
          </w:cols>
          <w:pgMar w:left="328" w:top="1419" w:right="339" w:bottom="1440" w:gutter="0" w:footer="0" w:header="0"/>
        </w:sectPr>
      </w:pPr>
    </w:p>
    <w:bookmarkStart w:id="68" w:name="page69"/>
    <w:bookmarkEnd w:id="68"/>
    <w:p>
      <w:pPr>
        <w:ind w:left="652"/>
        <w:spacing w:after="0"/>
        <w:rPr>
          <w:sz w:val="20"/>
          <w:szCs w:val="20"/>
          <w:color w:val="auto"/>
        </w:rPr>
      </w:pPr>
      <w:r>
        <w:rPr>
          <w:rFonts w:ascii="Arial" w:cs="Arial" w:eastAsia="Arial" w:hAnsi="Arial"/>
          <w:sz w:val="20"/>
          <w:szCs w:val="20"/>
          <w:color w:val="auto"/>
        </w:rPr>
        <w:t>and until Shares are issued to you upon settlement of the Units as provided in Section 6 of this Agreement.</w:t>
      </w:r>
    </w:p>
    <w:p>
      <w:pPr>
        <w:spacing w:after="0" w:line="237" w:lineRule="exact"/>
        <w:rPr>
          <w:sz w:val="20"/>
          <w:szCs w:val="20"/>
          <w:color w:val="auto"/>
        </w:rPr>
      </w:pPr>
    </w:p>
    <w:p>
      <w:pPr>
        <w:ind w:left="652" w:hanging="652"/>
        <w:spacing w:after="0" w:line="253" w:lineRule="auto"/>
        <w:tabs>
          <w:tab w:leader="none" w:pos="377" w:val="left"/>
        </w:tabs>
        <w:numPr>
          <w:ilvl w:val="0"/>
          <w:numId w:val="49"/>
        </w:numPr>
        <w:rPr>
          <w:rFonts w:ascii="Arial" w:cs="Arial" w:eastAsia="Arial" w:hAnsi="Arial"/>
          <w:sz w:val="20"/>
          <w:szCs w:val="20"/>
          <w:color w:val="auto"/>
        </w:rPr>
      </w:pPr>
      <w:r>
        <w:rPr>
          <w:rFonts w:ascii="Arial" w:cs="Arial" w:eastAsia="Arial" w:hAnsi="Arial"/>
          <w:sz w:val="20"/>
          <w:szCs w:val="20"/>
          <w:b w:val="1"/>
          <w:bCs w:val="1"/>
          <w:u w:val="single" w:color="auto"/>
          <w:color w:val="auto"/>
        </w:rPr>
        <w:t>Discontinuance of Service</w:t>
      </w:r>
      <w:r>
        <w:rPr>
          <w:rFonts w:ascii="Arial" w:cs="Arial" w:eastAsia="Arial" w:hAnsi="Arial"/>
          <w:sz w:val="20"/>
          <w:szCs w:val="20"/>
          <w:color w:val="auto"/>
        </w:rPr>
        <w:t>. This Agreement does not give you a right to continued Service with the Company or any Affiliate,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or any such Affiliate may terminate your Service at any time and otherwise deal with you without regard to the effect it may have upon you under this Agreement.</w:t>
      </w:r>
    </w:p>
    <w:p>
      <w:pPr>
        <w:spacing w:after="0" w:line="204" w:lineRule="exact"/>
        <w:rPr>
          <w:rFonts w:ascii="Arial" w:cs="Arial" w:eastAsia="Arial" w:hAnsi="Arial"/>
          <w:sz w:val="20"/>
          <w:szCs w:val="20"/>
          <w:color w:val="auto"/>
        </w:rPr>
      </w:pPr>
    </w:p>
    <w:p>
      <w:pPr>
        <w:ind w:left="652" w:hanging="652"/>
        <w:spacing w:after="0" w:line="294" w:lineRule="auto"/>
        <w:tabs>
          <w:tab w:leader="none" w:pos="449"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Plan Document</w:t>
      </w:r>
      <w:r>
        <w:rPr>
          <w:rFonts w:ascii="Arial" w:cs="Arial" w:eastAsia="Arial" w:hAnsi="Arial"/>
          <w:sz w:val="18"/>
          <w:szCs w:val="18"/>
          <w:color w:val="auto"/>
        </w:rPr>
        <w:t>. This Agreement and the Award are subject to all the provisions of the Plan, and to all interpretations, rules</w:t>
      </w:r>
      <w:r>
        <w:rPr>
          <w:rFonts w:ascii="Arial" w:cs="Arial" w:eastAsia="Arial" w:hAnsi="Arial"/>
          <w:sz w:val="18"/>
          <w:szCs w:val="18"/>
          <w:b w:val="1"/>
          <w:bCs w:val="1"/>
          <w:color w:val="auto"/>
        </w:rPr>
        <w:t xml:space="preserve"> </w:t>
      </w:r>
      <w:r>
        <w:rPr>
          <w:rFonts w:ascii="Arial" w:cs="Arial" w:eastAsia="Arial" w:hAnsi="Arial"/>
          <w:sz w:val="18"/>
          <w:szCs w:val="18"/>
          <w:color w:val="auto"/>
        </w:rPr>
        <w:t>and regulations which may, from time to time, be adopted and promulgated by the Committee pursuant to the Plan. If there is any conflict between the provisions of this Agreement and the Plan, the provisions of the Plan will govern.</w:t>
      </w:r>
    </w:p>
    <w:p>
      <w:pPr>
        <w:spacing w:after="0" w:line="170" w:lineRule="exact"/>
        <w:rPr>
          <w:rFonts w:ascii="Arial" w:cs="Arial" w:eastAsia="Arial" w:hAnsi="Arial"/>
          <w:sz w:val="18"/>
          <w:szCs w:val="18"/>
          <w:color w:val="auto"/>
        </w:rPr>
      </w:pPr>
    </w:p>
    <w:p>
      <w:pPr>
        <w:ind w:left="652" w:hanging="652"/>
        <w:spacing w:after="0" w:line="248" w:lineRule="auto"/>
        <w:tabs>
          <w:tab w:leader="none" w:pos="536" w:val="left"/>
        </w:tabs>
        <w:numPr>
          <w:ilvl w:val="0"/>
          <w:numId w:val="49"/>
        </w:numPr>
        <w:rPr>
          <w:rFonts w:ascii="Arial" w:cs="Arial" w:eastAsia="Arial" w:hAnsi="Arial"/>
          <w:sz w:val="20"/>
          <w:szCs w:val="20"/>
          <w:color w:val="auto"/>
        </w:rPr>
      </w:pPr>
      <w:r>
        <w:rPr>
          <w:rFonts w:ascii="Arial" w:cs="Arial" w:eastAsia="Arial" w:hAnsi="Arial"/>
          <w:sz w:val="20"/>
          <w:szCs w:val="20"/>
          <w:b w:val="1"/>
          <w:bCs w:val="1"/>
          <w:u w:val="single" w:color="auto"/>
          <w:color w:val="auto"/>
        </w:rPr>
        <w:t>No Advice Regarding Grant</w:t>
      </w:r>
      <w:r>
        <w:rPr>
          <w:rFonts w:ascii="Arial" w:cs="Arial" w:eastAsia="Arial" w:hAnsi="Arial"/>
          <w:sz w:val="20"/>
          <w:szCs w:val="20"/>
          <w:color w:val="auto"/>
        </w:rPr>
        <w:t>. The Company is not providing any tax, legal or financial advice, nor is the Company making any</w:t>
      </w:r>
      <w:r>
        <w:rPr>
          <w:rFonts w:ascii="Arial" w:cs="Arial" w:eastAsia="Arial" w:hAnsi="Arial"/>
          <w:sz w:val="20"/>
          <w:szCs w:val="20"/>
          <w:b w:val="1"/>
          <w:bCs w:val="1"/>
          <w:color w:val="auto"/>
        </w:rPr>
        <w:t xml:space="preserve"> </w:t>
      </w:r>
      <w:r>
        <w:rPr>
          <w:rFonts w:ascii="Arial" w:cs="Arial" w:eastAsia="Arial" w:hAnsi="Arial"/>
          <w:sz w:val="20"/>
          <w:szCs w:val="20"/>
          <w:color w:val="auto"/>
        </w:rPr>
        <w:t>recommendations regarding your participation in the Plan, or your acquisition or sale of the underlying Shares. You understand and agree that you should consult with your own personal tax, legal and financial advisors regarding your participation in the Plan before taking any action related to the Plan.</w:t>
      </w:r>
    </w:p>
    <w:p>
      <w:pPr>
        <w:spacing w:after="0" w:line="210" w:lineRule="exact"/>
        <w:rPr>
          <w:rFonts w:ascii="Arial" w:cs="Arial" w:eastAsia="Arial" w:hAnsi="Arial"/>
          <w:sz w:val="20"/>
          <w:szCs w:val="20"/>
          <w:color w:val="auto"/>
        </w:rPr>
      </w:pPr>
    </w:p>
    <w:p>
      <w:pPr>
        <w:ind w:left="652" w:hanging="652"/>
        <w:spacing w:after="0" w:line="246" w:lineRule="auto"/>
        <w:tabs>
          <w:tab w:leader="none" w:pos="449" w:val="left"/>
        </w:tabs>
        <w:numPr>
          <w:ilvl w:val="0"/>
          <w:numId w:val="49"/>
        </w:numPr>
        <w:rPr>
          <w:rFonts w:ascii="Arial" w:cs="Arial" w:eastAsia="Arial" w:hAnsi="Arial"/>
          <w:sz w:val="20"/>
          <w:szCs w:val="20"/>
          <w:color w:val="auto"/>
        </w:rPr>
      </w:pPr>
      <w:r>
        <w:rPr>
          <w:rFonts w:ascii="Arial" w:cs="Arial" w:eastAsia="Arial" w:hAnsi="Arial"/>
          <w:sz w:val="20"/>
          <w:szCs w:val="20"/>
          <w:b w:val="1"/>
          <w:bCs w:val="1"/>
          <w:u w:val="single" w:color="auto"/>
          <w:color w:val="auto"/>
        </w:rPr>
        <w:t>Choice of Law and Venue</w:t>
      </w:r>
      <w:r>
        <w:rPr>
          <w:rFonts w:ascii="Arial" w:cs="Arial" w:eastAsia="Arial" w:hAnsi="Arial"/>
          <w:sz w:val="20"/>
          <w:szCs w:val="20"/>
          <w:color w:val="auto"/>
        </w:rPr>
        <w:t>. This Award and Agreement will be interpreted and construed in accordance with and governed by the laws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State of Minnesota, and all Participants agree to the exclusive venue and jurisdiction of the State and Federal Courts located in Hennepin County, Minnesota and waive any objection based on lack of jurisdiction or inconvenient forum. Any action relating to or arising out of this Plan must be commenced within one year after the cause of action accrued. This provision will not apply to Participants who primarily reside and work in California.</w:t>
      </w:r>
    </w:p>
    <w:p>
      <w:pPr>
        <w:spacing w:after="0" w:line="211" w:lineRule="exact"/>
        <w:rPr>
          <w:rFonts w:ascii="Arial" w:cs="Arial" w:eastAsia="Arial" w:hAnsi="Arial"/>
          <w:sz w:val="20"/>
          <w:szCs w:val="20"/>
          <w:color w:val="auto"/>
        </w:rPr>
      </w:pPr>
    </w:p>
    <w:p>
      <w:pPr>
        <w:ind w:left="652" w:right="20" w:hanging="652"/>
        <w:spacing w:after="0" w:line="267" w:lineRule="auto"/>
        <w:tabs>
          <w:tab w:leader="none" w:pos="544" w:val="left"/>
        </w:tabs>
        <w:numPr>
          <w:ilvl w:val="0"/>
          <w:numId w:val="49"/>
        </w:numPr>
        <w:rPr>
          <w:rFonts w:ascii="Arial" w:cs="Arial" w:eastAsia="Arial" w:hAnsi="Arial"/>
          <w:sz w:val="20"/>
          <w:szCs w:val="20"/>
          <w:color w:val="auto"/>
        </w:rPr>
      </w:pPr>
      <w:r>
        <w:rPr>
          <w:rFonts w:ascii="Arial" w:cs="Arial" w:eastAsia="Arial" w:hAnsi="Arial"/>
          <w:sz w:val="20"/>
          <w:szCs w:val="20"/>
          <w:b w:val="1"/>
          <w:bCs w:val="1"/>
          <w:u w:val="single" w:color="auto"/>
          <w:color w:val="auto"/>
        </w:rPr>
        <w:t>Binding Effect</w:t>
      </w:r>
      <w:r>
        <w:rPr>
          <w:rFonts w:ascii="Arial" w:cs="Arial" w:eastAsia="Arial" w:hAnsi="Arial"/>
          <w:sz w:val="20"/>
          <w:szCs w:val="20"/>
          <w:color w:val="auto"/>
        </w:rPr>
        <w:t>. This Agreement will be binding in all respects on your heirs, representatives, successors and assigns, and on the</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and assigns of the Company.</w:t>
      </w:r>
    </w:p>
    <w:p>
      <w:pPr>
        <w:spacing w:after="0" w:line="190" w:lineRule="exact"/>
        <w:rPr>
          <w:rFonts w:ascii="Arial" w:cs="Arial" w:eastAsia="Arial" w:hAnsi="Arial"/>
          <w:sz w:val="20"/>
          <w:szCs w:val="20"/>
          <w:color w:val="auto"/>
        </w:rPr>
      </w:pPr>
    </w:p>
    <w:p>
      <w:pPr>
        <w:ind w:left="652" w:hanging="652"/>
        <w:spacing w:after="0" w:line="272" w:lineRule="auto"/>
        <w:tabs>
          <w:tab w:leader="none" w:pos="517"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Law</w:t>
      </w:r>
      <w:r>
        <w:rPr>
          <w:rFonts w:ascii="Arial" w:cs="Arial" w:eastAsia="Arial" w:hAnsi="Arial"/>
          <w:sz w:val="18"/>
          <w:szCs w:val="18"/>
          <w:color w:val="auto"/>
        </w:rPr>
        <w:t>. Notwithstanding any other provision of the Plan or this Agreement, unless there is an exemption from any</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qualification or other legal requirement applicable to the Shares, the Company shall not be required to deliver any Shares issuable upon settlement of the Units prior to the completion of any registration or qualification of the shares under U.S. federal, state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You understand that the Company is under no obligation to register or qualify the Shares with the SEC or any state or foreign securities commission or to seek approval or clearance from any governmental authority for the issuance or sale of the Shares. Further, you agree that the Company shall have unilateral authority to amend the Agreement without your consent to the extent necessary to comply with securities or other laws applicable to the issuance of the Shares.</w:t>
      </w:r>
    </w:p>
    <w:p>
      <w:pPr>
        <w:spacing w:after="0" w:line="192" w:lineRule="exact"/>
        <w:rPr>
          <w:rFonts w:ascii="Arial" w:cs="Arial" w:eastAsia="Arial" w:hAnsi="Arial"/>
          <w:sz w:val="18"/>
          <w:szCs w:val="18"/>
          <w:color w:val="auto"/>
        </w:rPr>
      </w:pPr>
    </w:p>
    <w:p>
      <w:pPr>
        <w:ind w:left="652" w:right="20" w:hanging="652"/>
        <w:spacing w:after="0" w:line="253" w:lineRule="auto"/>
        <w:tabs>
          <w:tab w:leader="none" w:pos="449" w:val="left"/>
        </w:tabs>
        <w:numPr>
          <w:ilvl w:val="0"/>
          <w:numId w:val="49"/>
        </w:numPr>
        <w:rPr>
          <w:rFonts w:ascii="Arial" w:cs="Arial" w:eastAsia="Arial" w:hAnsi="Arial"/>
          <w:sz w:val="20"/>
          <w:szCs w:val="20"/>
          <w:color w:val="auto"/>
        </w:rPr>
      </w:pPr>
      <w:r>
        <w:rPr>
          <w:rFonts w:ascii="Arial" w:cs="Arial" w:eastAsia="Arial" w:hAnsi="Arial"/>
          <w:sz w:val="20"/>
          <w:szCs w:val="20"/>
          <w:b w:val="1"/>
          <w:bCs w:val="1"/>
          <w:u w:val="single" w:color="auto"/>
          <w:color w:val="auto"/>
        </w:rPr>
        <w:t>Insider Trading Policy</w:t>
      </w:r>
      <w:r>
        <w:rPr>
          <w:rFonts w:ascii="Arial" w:cs="Arial" w:eastAsia="Arial" w:hAnsi="Arial"/>
          <w:sz w:val="20"/>
          <w:szCs w:val="20"/>
          <w:color w:val="auto"/>
        </w:rPr>
        <w:t>. You acknowledge that you are subject to the Company’s insider trading policy as set forth in the “Statement of</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Policy as to Trades in the Company’s Securities By Company Personnel and Confidential Information” and that you are responsible for ensuring compliance with the restrictions and requirements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12"/>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32"/>
          </w:cols>
          <w:pgMar w:left="328" w:top="1419" w:right="339" w:bottom="1440" w:gutter="0" w:footer="0" w:header="0"/>
        </w:sectPr>
      </w:pPr>
    </w:p>
    <w:bookmarkStart w:id="69" w:name="page70"/>
    <w:bookmarkEnd w:id="69"/>
    <w:p>
      <w:pPr>
        <w:spacing w:after="0" w:line="216" w:lineRule="exact"/>
        <w:rPr>
          <w:sz w:val="20"/>
          <w:szCs w:val="20"/>
          <w:color w:val="auto"/>
        </w:rPr>
      </w:pPr>
    </w:p>
    <w:p>
      <w:pPr>
        <w:ind w:left="660" w:hanging="652"/>
        <w:spacing w:after="0" w:line="248" w:lineRule="auto"/>
        <w:tabs>
          <w:tab w:leader="none" w:pos="484" w:val="left"/>
        </w:tabs>
        <w:numPr>
          <w:ilvl w:val="0"/>
          <w:numId w:val="50"/>
        </w:numPr>
        <w:rPr>
          <w:rFonts w:ascii="Arial" w:cs="Arial" w:eastAsia="Arial" w:hAnsi="Arial"/>
          <w:sz w:val="20"/>
          <w:szCs w:val="20"/>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your participation in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on the Award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210" w:lineRule="exact"/>
        <w:rPr>
          <w:rFonts w:ascii="Arial" w:cs="Arial" w:eastAsia="Arial" w:hAnsi="Arial"/>
          <w:sz w:val="20"/>
          <w:szCs w:val="20"/>
          <w:color w:val="auto"/>
        </w:rPr>
      </w:pPr>
    </w:p>
    <w:p>
      <w:pPr>
        <w:ind w:left="660" w:hanging="652"/>
        <w:spacing w:after="0" w:line="248" w:lineRule="auto"/>
        <w:tabs>
          <w:tab w:leader="none" w:pos="457" w:val="left"/>
        </w:tabs>
        <w:numPr>
          <w:ilvl w:val="0"/>
          <w:numId w:val="50"/>
        </w:numPr>
        <w:rPr>
          <w:rFonts w:ascii="Arial" w:cs="Arial" w:eastAsia="Arial" w:hAnsi="Arial"/>
          <w:sz w:val="20"/>
          <w:szCs w:val="20"/>
          <w:color w:val="auto"/>
        </w:rPr>
      </w:pPr>
      <w:r>
        <w:rPr>
          <w:rFonts w:ascii="Arial" w:cs="Arial" w:eastAsia="Arial" w:hAnsi="Arial"/>
          <w:sz w:val="20"/>
          <w:szCs w:val="20"/>
          <w:b w:val="1"/>
          <w:bCs w:val="1"/>
          <w:u w:val="single" w:color="auto"/>
          <w:color w:val="auto"/>
        </w:rPr>
        <w:t>Electronic Delivery and Participation</w:t>
      </w:r>
      <w:r>
        <w:rPr>
          <w:rFonts w:ascii="Arial" w:cs="Arial" w:eastAsia="Arial" w:hAnsi="Arial"/>
          <w:sz w:val="20"/>
          <w:szCs w:val="20"/>
          <w:color w:val="auto"/>
        </w:rPr>
        <w:t>. The Company may, in its sole discretion, decide to deliver any documents related to current or</w:t>
      </w:r>
      <w:r>
        <w:rPr>
          <w:rFonts w:ascii="Arial" w:cs="Arial" w:eastAsia="Arial" w:hAnsi="Arial"/>
          <w:sz w:val="20"/>
          <w:szCs w:val="20"/>
          <w:b w:val="1"/>
          <w:bCs w:val="1"/>
          <w:color w:val="auto"/>
        </w:rPr>
        <w:t xml:space="preserve"> </w:t>
      </w:r>
      <w:r>
        <w:rPr>
          <w:rFonts w:ascii="Arial" w:cs="Arial" w:eastAsia="Arial" w:hAnsi="Arial"/>
          <w:sz w:val="20"/>
          <w:szCs w:val="20"/>
          <w:color w:val="auto"/>
        </w:rPr>
        <w:t>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210" w:lineRule="exact"/>
        <w:rPr>
          <w:rFonts w:ascii="Arial" w:cs="Arial" w:eastAsia="Arial" w:hAnsi="Arial"/>
          <w:sz w:val="20"/>
          <w:szCs w:val="20"/>
          <w:color w:val="auto"/>
        </w:rPr>
      </w:pPr>
    </w:p>
    <w:p>
      <w:pPr>
        <w:ind w:left="660" w:hanging="652"/>
        <w:spacing w:after="0" w:line="246" w:lineRule="auto"/>
        <w:tabs>
          <w:tab w:leader="none" w:pos="457" w:val="left"/>
        </w:tabs>
        <w:numPr>
          <w:ilvl w:val="0"/>
          <w:numId w:val="50"/>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 of the Code</w:t>
      </w:r>
      <w:r>
        <w:rPr>
          <w:rFonts w:ascii="Arial" w:cs="Arial" w:eastAsia="Arial" w:hAnsi="Arial"/>
          <w:sz w:val="20"/>
          <w:szCs w:val="20"/>
          <w:color w:val="auto"/>
        </w:rPr>
        <w:t>. The Units as provided in this Agreement and any issuance of Shares or payment pursuant to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are intended to either be exempt from or comply with Section 409A of the Code so as not to subject you to payment of any additional tax, penalty or interest imposed under Section 409A of the Code. The provisions of this Award shall be construed and interpreted to avoid the imputation of any such additional tax, penalty or interest under Section 409A of the Code yet preserve (to the nearest extent reasonably possible) the intended benefit payable to you.</w:t>
      </w:r>
    </w:p>
    <w:p>
      <w:pPr>
        <w:spacing w:after="0" w:line="211" w:lineRule="exact"/>
        <w:rPr>
          <w:rFonts w:ascii="Arial" w:cs="Arial" w:eastAsia="Arial" w:hAnsi="Arial"/>
          <w:sz w:val="20"/>
          <w:szCs w:val="20"/>
          <w:color w:val="auto"/>
        </w:rPr>
      </w:pPr>
    </w:p>
    <w:p>
      <w:pPr>
        <w:ind w:left="660" w:hanging="652"/>
        <w:spacing w:after="0" w:line="277" w:lineRule="auto"/>
        <w:tabs>
          <w:tab w:leader="none" w:pos="579"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Recovery Policy</w:t>
      </w:r>
      <w:r>
        <w:rPr>
          <w:rFonts w:ascii="Arial" w:cs="Arial" w:eastAsia="Arial" w:hAnsi="Arial"/>
          <w:sz w:val="18"/>
          <w:szCs w:val="18"/>
          <w:color w:val="auto"/>
        </w:rPr>
        <w:t>. To the extent that any compensation paid or payable pursuant to this Agreement is considered</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“incentive-based compensation” within the meaning and subject to the requirements of Section 10D of the Exchange Act, such compensation shall be subject to potential forfeiture or recovery by the Company in accordance with any compensation recovery policy adopted by the Board or any committee thereof in response to the requirements of Section 10D of the Exchange Act and any implementing rules and regulations thereunder adopted by the SEC or any national securities exchange on which the Stock is then listed. This Agreement may be unilaterally amended by the Company to comply with any such compensation recovery policy.</w:t>
      </w:r>
    </w:p>
    <w:p>
      <w:pPr>
        <w:spacing w:after="0" w:line="186" w:lineRule="exact"/>
        <w:rPr>
          <w:rFonts w:ascii="Arial" w:cs="Arial" w:eastAsia="Arial" w:hAnsi="Arial"/>
          <w:sz w:val="18"/>
          <w:szCs w:val="18"/>
          <w:color w:val="auto"/>
        </w:rPr>
      </w:pPr>
    </w:p>
    <w:p>
      <w:pPr>
        <w:ind w:left="660" w:right="20" w:hanging="652"/>
        <w:spacing w:after="0" w:line="293" w:lineRule="auto"/>
        <w:tabs>
          <w:tab w:leader="none" w:pos="579" w:val="left"/>
        </w:tabs>
        <w:numPr>
          <w:ilvl w:val="0"/>
          <w:numId w:val="50"/>
        </w:numPr>
        <w:rPr>
          <w:rFonts w:ascii="Arial" w:cs="Arial" w:eastAsia="Arial" w:hAnsi="Arial"/>
          <w:sz w:val="19"/>
          <w:szCs w:val="19"/>
          <w:color w:val="auto"/>
        </w:rPr>
      </w:pPr>
      <w:r>
        <w:rPr>
          <w:rFonts w:ascii="Arial" w:cs="Arial" w:eastAsia="Arial" w:hAnsi="Arial"/>
          <w:sz w:val="19"/>
          <w:szCs w:val="19"/>
          <w:b w:val="1"/>
          <w:bCs w:val="1"/>
          <w:u w:val="single" w:color="auto"/>
          <w:color w:val="auto"/>
        </w:rPr>
        <w:t>Waiver</w:t>
      </w:r>
      <w:r>
        <w:rPr>
          <w:rFonts w:ascii="Arial" w:cs="Arial" w:eastAsia="Arial" w:hAnsi="Arial"/>
          <w:sz w:val="19"/>
          <w:szCs w:val="19"/>
          <w:color w:val="auto"/>
        </w:rPr>
        <w:t>. You acknowledge that a waiver by the Company of breach of any provision of this Agreement shall not operate or be</w:t>
      </w:r>
      <w:r>
        <w:rPr>
          <w:rFonts w:ascii="Arial" w:cs="Arial" w:eastAsia="Arial" w:hAnsi="Arial"/>
          <w:sz w:val="19"/>
          <w:szCs w:val="19"/>
          <w:b w:val="1"/>
          <w:bCs w:val="1"/>
          <w:color w:val="auto"/>
        </w:rPr>
        <w:t xml:space="preserve"> </w:t>
      </w:r>
      <w:r>
        <w:rPr>
          <w:rFonts w:ascii="Arial" w:cs="Arial" w:eastAsia="Arial" w:hAnsi="Arial"/>
          <w:sz w:val="19"/>
          <w:szCs w:val="19"/>
          <w:color w:val="auto"/>
        </w:rPr>
        <w:t>construed as a waiver of any other provision of this Agreement, or of any subsequent breach by you or any other Participant.</w:t>
      </w:r>
    </w:p>
    <w:p>
      <w:pPr>
        <w:spacing w:after="0" w:line="168" w:lineRule="exact"/>
        <w:rPr>
          <w:rFonts w:ascii="Arial" w:cs="Arial" w:eastAsia="Arial" w:hAnsi="Arial"/>
          <w:sz w:val="19"/>
          <w:szCs w:val="19"/>
          <w:color w:val="auto"/>
        </w:rPr>
      </w:pPr>
    </w:p>
    <w:p>
      <w:pPr>
        <w:ind w:left="660" w:right="20" w:hanging="652"/>
        <w:spacing w:after="0" w:line="293" w:lineRule="auto"/>
        <w:tabs>
          <w:tab w:leader="none" w:pos="579" w:val="left"/>
        </w:tabs>
        <w:numPr>
          <w:ilvl w:val="0"/>
          <w:numId w:val="50"/>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The provisions of this Agreement are severable and if any one or more provisions are determined to be illegal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unenforceable, in whole or in part, the remaining provisions shall nevertheless be binding and enforceable.</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i w:val="1"/>
          <w:iCs w:val="1"/>
          <w:color w:val="auto"/>
        </w:rPr>
        <w:t>By accepting this Award in the manner prescribed by the Company, you agree to all the terms and conditions described in this Agreement and in the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20"/>
          <w:szCs w:val="20"/>
          <w:b w:val="1"/>
          <w:bCs w:val="1"/>
          <w:color w:val="auto"/>
        </w:rPr>
        <w:t>EXHIBIT 10.5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Long-Term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Non-Statutory Stock Option Agreement (U.S.)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Option Terms and Conditions</w:t>
      </w:r>
      <w:r>
        <w:rPr>
          <w:rFonts w:ascii="Arial" w:cs="Arial" w:eastAsia="Arial" w:hAnsi="Arial"/>
          <w:sz w:val="25"/>
          <w:szCs w:val="25"/>
          <w:color w:val="auto"/>
          <w:vertAlign w:val="superscript"/>
        </w:rPr>
        <w:t>1</w:t>
      </w:r>
    </w:p>
    <w:p>
      <w:pPr>
        <w:spacing w:after="0" w:line="199" w:lineRule="exact"/>
        <w:rPr>
          <w:sz w:val="20"/>
          <w:szCs w:val="20"/>
          <w:color w:val="auto"/>
        </w:rPr>
      </w:pPr>
    </w:p>
    <w:p>
      <w:pPr>
        <w:jc w:val="both"/>
        <w:ind w:left="660" w:right="20" w:hanging="328"/>
        <w:spacing w:after="0" w:line="253" w:lineRule="auto"/>
        <w:tabs>
          <w:tab w:leader="none" w:pos="723" w:val="left"/>
        </w:tabs>
        <w:numPr>
          <w:ilvl w:val="0"/>
          <w:numId w:val="51"/>
        </w:numPr>
        <w:rPr>
          <w:rFonts w:ascii="Arial" w:cs="Arial" w:eastAsia="Arial" w:hAnsi="Arial"/>
          <w:sz w:val="20"/>
          <w:szCs w:val="20"/>
          <w:color w:val="auto"/>
        </w:rPr>
      </w:pPr>
      <w:r>
        <w:rPr>
          <w:rFonts w:ascii="Arial" w:cs="Arial" w:eastAsia="Arial" w:hAnsi="Arial"/>
          <w:sz w:val="20"/>
          <w:szCs w:val="20"/>
          <w:b w:val="1"/>
          <w:bCs w:val="1"/>
          <w:u w:val="single" w:color="auto"/>
          <w:color w:val="auto"/>
        </w:rPr>
        <w:t>Grant of Stock Options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hereby grants to you, subject to the terms and conditions in this Executive Non-Statutory</w:t>
      </w:r>
      <w:r>
        <w:rPr>
          <w:rFonts w:ascii="Arial" w:cs="Arial" w:eastAsia="Arial" w:hAnsi="Arial"/>
          <w:sz w:val="20"/>
          <w:szCs w:val="20"/>
          <w:b w:val="1"/>
          <w:bCs w:val="1"/>
          <w:color w:val="auto"/>
        </w:rPr>
        <w:t xml:space="preserve"> </w:t>
      </w:r>
      <w:r>
        <w:rPr>
          <w:rFonts w:ascii="Arial" w:cs="Arial" w:eastAsia="Arial" w:hAnsi="Arial"/>
          <w:sz w:val="20"/>
          <w:szCs w:val="20"/>
          <w:color w:val="auto"/>
        </w:rPr>
        <w:t>Stock Option Agreement (the “Agreement”) and subject to the terms and conditions of the Plan, an option to purchase the number of Shares specified on the cover page of this Agreement (the “Option”).</w:t>
      </w:r>
    </w:p>
    <w:p>
      <w:pPr>
        <w:spacing w:after="0" w:line="204" w:lineRule="exact"/>
        <w:rPr>
          <w:rFonts w:ascii="Arial" w:cs="Arial" w:eastAsia="Arial" w:hAnsi="Arial"/>
          <w:sz w:val="20"/>
          <w:szCs w:val="20"/>
          <w:color w:val="auto"/>
        </w:rPr>
      </w:pPr>
    </w:p>
    <w:p>
      <w:pPr>
        <w:ind w:left="660" w:right="20" w:hanging="328"/>
        <w:spacing w:after="0" w:line="267" w:lineRule="auto"/>
        <w:tabs>
          <w:tab w:leader="none" w:pos="723" w:val="left"/>
        </w:tabs>
        <w:numPr>
          <w:ilvl w:val="0"/>
          <w:numId w:val="51"/>
        </w:numPr>
        <w:rPr>
          <w:rFonts w:ascii="Arial" w:cs="Arial" w:eastAsia="Arial" w:hAnsi="Arial"/>
          <w:sz w:val="20"/>
          <w:szCs w:val="20"/>
          <w:color w:val="auto"/>
        </w:rPr>
      </w:pPr>
      <w:r>
        <w:rPr>
          <w:rFonts w:ascii="Arial" w:cs="Arial" w:eastAsia="Arial" w:hAnsi="Arial"/>
          <w:sz w:val="20"/>
          <w:szCs w:val="20"/>
          <w:b w:val="1"/>
          <w:bCs w:val="1"/>
          <w:u w:val="single" w:color="auto"/>
          <w:color w:val="auto"/>
        </w:rPr>
        <w:t>Non-Statutory Stock Option</w:t>
      </w:r>
      <w:r>
        <w:rPr>
          <w:rFonts w:ascii="Arial" w:cs="Arial" w:eastAsia="Arial" w:hAnsi="Arial"/>
          <w:sz w:val="20"/>
          <w:szCs w:val="20"/>
          <w:color w:val="auto"/>
        </w:rPr>
        <w:t>. This Option 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not</w:t>
      </w:r>
      <w:r>
        <w:rPr>
          <w:rFonts w:ascii="Arial" w:cs="Arial" w:eastAsia="Arial" w:hAnsi="Arial"/>
          <w:sz w:val="20"/>
          <w:szCs w:val="20"/>
          <w:b w:val="1"/>
          <w:bCs w:val="1"/>
          <w:color w:val="auto"/>
        </w:rPr>
        <w:t xml:space="preserve"> </w:t>
      </w:r>
      <w:r>
        <w:rPr>
          <w:rFonts w:ascii="Arial" w:cs="Arial" w:eastAsia="Arial" w:hAnsi="Arial"/>
          <w:sz w:val="20"/>
          <w:szCs w:val="20"/>
          <w:color w:val="auto"/>
        </w:rPr>
        <w:t>intended to be an “incentive stock option” within the meaning of Section 422 of</w:t>
      </w:r>
      <w:r>
        <w:rPr>
          <w:rFonts w:ascii="Arial" w:cs="Arial" w:eastAsia="Arial" w:hAnsi="Arial"/>
          <w:sz w:val="20"/>
          <w:szCs w:val="20"/>
          <w:b w:val="1"/>
          <w:bCs w:val="1"/>
          <w:color w:val="auto"/>
        </w:rPr>
        <w:t xml:space="preserve"> </w:t>
      </w:r>
      <w:r>
        <w:rPr>
          <w:rFonts w:ascii="Arial" w:cs="Arial" w:eastAsia="Arial" w:hAnsi="Arial"/>
          <w:sz w:val="20"/>
          <w:szCs w:val="20"/>
          <w:color w:val="auto"/>
        </w:rPr>
        <w:t>the Code and will be interpreted accordingly.</w:t>
      </w:r>
    </w:p>
    <w:p>
      <w:pPr>
        <w:spacing w:after="0" w:line="190" w:lineRule="exact"/>
        <w:rPr>
          <w:rFonts w:ascii="Arial" w:cs="Arial" w:eastAsia="Arial" w:hAnsi="Arial"/>
          <w:sz w:val="20"/>
          <w:szCs w:val="20"/>
          <w:color w:val="auto"/>
        </w:rPr>
      </w:pPr>
    </w:p>
    <w:p>
      <w:pPr>
        <w:jc w:val="both"/>
        <w:ind w:left="660" w:hanging="328"/>
        <w:spacing w:after="0" w:line="322" w:lineRule="auto"/>
        <w:tabs>
          <w:tab w:leader="none" w:pos="682" w:val="left"/>
        </w:tabs>
        <w:numPr>
          <w:ilvl w:val="0"/>
          <w:numId w:val="51"/>
        </w:numPr>
        <w:rPr>
          <w:rFonts w:ascii="Arial" w:cs="Arial" w:eastAsia="Arial" w:hAnsi="Arial"/>
          <w:sz w:val="16"/>
          <w:szCs w:val="16"/>
          <w:color w:val="auto"/>
        </w:rPr>
      </w:pPr>
      <w:r>
        <w:rPr>
          <w:rFonts w:ascii="Arial" w:cs="Arial" w:eastAsia="Arial" w:hAnsi="Arial"/>
          <w:sz w:val="16"/>
          <w:szCs w:val="16"/>
          <w:b w:val="1"/>
          <w:bCs w:val="1"/>
          <w:u w:val="single" w:color="auto"/>
          <w:color w:val="auto"/>
        </w:rPr>
        <w:t>Vesting and Exercise Schedule</w:t>
      </w:r>
      <w:r>
        <w:rPr>
          <w:rFonts w:ascii="Arial" w:cs="Arial" w:eastAsia="Arial" w:hAnsi="Arial"/>
          <w:sz w:val="16"/>
          <w:szCs w:val="16"/>
          <w:color w:val="auto"/>
        </w:rPr>
        <w:t>. This Option will vest and become exercisable as to the portion of Shares and on the dates specified</w:t>
      </w:r>
      <w:r>
        <w:rPr>
          <w:rFonts w:ascii="Arial" w:cs="Arial" w:eastAsia="Arial" w:hAnsi="Arial"/>
          <w:sz w:val="16"/>
          <w:szCs w:val="16"/>
          <w:b w:val="1"/>
          <w:bCs w:val="1"/>
          <w:color w:val="auto"/>
        </w:rPr>
        <w:t xml:space="preserve"> </w:t>
      </w:r>
      <w:r>
        <w:rPr>
          <w:rFonts w:ascii="Arial" w:cs="Arial" w:eastAsia="Arial" w:hAnsi="Arial"/>
          <w:sz w:val="16"/>
          <w:szCs w:val="16"/>
          <w:color w:val="auto"/>
        </w:rPr>
        <w:t>on the cover page to this Agreement, so long as you remain a Service Provider or you meet the conditions set forth in Section 6 of this Agreement. The vesting and exercise schedule is cumulative, meaning that to the extent the Option has not already been exercised and has not expired, terminated or been cancelled, you or the person otherwise entitled to exercise the Option as provided in this Agreement may at any time purchase all or any portion of the Shares that may then be purchased under that schedule.</w:t>
      </w:r>
    </w:p>
    <w:p>
      <w:pPr>
        <w:spacing w:after="0" w:line="162" w:lineRule="exact"/>
        <w:rPr>
          <w:sz w:val="20"/>
          <w:szCs w:val="20"/>
          <w:color w:val="auto"/>
        </w:rPr>
      </w:pPr>
    </w:p>
    <w:p>
      <w:pPr>
        <w:jc w:val="both"/>
        <w:ind w:left="660" w:hanging="435"/>
        <w:spacing w:after="0" w:line="243" w:lineRule="auto"/>
        <w:rPr>
          <w:sz w:val="20"/>
          <w:szCs w:val="20"/>
          <w:color w:val="auto"/>
        </w:rPr>
      </w:pPr>
      <w:r>
        <w:rPr>
          <w:rFonts w:ascii="Arial" w:cs="Arial" w:eastAsia="Arial" w:hAnsi="Arial"/>
          <w:sz w:val="20"/>
          <w:szCs w:val="20"/>
          <w:color w:val="auto"/>
        </w:rPr>
        <w:t>Vesting and exercisability of this Option will be accelerated during the term of the Option if your Service to the Company or any Affiliate terminates because of your death or Disability, as provided in Section 6(e)(2) of the Plan. Vesting and exercisability will also be accelerated under the circumstances described in Section 12(d) of the Plan and may be accelerated (or, as applicable, waived) by action of the Committee in accordance with Sections 3(b)(2), 12(b)(2), 12(b)(3) and 12(c) of the Plan. Vesting and exercisability may also be accelerated upon the occurrence of events and in accordance with the terms and conditions specified in any other written agreement you have with the Company.</w:t>
      </w:r>
    </w:p>
    <w:p>
      <w:pPr>
        <w:spacing w:after="0" w:line="217" w:lineRule="exact"/>
        <w:rPr>
          <w:sz w:val="20"/>
          <w:szCs w:val="20"/>
          <w:color w:val="auto"/>
        </w:rPr>
      </w:pPr>
    </w:p>
    <w:p>
      <w:pPr>
        <w:ind w:left="680" w:hanging="348"/>
        <w:spacing w:after="0"/>
        <w:tabs>
          <w:tab w:leader="none" w:pos="680" w:val="left"/>
        </w:tabs>
        <w:numPr>
          <w:ilvl w:val="1"/>
          <w:numId w:val="52"/>
        </w:numPr>
        <w:rPr>
          <w:rFonts w:ascii="Arial" w:cs="Arial" w:eastAsia="Arial" w:hAnsi="Arial"/>
          <w:sz w:val="20"/>
          <w:szCs w:val="20"/>
          <w:color w:val="auto"/>
        </w:rPr>
      </w:pPr>
      <w:r>
        <w:rPr>
          <w:rFonts w:ascii="Arial" w:cs="Arial" w:eastAsia="Arial" w:hAnsi="Arial"/>
          <w:sz w:val="20"/>
          <w:szCs w:val="20"/>
          <w:b w:val="1"/>
          <w:bCs w:val="1"/>
          <w:u w:val="single" w:color="auto"/>
          <w:color w:val="auto"/>
        </w:rPr>
        <w:t>Expiration</w:t>
      </w:r>
      <w:r>
        <w:rPr>
          <w:rFonts w:ascii="Arial" w:cs="Arial" w:eastAsia="Arial" w:hAnsi="Arial"/>
          <w:sz w:val="20"/>
          <w:szCs w:val="20"/>
          <w:color w:val="auto"/>
        </w:rPr>
        <w:t>. This Option will expire and will no longer be exercisable at 5:00 p.m. Central Time on the earliest of:</w:t>
      </w:r>
    </w:p>
    <w:p>
      <w:pPr>
        <w:spacing w:after="0" w:line="248" w:lineRule="exact"/>
        <w:rPr>
          <w:rFonts w:ascii="Arial" w:cs="Arial" w:eastAsia="Arial" w:hAnsi="Arial"/>
          <w:sz w:val="20"/>
          <w:szCs w:val="20"/>
          <w:color w:val="auto"/>
        </w:rPr>
      </w:pPr>
    </w:p>
    <w:p>
      <w:pPr>
        <w:ind w:left="1080" w:hanging="424"/>
        <w:spacing w:after="0"/>
        <w:tabs>
          <w:tab w:leader="none" w:pos="1080" w:val="left"/>
        </w:tabs>
        <w:numPr>
          <w:ilvl w:val="2"/>
          <w:numId w:val="52"/>
        </w:numPr>
        <w:rPr>
          <w:rFonts w:ascii="Arial" w:cs="Arial" w:eastAsia="Arial" w:hAnsi="Arial"/>
          <w:sz w:val="20"/>
          <w:szCs w:val="20"/>
          <w:color w:val="auto"/>
        </w:rPr>
      </w:pPr>
      <w:r>
        <w:rPr>
          <w:rFonts w:ascii="Arial" w:cs="Arial" w:eastAsia="Arial" w:hAnsi="Arial"/>
          <w:sz w:val="20"/>
          <w:szCs w:val="20"/>
          <w:color w:val="auto"/>
        </w:rPr>
        <w:t>the expiration date specified on the cover page of this Agreement;</w:t>
      </w:r>
    </w:p>
    <w:p>
      <w:pPr>
        <w:spacing w:after="0" w:line="242" w:lineRule="exact"/>
        <w:rPr>
          <w:rFonts w:ascii="Arial" w:cs="Arial" w:eastAsia="Arial" w:hAnsi="Arial"/>
          <w:sz w:val="20"/>
          <w:szCs w:val="20"/>
          <w:color w:val="auto"/>
        </w:rPr>
      </w:pPr>
    </w:p>
    <w:p>
      <w:pPr>
        <w:ind w:left="1300" w:hanging="644"/>
        <w:spacing w:after="0" w:line="260" w:lineRule="auto"/>
        <w:tabs>
          <w:tab w:leader="none" w:pos="1137" w:val="left"/>
        </w:tabs>
        <w:numPr>
          <w:ilvl w:val="2"/>
          <w:numId w:val="52"/>
        </w:numPr>
        <w:rPr>
          <w:rFonts w:ascii="Arial" w:cs="Arial" w:eastAsia="Arial" w:hAnsi="Arial"/>
          <w:sz w:val="20"/>
          <w:szCs w:val="20"/>
          <w:color w:val="auto"/>
        </w:rPr>
      </w:pPr>
      <w:r>
        <w:rPr>
          <w:rFonts w:ascii="Arial" w:cs="Arial" w:eastAsia="Arial" w:hAnsi="Arial"/>
          <w:sz w:val="20"/>
          <w:szCs w:val="20"/>
          <w:color w:val="auto"/>
        </w:rPr>
        <w:t>the expiration of any applicable period specified in Section 6(e) of the Plan during which this Option may be exercised after your termination of Service, except as set forth in Section 6 of this Agreement;</w:t>
      </w:r>
    </w:p>
    <w:p>
      <w:pPr>
        <w:spacing w:after="0" w:line="203" w:lineRule="exact"/>
        <w:rPr>
          <w:rFonts w:ascii="Arial" w:cs="Arial" w:eastAsia="Arial" w:hAnsi="Arial"/>
          <w:sz w:val="20"/>
          <w:szCs w:val="20"/>
          <w:color w:val="auto"/>
        </w:rPr>
      </w:pPr>
    </w:p>
    <w:p>
      <w:pPr>
        <w:ind w:left="1300" w:hanging="644"/>
        <w:spacing w:after="0" w:line="260" w:lineRule="auto"/>
        <w:tabs>
          <w:tab w:leader="none" w:pos="1081" w:val="left"/>
        </w:tabs>
        <w:numPr>
          <w:ilvl w:val="2"/>
          <w:numId w:val="52"/>
        </w:numPr>
        <w:rPr>
          <w:rFonts w:ascii="Arial" w:cs="Arial" w:eastAsia="Arial" w:hAnsi="Arial"/>
          <w:sz w:val="20"/>
          <w:szCs w:val="20"/>
          <w:color w:val="auto"/>
        </w:rPr>
      </w:pPr>
      <w:r>
        <w:rPr>
          <w:rFonts w:ascii="Arial" w:cs="Arial" w:eastAsia="Arial" w:hAnsi="Arial"/>
          <w:sz w:val="20"/>
          <w:szCs w:val="20"/>
          <w:color w:val="auto"/>
        </w:rPr>
        <w:t>if the Committee has taken action to accelerate exercisability in accordance with Sections 3(b)(2), 12(b)(3) or 12(c) of the Plan, the expiration of any applicable exercise period specified by the Committee pursuant to such action;</w:t>
      </w:r>
    </w:p>
    <w:p>
      <w:pPr>
        <w:spacing w:after="0" w:line="200" w:lineRule="exact"/>
        <w:rPr>
          <w:rFonts w:ascii="Arial" w:cs="Arial" w:eastAsia="Arial" w:hAnsi="Arial"/>
          <w:sz w:val="20"/>
          <w:szCs w:val="20"/>
          <w:color w:val="auto"/>
        </w:rPr>
      </w:pPr>
    </w:p>
    <w:p>
      <w:pPr>
        <w:spacing w:after="0" w:line="287" w:lineRule="exact"/>
        <w:rPr>
          <w:rFonts w:ascii="Arial" w:cs="Arial" w:eastAsia="Arial" w:hAnsi="Arial"/>
          <w:sz w:val="20"/>
          <w:szCs w:val="20"/>
          <w:color w:val="auto"/>
        </w:rPr>
      </w:pPr>
    </w:p>
    <w:p>
      <w:pPr>
        <w:ind w:left="660" w:right="100" w:hanging="648"/>
        <w:spacing w:after="0" w:line="287" w:lineRule="auto"/>
        <w:rPr>
          <w:rFonts w:ascii="Arial" w:cs="Arial" w:eastAsia="Arial" w:hAnsi="Arial"/>
          <w:sz w:val="20"/>
          <w:szCs w:val="20"/>
          <w:color w:val="auto"/>
        </w:rPr>
      </w:pPr>
      <w:r>
        <w:rPr>
          <w:rFonts w:ascii="Arial" w:cs="Arial" w:eastAsia="Arial" w:hAnsi="Arial"/>
          <w:sz w:val="12"/>
          <w:szCs w:val="12"/>
          <w:color w:val="auto"/>
        </w:rPr>
        <w:t xml:space="preserve">* </w:t>
      </w:r>
      <w:r>
        <w:rPr>
          <w:rFonts w:ascii="Arial" w:cs="Arial" w:eastAsia="Arial" w:hAnsi="Arial"/>
          <w:sz w:val="19"/>
          <w:szCs w:val="19"/>
          <w:color w:val="auto"/>
        </w:rPr>
        <w:t>To the extent any capitalized term used in this Agreement is not defined, it has the meaning assigned to it in the Plan as the Plan currently</w:t>
      </w:r>
      <w:r>
        <w:rPr>
          <w:rFonts w:ascii="Arial" w:cs="Arial" w:eastAsia="Arial" w:hAnsi="Arial"/>
          <w:sz w:val="12"/>
          <w:szCs w:val="12"/>
          <w:color w:val="auto"/>
        </w:rPr>
        <w:t xml:space="preserve"> </w:t>
      </w:r>
      <w:r>
        <w:rPr>
          <w:rFonts w:ascii="Arial" w:cs="Arial" w:eastAsia="Arial" w:hAnsi="Arial"/>
          <w:sz w:val="19"/>
          <w:szCs w:val="19"/>
          <w:color w:val="auto"/>
        </w:rPr>
        <w:t>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1714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71" w:name="page72"/>
    <w:bookmarkEnd w:id="71"/>
    <w:p>
      <w:pPr>
        <w:ind w:left="860" w:hanging="424"/>
        <w:spacing w:after="0"/>
        <w:tabs>
          <w:tab w:leader="none" w:pos="860" w:val="left"/>
        </w:tabs>
        <w:numPr>
          <w:ilvl w:val="1"/>
          <w:numId w:val="53"/>
        </w:numPr>
        <w:rPr>
          <w:rFonts w:ascii="Arial" w:cs="Arial" w:eastAsia="Arial" w:hAnsi="Arial"/>
          <w:sz w:val="20"/>
          <w:szCs w:val="20"/>
          <w:color w:val="auto"/>
        </w:rPr>
      </w:pPr>
      <w:r>
        <w:rPr>
          <w:rFonts w:ascii="Arial" w:cs="Arial" w:eastAsia="Arial" w:hAnsi="Arial"/>
          <w:sz w:val="20"/>
          <w:szCs w:val="20"/>
          <w:color w:val="auto"/>
        </w:rPr>
        <w:t>the date (if any) fixed for cancellation of this Option pursuant to Section 12(b)(2) or 12(d) of the Plan; or</w:t>
      </w:r>
    </w:p>
    <w:p>
      <w:pPr>
        <w:spacing w:after="0" w:line="242" w:lineRule="exact"/>
        <w:rPr>
          <w:rFonts w:ascii="Arial" w:cs="Arial" w:eastAsia="Arial" w:hAnsi="Arial"/>
          <w:sz w:val="20"/>
          <w:szCs w:val="20"/>
          <w:color w:val="auto"/>
        </w:rPr>
      </w:pPr>
    </w:p>
    <w:p>
      <w:pPr>
        <w:ind w:left="1080" w:right="20" w:hanging="644"/>
        <w:spacing w:after="0" w:line="260" w:lineRule="auto"/>
        <w:tabs>
          <w:tab w:leader="none" w:pos="935" w:val="left"/>
        </w:tabs>
        <w:numPr>
          <w:ilvl w:val="1"/>
          <w:numId w:val="53"/>
        </w:numPr>
        <w:rPr>
          <w:rFonts w:ascii="Arial" w:cs="Arial" w:eastAsia="Arial" w:hAnsi="Arial"/>
          <w:sz w:val="20"/>
          <w:szCs w:val="20"/>
          <w:color w:val="auto"/>
        </w:rPr>
      </w:pPr>
      <w:r>
        <w:rPr>
          <w:rFonts w:ascii="Arial" w:cs="Arial" w:eastAsia="Arial" w:hAnsi="Arial"/>
          <w:sz w:val="20"/>
          <w:szCs w:val="20"/>
          <w:color w:val="auto"/>
        </w:rPr>
        <w:t>the expiration of any applicable period specified in any other written agreement you have with the Company providing for accelerated vesting and exercisability.</w:t>
      </w:r>
    </w:p>
    <w:p>
      <w:pPr>
        <w:spacing w:after="0" w:line="197" w:lineRule="exact"/>
        <w:rPr>
          <w:rFonts w:ascii="Arial" w:cs="Arial" w:eastAsia="Arial" w:hAnsi="Arial"/>
          <w:sz w:val="20"/>
          <w:szCs w:val="20"/>
          <w:color w:val="auto"/>
        </w:rPr>
      </w:pPr>
    </w:p>
    <w:p>
      <w:pPr>
        <w:jc w:val="both"/>
        <w:ind w:left="440" w:hanging="328"/>
        <w:spacing w:after="0" w:line="248" w:lineRule="auto"/>
        <w:tabs>
          <w:tab w:leader="none" w:pos="584" w:val="left"/>
        </w:tabs>
        <w:numPr>
          <w:ilvl w:val="0"/>
          <w:numId w:val="54"/>
        </w:numPr>
        <w:rPr>
          <w:rFonts w:ascii="Arial" w:cs="Arial" w:eastAsia="Arial" w:hAnsi="Arial"/>
          <w:sz w:val="20"/>
          <w:szCs w:val="20"/>
          <w:color w:val="auto"/>
        </w:rPr>
      </w:pPr>
      <w:r>
        <w:rPr>
          <w:rFonts w:ascii="Arial" w:cs="Arial" w:eastAsia="Arial" w:hAnsi="Arial"/>
          <w:sz w:val="20"/>
          <w:szCs w:val="20"/>
          <w:b w:val="1"/>
          <w:bCs w:val="1"/>
          <w:u w:val="single" w:color="auto"/>
          <w:color w:val="auto"/>
        </w:rPr>
        <w:t>Service Requirement</w:t>
      </w:r>
      <w:r>
        <w:rPr>
          <w:rFonts w:ascii="Arial" w:cs="Arial" w:eastAsia="Arial" w:hAnsi="Arial"/>
          <w:sz w:val="20"/>
          <w:szCs w:val="20"/>
          <w:color w:val="auto"/>
        </w:rPr>
        <w:t>. Except as otherwise provided in Section 6 of this Agreement or Section 6(e) of the Plan, and as may</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be provided by action of the Committee in accordance with Sections 12(b)(3) or 12(c) of the Plan, this Option may be exercised only while you continue to provide Service to the Company or an Affiliate as a Service Provider, and only if you have continuously provided such Service since the date this Option was granted.</w:t>
      </w:r>
    </w:p>
    <w:p>
      <w:pPr>
        <w:spacing w:after="0" w:line="210" w:lineRule="exact"/>
        <w:rPr>
          <w:rFonts w:ascii="Arial" w:cs="Arial" w:eastAsia="Arial" w:hAnsi="Arial"/>
          <w:sz w:val="20"/>
          <w:szCs w:val="20"/>
          <w:color w:val="auto"/>
        </w:rPr>
      </w:pPr>
    </w:p>
    <w:p>
      <w:pPr>
        <w:jc w:val="both"/>
        <w:ind w:left="440" w:hanging="328"/>
        <w:spacing w:after="0" w:line="255" w:lineRule="auto"/>
        <w:tabs>
          <w:tab w:leader="none" w:pos="557" w:val="left"/>
        </w:tabs>
        <w:numPr>
          <w:ilvl w:val="0"/>
          <w:numId w:val="54"/>
        </w:numPr>
        <w:rPr>
          <w:rFonts w:ascii="Arial" w:cs="Arial" w:eastAsia="Arial" w:hAnsi="Arial"/>
          <w:sz w:val="19"/>
          <w:szCs w:val="19"/>
          <w:color w:val="auto"/>
        </w:rPr>
      </w:pPr>
      <w:r>
        <w:rPr>
          <w:rFonts w:ascii="Arial" w:cs="Arial" w:eastAsia="Arial" w:hAnsi="Arial"/>
          <w:sz w:val="19"/>
          <w:szCs w:val="19"/>
          <w:b w:val="1"/>
          <w:bCs w:val="1"/>
          <w:u w:val="single" w:color="auto"/>
          <w:color w:val="auto"/>
        </w:rPr>
        <w:t>Retirement</w:t>
      </w:r>
      <w:r>
        <w:rPr>
          <w:rFonts w:ascii="Arial" w:cs="Arial" w:eastAsia="Arial" w:hAnsi="Arial"/>
          <w:sz w:val="19"/>
          <w:szCs w:val="19"/>
          <w:color w:val="auto"/>
        </w:rPr>
        <w:t>. Notwithstanding Section 5 of this Agreement, vesting of this Option will continue in accordance with the vesting</w:t>
      </w:r>
      <w:r>
        <w:rPr>
          <w:rFonts w:ascii="Arial" w:cs="Arial" w:eastAsia="Arial" w:hAnsi="Arial"/>
          <w:sz w:val="19"/>
          <w:szCs w:val="19"/>
          <w:b w:val="1"/>
          <w:bCs w:val="1"/>
          <w:color w:val="auto"/>
        </w:rPr>
        <w:t xml:space="preserve"> </w:t>
      </w:r>
      <w:r>
        <w:rPr>
          <w:rFonts w:ascii="Arial" w:cs="Arial" w:eastAsia="Arial" w:hAnsi="Arial"/>
          <w:sz w:val="19"/>
          <w:szCs w:val="19"/>
          <w:color w:val="auto"/>
        </w:rPr>
        <w:t>schedule specified on the cover page to this Agreement if your employment with the Company or any Affiliate terminates because of your Retirement and the following conditions are satisfied: (a) you commenced discussions with the Company’s Chief Executive Officer or most senior human resources executive regarding your retirement from employment at least 12 full months prior to the date your employment terminates (the “Retirement Date”) and (b) during the period beginning on your Retirement Date and ending on the final day of the vesting schedule specified on the cover page, you: (i) continue to be available to provide Service as requested and (ii) do not become employed by or otherwise provide paid services to any other entity or organization; provided, however, that you may be permitted to serve as an independent director on the board of directors for one or more entities that are not competitive with the Company’s business so long as any such service as an independent director is reviewed and approved in advance by the Committee. For the avoidance of doubt, if you fail to comply with the conditions in this Section 6, you will forfeit the unvested portion of this Option. Upon your retirement in accordance with the Retirement Conditions, this Option may be exercised only until the 12month anniversary of the date that the final portion of this Option vests, as set forth in the vesting schedule on the cover page to this Agreement.</w:t>
      </w:r>
    </w:p>
    <w:p>
      <w:pPr>
        <w:spacing w:after="0" w:line="215" w:lineRule="exact"/>
        <w:rPr>
          <w:sz w:val="20"/>
          <w:szCs w:val="20"/>
          <w:color w:val="auto"/>
        </w:rPr>
      </w:pPr>
    </w:p>
    <w:p>
      <w:pPr>
        <w:jc w:val="both"/>
        <w:ind w:left="440"/>
        <w:spacing w:after="0" w:line="269" w:lineRule="auto"/>
        <w:rPr>
          <w:sz w:val="20"/>
          <w:szCs w:val="20"/>
          <w:color w:val="auto"/>
        </w:rPr>
      </w:pPr>
      <w:r>
        <w:rPr>
          <w:rFonts w:ascii="Arial" w:cs="Arial" w:eastAsia="Arial" w:hAnsi="Arial"/>
          <w:sz w:val="19"/>
          <w:szCs w:val="19"/>
          <w:color w:val="auto"/>
        </w:rPr>
        <w:t>For purposes of this Award, “Retirement” means the termination of your employment when (1) you are age 55 or older and have at least five years of continuous Service as an employee (which must be immediately preceding the Retirement Date) and (2) the sum of your age as of the date of your termination plus your years of Service as an employee equals at least 75.</w:t>
      </w:r>
    </w:p>
    <w:p>
      <w:pPr>
        <w:spacing w:after="0" w:line="191" w:lineRule="exact"/>
        <w:rPr>
          <w:sz w:val="20"/>
          <w:szCs w:val="20"/>
          <w:color w:val="auto"/>
        </w:rPr>
      </w:pPr>
    </w:p>
    <w:p>
      <w:pPr>
        <w:jc w:val="both"/>
        <w:ind w:left="440" w:hanging="328"/>
        <w:spacing w:after="0" w:line="248" w:lineRule="auto"/>
        <w:tabs>
          <w:tab w:leader="none" w:pos="557" w:val="left"/>
        </w:tabs>
        <w:numPr>
          <w:ilvl w:val="0"/>
          <w:numId w:val="55"/>
        </w:numPr>
        <w:rPr>
          <w:rFonts w:ascii="Arial" w:cs="Arial" w:eastAsia="Arial" w:hAnsi="Arial"/>
          <w:sz w:val="20"/>
          <w:szCs w:val="20"/>
          <w:color w:val="auto"/>
        </w:rPr>
      </w:pPr>
      <w:r>
        <w:rPr>
          <w:rFonts w:ascii="Arial" w:cs="Arial" w:eastAsia="Arial" w:hAnsi="Arial"/>
          <w:sz w:val="20"/>
          <w:szCs w:val="20"/>
          <w:b w:val="1"/>
          <w:bCs w:val="1"/>
          <w:u w:val="single" w:color="auto"/>
          <w:color w:val="auto"/>
        </w:rPr>
        <w:t>Leave of Absence</w:t>
      </w:r>
      <w:r>
        <w:rPr>
          <w:rFonts w:ascii="Arial" w:cs="Arial" w:eastAsia="Arial" w:hAnsi="Arial"/>
          <w:sz w:val="20"/>
          <w:szCs w:val="20"/>
          <w:color w:val="auto"/>
        </w:rPr>
        <w:t>. Your Service will be deemed continuing while you are on a leave of absence approved by the Company in</w:t>
      </w:r>
      <w:r>
        <w:rPr>
          <w:rFonts w:ascii="Arial" w:cs="Arial" w:eastAsia="Arial" w:hAnsi="Arial"/>
          <w:sz w:val="20"/>
          <w:szCs w:val="20"/>
          <w:b w:val="1"/>
          <w:bCs w:val="1"/>
          <w:color w:val="auto"/>
        </w:rPr>
        <w:t xml:space="preserve"> </w:t>
      </w:r>
      <w:r>
        <w:rPr>
          <w:rFonts w:ascii="Arial" w:cs="Arial" w:eastAsia="Arial" w:hAnsi="Arial"/>
          <w:sz w:val="20"/>
          <w:szCs w:val="20"/>
          <w:color w:val="auto"/>
        </w:rPr>
        <w:t>writing or guaranteed by applicable law or other written agreement you have entered into with the Company (an “Approved Leave”). If you do not resume providing Service following your Approved Leave, your Service will be deemed to have terminated upon the expiration of the Approved Leave.</w:t>
      </w:r>
    </w:p>
    <w:p>
      <w:pPr>
        <w:spacing w:after="0" w:line="210" w:lineRule="exact"/>
        <w:rPr>
          <w:rFonts w:ascii="Arial" w:cs="Arial" w:eastAsia="Arial" w:hAnsi="Arial"/>
          <w:sz w:val="20"/>
          <w:szCs w:val="20"/>
          <w:color w:val="auto"/>
        </w:rPr>
      </w:pPr>
    </w:p>
    <w:p>
      <w:pPr>
        <w:jc w:val="both"/>
        <w:ind w:left="440" w:hanging="328"/>
        <w:spacing w:after="0" w:line="245" w:lineRule="auto"/>
        <w:tabs>
          <w:tab w:leader="none" w:pos="516" w:val="left"/>
        </w:tabs>
        <w:numPr>
          <w:ilvl w:val="0"/>
          <w:numId w:val="55"/>
        </w:numPr>
        <w:rPr>
          <w:rFonts w:ascii="Arial" w:cs="Arial" w:eastAsia="Arial" w:hAnsi="Arial"/>
          <w:sz w:val="20"/>
          <w:szCs w:val="20"/>
          <w:color w:val="auto"/>
        </w:rPr>
      </w:pPr>
      <w:r>
        <w:rPr>
          <w:rFonts w:ascii="Arial" w:cs="Arial" w:eastAsia="Arial" w:hAnsi="Arial"/>
          <w:sz w:val="20"/>
          <w:szCs w:val="20"/>
          <w:b w:val="1"/>
          <w:bCs w:val="1"/>
          <w:u w:val="single" w:color="auto"/>
          <w:color w:val="auto"/>
        </w:rPr>
        <w:t>Exercise of Option</w:t>
      </w:r>
      <w:r>
        <w:rPr>
          <w:rFonts w:ascii="Arial" w:cs="Arial" w:eastAsia="Arial" w:hAnsi="Arial"/>
          <w:sz w:val="20"/>
          <w:szCs w:val="20"/>
          <w:color w:val="auto"/>
        </w:rPr>
        <w:t>. Subject to Section 5 of this Agreement and to the Company’s policies governing trading in its securities, the</w:t>
      </w:r>
      <w:r>
        <w:rPr>
          <w:rFonts w:ascii="Arial" w:cs="Arial" w:eastAsia="Arial" w:hAnsi="Arial"/>
          <w:sz w:val="20"/>
          <w:szCs w:val="20"/>
          <w:b w:val="1"/>
          <w:bCs w:val="1"/>
          <w:color w:val="auto"/>
        </w:rPr>
        <w:t xml:space="preserve"> </w:t>
      </w:r>
      <w:r>
        <w:rPr>
          <w:rFonts w:ascii="Arial" w:cs="Arial" w:eastAsia="Arial" w:hAnsi="Arial"/>
          <w:sz w:val="20"/>
          <w:szCs w:val="20"/>
          <w:color w:val="auto"/>
        </w:rPr>
        <w:t>vested and exercisable portion of this Option may be exercised through use of the account maintained for you at E*TRADE or another automated electronic platform approved by the Company or through delivery to the Company’s Stock Administration office of written notification of exercise that states the number of Shares to be purchased and is signed or otherwise authenticated by the person exercising this Option. If the person exercising this Option is not the Optionee, he or she also must submit appropriate proof of his or her right to exercise this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020"/>
          </w:cols>
          <w:pgMar w:left="540" w:top="1419" w:right="339" w:bottom="1440" w:gutter="0" w:footer="0" w:header="0"/>
        </w:sectPr>
      </w:pPr>
    </w:p>
    <w:bookmarkStart w:id="72" w:name="page73"/>
    <w:bookmarkEnd w:id="72"/>
    <w:p>
      <w:pPr>
        <w:spacing w:after="0" w:line="216" w:lineRule="exact"/>
        <w:rPr>
          <w:sz w:val="20"/>
          <w:szCs w:val="20"/>
          <w:color w:val="auto"/>
        </w:rPr>
      </w:pPr>
    </w:p>
    <w:p>
      <w:pPr>
        <w:ind w:left="454" w:right="20" w:hanging="328"/>
        <w:spacing w:after="0" w:line="293" w:lineRule="auto"/>
        <w:tabs>
          <w:tab w:leader="none" w:pos="517" w:val="left"/>
        </w:tabs>
        <w:numPr>
          <w:ilvl w:val="3"/>
          <w:numId w:val="56"/>
        </w:numPr>
        <w:rPr>
          <w:rFonts w:ascii="Arial" w:cs="Arial" w:eastAsia="Arial" w:hAnsi="Arial"/>
          <w:sz w:val="19"/>
          <w:szCs w:val="19"/>
          <w:color w:val="auto"/>
        </w:rPr>
      </w:pPr>
      <w:r>
        <w:rPr>
          <w:rFonts w:ascii="Arial" w:cs="Arial" w:eastAsia="Arial" w:hAnsi="Arial"/>
          <w:sz w:val="19"/>
          <w:szCs w:val="19"/>
          <w:b w:val="1"/>
          <w:bCs w:val="1"/>
          <w:u w:val="single" w:color="auto"/>
          <w:color w:val="auto"/>
        </w:rPr>
        <w:t>Payment of Exercise Price</w:t>
      </w:r>
      <w:r>
        <w:rPr>
          <w:rFonts w:ascii="Arial" w:cs="Arial" w:eastAsia="Arial" w:hAnsi="Arial"/>
          <w:sz w:val="19"/>
          <w:szCs w:val="19"/>
          <w:color w:val="auto"/>
        </w:rPr>
        <w:t>. When you submit your notice of exercise pursuant to Section 8 of this Agreement, you must include</w:t>
      </w:r>
      <w:r>
        <w:rPr>
          <w:rFonts w:ascii="Arial" w:cs="Arial" w:eastAsia="Arial" w:hAnsi="Arial"/>
          <w:sz w:val="19"/>
          <w:szCs w:val="19"/>
          <w:b w:val="1"/>
          <w:bCs w:val="1"/>
          <w:color w:val="auto"/>
        </w:rPr>
        <w:t xml:space="preserve"> </w:t>
      </w:r>
      <w:r>
        <w:rPr>
          <w:rFonts w:ascii="Arial" w:cs="Arial" w:eastAsia="Arial" w:hAnsi="Arial"/>
          <w:sz w:val="19"/>
          <w:szCs w:val="19"/>
          <w:color w:val="auto"/>
        </w:rPr>
        <w:t>payment of the exercise price of the Shares being purchased through one or a combination of the following methods:</w:t>
      </w:r>
    </w:p>
    <w:p>
      <w:pPr>
        <w:spacing w:after="0" w:line="174" w:lineRule="exact"/>
        <w:rPr>
          <w:rFonts w:ascii="Arial" w:cs="Arial" w:eastAsia="Arial" w:hAnsi="Arial"/>
          <w:sz w:val="19"/>
          <w:szCs w:val="19"/>
          <w:color w:val="auto"/>
        </w:rPr>
      </w:pPr>
    </w:p>
    <w:p>
      <w:pPr>
        <w:ind w:left="414" w:hanging="414"/>
        <w:spacing w:after="0"/>
        <w:tabs>
          <w:tab w:leader="none" w:pos="414" w:val="left"/>
        </w:tabs>
        <w:numPr>
          <w:ilvl w:val="0"/>
          <w:numId w:val="57"/>
        </w:numPr>
        <w:rPr>
          <w:rFonts w:ascii="Arial" w:cs="Arial" w:eastAsia="Arial" w:hAnsi="Arial"/>
          <w:sz w:val="20"/>
          <w:szCs w:val="20"/>
          <w:color w:val="auto"/>
        </w:rPr>
      </w:pPr>
      <w:r>
        <w:rPr>
          <w:rFonts w:ascii="Arial" w:cs="Arial" w:eastAsia="Arial" w:hAnsi="Arial"/>
          <w:sz w:val="20"/>
          <w:szCs w:val="20"/>
          <w:color w:val="auto"/>
        </w:rPr>
        <w:t>your personal check, a cashier’s check or money order;</w:t>
      </w:r>
    </w:p>
    <w:p>
      <w:pPr>
        <w:spacing w:after="0" w:line="242" w:lineRule="exact"/>
        <w:rPr>
          <w:rFonts w:ascii="Arial" w:cs="Arial" w:eastAsia="Arial" w:hAnsi="Arial"/>
          <w:sz w:val="20"/>
          <w:szCs w:val="20"/>
          <w:color w:val="auto"/>
        </w:rPr>
      </w:pPr>
    </w:p>
    <w:p>
      <w:pPr>
        <w:ind w:left="934" w:hanging="916"/>
        <w:spacing w:after="0" w:line="246" w:lineRule="auto"/>
        <w:tabs>
          <w:tab w:leader="none" w:pos="464" w:val="left"/>
        </w:tabs>
        <w:numPr>
          <w:ilvl w:val="1"/>
          <w:numId w:val="57"/>
        </w:numPr>
        <w:rPr>
          <w:rFonts w:ascii="Arial" w:cs="Arial" w:eastAsia="Arial" w:hAnsi="Arial"/>
          <w:sz w:val="20"/>
          <w:szCs w:val="20"/>
          <w:color w:val="auto"/>
        </w:rPr>
      </w:pPr>
      <w:r>
        <w:rPr>
          <w:rFonts w:ascii="Arial" w:cs="Arial" w:eastAsia="Arial" w:hAnsi="Arial"/>
          <w:sz w:val="20"/>
          <w:szCs w:val="20"/>
          <w:color w:val="auto"/>
        </w:rPr>
        <w:t>to the extent permitted by law, a broker-assisted cashless exercise in which you irrevocably instruct a broker to deliver proceeds of a sale of all or a portion of the Shares for which the Option is being exercised to the Company in payment of the exercise price of such Shares, and, to the extent consistent with Section 10 of this Agreement, in payment of Tax-Related Items (as defined below);</w:t>
      </w:r>
    </w:p>
    <w:p>
      <w:pPr>
        <w:spacing w:after="0" w:line="218" w:lineRule="exact"/>
        <w:rPr>
          <w:rFonts w:ascii="Arial" w:cs="Arial" w:eastAsia="Arial" w:hAnsi="Arial"/>
          <w:sz w:val="20"/>
          <w:szCs w:val="20"/>
          <w:color w:val="auto"/>
        </w:rPr>
      </w:pPr>
    </w:p>
    <w:p>
      <w:pPr>
        <w:ind w:left="934" w:hanging="891"/>
        <w:spacing w:after="0" w:line="260" w:lineRule="auto"/>
        <w:tabs>
          <w:tab w:leader="none" w:pos="501" w:val="left"/>
        </w:tabs>
        <w:numPr>
          <w:ilvl w:val="2"/>
          <w:numId w:val="57"/>
        </w:numPr>
        <w:rPr>
          <w:rFonts w:ascii="Arial" w:cs="Arial" w:eastAsia="Arial" w:hAnsi="Arial"/>
          <w:sz w:val="20"/>
          <w:szCs w:val="20"/>
          <w:color w:val="auto"/>
        </w:rPr>
      </w:pPr>
      <w:r>
        <w:rPr>
          <w:rFonts w:ascii="Arial" w:cs="Arial" w:eastAsia="Arial" w:hAnsi="Arial"/>
          <w:sz w:val="20"/>
          <w:szCs w:val="20"/>
          <w:color w:val="auto"/>
        </w:rPr>
        <w:t>by delivery to the Company or its designated agent of unencumbered Shares having an aggregate Fair Market Value on the date of exercise equal to the exercise price of the Shares for which the Option is being exercised; or</w:t>
      </w:r>
    </w:p>
    <w:p>
      <w:pPr>
        <w:spacing w:after="0" w:line="204" w:lineRule="exact"/>
        <w:rPr>
          <w:sz w:val="20"/>
          <w:szCs w:val="20"/>
          <w:color w:val="auto"/>
        </w:rPr>
      </w:pPr>
    </w:p>
    <w:p>
      <w:pPr>
        <w:ind w:left="934" w:hanging="844"/>
        <w:spacing w:after="0" w:line="250" w:lineRule="auto"/>
        <w:tabs>
          <w:tab w:leader="none" w:pos="608" w:val="left"/>
        </w:tabs>
        <w:numPr>
          <w:ilvl w:val="0"/>
          <w:numId w:val="58"/>
        </w:numPr>
        <w:rPr>
          <w:rFonts w:ascii="Arial" w:cs="Arial" w:eastAsia="Arial" w:hAnsi="Arial"/>
          <w:sz w:val="20"/>
          <w:szCs w:val="20"/>
          <w:color w:val="auto"/>
        </w:rPr>
      </w:pPr>
      <w:r>
        <w:rPr>
          <w:rFonts w:ascii="Arial" w:cs="Arial" w:eastAsia="Arial" w:hAnsi="Arial"/>
          <w:sz w:val="20"/>
          <w:szCs w:val="20"/>
          <w:color w:val="auto"/>
        </w:rPr>
        <w:t>by a reduction in the number of Shares to be delivered to you upon exercise, such number of Shares to be withheld having an aggregate Fair Market Value on the date of exercise equal to the exercise price of the Shares for which the Option is being exercised.</w:t>
      </w:r>
    </w:p>
    <w:p>
      <w:pPr>
        <w:spacing w:after="0" w:line="213" w:lineRule="exact"/>
        <w:rPr>
          <w:sz w:val="20"/>
          <w:szCs w:val="20"/>
          <w:color w:val="auto"/>
        </w:rPr>
      </w:pPr>
    </w:p>
    <w:p>
      <w:pPr>
        <w:ind w:left="34"/>
        <w:spacing w:after="0"/>
        <w:rPr>
          <w:sz w:val="20"/>
          <w:szCs w:val="20"/>
          <w:color w:val="auto"/>
        </w:rPr>
      </w:pPr>
      <w:r>
        <w:rPr>
          <w:rFonts w:ascii="Arial" w:cs="Arial" w:eastAsia="Arial" w:hAnsi="Arial"/>
          <w:sz w:val="18"/>
          <w:szCs w:val="18"/>
          <w:color w:val="auto"/>
        </w:rPr>
        <w:t>However, if the Committee determines, in any given circumstance, that payment of the exercise price with Shares pursuant to subsection</w:t>
      </w:r>
    </w:p>
    <w:p>
      <w:pPr>
        <w:spacing w:after="0" w:line="39" w:lineRule="exact"/>
        <w:rPr>
          <w:sz w:val="20"/>
          <w:szCs w:val="20"/>
          <w:color w:val="auto"/>
        </w:rPr>
      </w:pPr>
    </w:p>
    <w:p>
      <w:pPr>
        <w:jc w:val="both"/>
        <w:ind w:left="454"/>
        <w:spacing w:after="0" w:line="241" w:lineRule="auto"/>
        <w:rPr>
          <w:sz w:val="20"/>
          <w:szCs w:val="20"/>
          <w:color w:val="auto"/>
        </w:rPr>
      </w:pPr>
      <w:r>
        <w:rPr>
          <w:rFonts w:ascii="Arial" w:cs="Arial" w:eastAsia="Arial" w:hAnsi="Arial"/>
          <w:sz w:val="20"/>
          <w:szCs w:val="20"/>
          <w:color w:val="auto"/>
        </w:rPr>
        <w:t>(c) above or by authorizing the Company to retain Shares pursuant to subsection (d) above is undesirable for any reason, you will not be permitted to pay any portion of the exercise price in that manner. Moreover, if the Committee determines that payment of the exercise price by one of the methods specified above is required or desirable for legal or administrative reasons, you will be required to pay the exercise price by such method.</w:t>
      </w:r>
    </w:p>
    <w:p>
      <w:pPr>
        <w:spacing w:after="0" w:line="215" w:lineRule="exact"/>
        <w:rPr>
          <w:sz w:val="20"/>
          <w:szCs w:val="20"/>
          <w:color w:val="auto"/>
        </w:rPr>
      </w:pPr>
    </w:p>
    <w:p>
      <w:pPr>
        <w:jc w:val="both"/>
        <w:ind w:left="454" w:hanging="328"/>
        <w:spacing w:after="0" w:line="256" w:lineRule="auto"/>
        <w:tabs>
          <w:tab w:leader="none" w:pos="575" w:val="left"/>
        </w:tabs>
        <w:numPr>
          <w:ilvl w:val="0"/>
          <w:numId w:val="59"/>
        </w:numPr>
        <w:rPr>
          <w:rFonts w:ascii="Arial" w:cs="Arial" w:eastAsia="Arial" w:hAnsi="Arial"/>
          <w:sz w:val="19"/>
          <w:szCs w:val="19"/>
          <w:color w:val="auto"/>
        </w:rPr>
      </w:pPr>
      <w:r>
        <w:rPr>
          <w:rFonts w:ascii="Arial" w:cs="Arial" w:eastAsia="Arial" w:hAnsi="Arial"/>
          <w:sz w:val="19"/>
          <w:szCs w:val="19"/>
          <w:b w:val="1"/>
          <w:bCs w:val="1"/>
          <w:u w:val="single" w:color="auto"/>
          <w:color w:val="auto"/>
        </w:rPr>
        <w:t>Tax Consequences and Withholding</w:t>
      </w:r>
      <w:r>
        <w:rPr>
          <w:rFonts w:ascii="Arial" w:cs="Arial" w:eastAsia="Arial" w:hAnsi="Arial"/>
          <w:sz w:val="19"/>
          <w:szCs w:val="19"/>
          <w:color w:val="auto"/>
        </w:rPr>
        <w:t>. You acknowledge that, regardless of any action taken by the Company, the ultimate liability</w:t>
      </w:r>
      <w:r>
        <w:rPr>
          <w:rFonts w:ascii="Arial" w:cs="Arial" w:eastAsia="Arial" w:hAnsi="Arial"/>
          <w:sz w:val="19"/>
          <w:szCs w:val="19"/>
          <w:b w:val="1"/>
          <w:bCs w:val="1"/>
          <w:color w:val="auto"/>
        </w:rPr>
        <w:t xml:space="preserve"> </w:t>
      </w:r>
      <w:r>
        <w:rPr>
          <w:rFonts w:ascii="Arial" w:cs="Arial" w:eastAsia="Arial" w:hAnsi="Arial"/>
          <w:sz w:val="19"/>
          <w:szCs w:val="19"/>
          <w:color w:val="auto"/>
        </w:rPr>
        <w:t>for all income tax, social insurance, payroll tax, payment on account, or other tax-related items related to your participation in the Plan and legally applicable to you (the “Tax-Related Items”) is and remains your responsibility and may exceed the amount, if any, actually withheld by the Company. You further acknowledge that the Company (a) makes no representations or undertakings regarding the treatment of any Tax-Related Items in connection with any aspect of the Option, including but not limited, the grant, vesting or exercise of the Option or subsequent sale of Shares acquired at exercise, and (b) does not commit to and is under no obligation to structure the terms of the grant or any aspect of the Option to reduce or eliminate your liability for Tax-Related Items or achieve any particular tax result. Further, if you are subject to Tax-Related Items in more than one jurisdiction, you acknowledge that the Company (or your employer, if different) may be required to withhold or account for Tax-Related Items in more than one jurisdiction.</w:t>
      </w:r>
    </w:p>
    <w:p>
      <w:pPr>
        <w:spacing w:after="0" w:line="213" w:lineRule="exact"/>
        <w:rPr>
          <w:sz w:val="20"/>
          <w:szCs w:val="20"/>
          <w:color w:val="auto"/>
        </w:rPr>
      </w:pPr>
    </w:p>
    <w:p>
      <w:pPr>
        <w:jc w:val="both"/>
        <w:ind w:left="454"/>
        <w:spacing w:after="0" w:line="250" w:lineRule="auto"/>
        <w:rPr>
          <w:sz w:val="20"/>
          <w:szCs w:val="20"/>
          <w:color w:val="auto"/>
        </w:rPr>
      </w:pPr>
      <w:r>
        <w:rPr>
          <w:rFonts w:ascii="Arial" w:cs="Arial" w:eastAsia="Arial" w:hAnsi="Arial"/>
          <w:sz w:val="20"/>
          <w:szCs w:val="20"/>
          <w:color w:val="auto"/>
        </w:rPr>
        <w:t>Prior to any relevant taxable or tax withholding event, as applicable, you agree to make arrangements acceptable to the Company to satisfy all Tax-Related Items. In this regard, you authorize the Company (or its agent), at its discretion, to satisfy any withholding obligation for the Tax-Related Items by one of the following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4"/>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034"/>
          </w:cols>
          <w:pgMar w:left="526" w:top="1440" w:right="339" w:bottom="1440" w:gutter="0" w:footer="0" w:header="0"/>
        </w:sectPr>
      </w:pPr>
    </w:p>
    <w:bookmarkStart w:id="73" w:name="page74"/>
    <w:bookmarkEnd w:id="73"/>
    <w:p>
      <w:pPr>
        <w:ind w:left="440" w:hanging="4"/>
        <w:spacing w:after="0" w:line="287" w:lineRule="auto"/>
        <w:tabs>
          <w:tab w:leader="none" w:pos="692" w:val="left"/>
        </w:tabs>
        <w:numPr>
          <w:ilvl w:val="0"/>
          <w:numId w:val="60"/>
        </w:numPr>
        <w:rPr>
          <w:rFonts w:ascii="Arial" w:cs="Arial" w:eastAsia="Arial" w:hAnsi="Arial"/>
          <w:sz w:val="19"/>
          <w:szCs w:val="19"/>
          <w:color w:val="auto"/>
        </w:rPr>
      </w:pPr>
      <w:r>
        <w:rPr>
          <w:rFonts w:ascii="Arial" w:cs="Arial" w:eastAsia="Arial" w:hAnsi="Arial"/>
          <w:sz w:val="19"/>
          <w:szCs w:val="19"/>
          <w:color w:val="auto"/>
        </w:rPr>
        <w:t>withholding from proceeds of the sale of Shares acquired at exercise of the Option either through a voluntary sale or through a mandatory sale arranged by the Company (on your behalf pursuant to this authorization without further consent);</w:t>
      </w:r>
    </w:p>
    <w:p>
      <w:pPr>
        <w:spacing w:after="0" w:line="152" w:lineRule="exact"/>
        <w:rPr>
          <w:rFonts w:ascii="Arial" w:cs="Arial" w:eastAsia="Arial" w:hAnsi="Arial"/>
          <w:sz w:val="19"/>
          <w:szCs w:val="19"/>
          <w:color w:val="auto"/>
        </w:rPr>
      </w:pPr>
    </w:p>
    <w:p>
      <w:pPr>
        <w:ind w:left="440" w:hanging="4"/>
        <w:spacing w:after="0" w:line="260" w:lineRule="auto"/>
        <w:tabs>
          <w:tab w:leader="none" w:pos="751" w:val="left"/>
        </w:tabs>
        <w:numPr>
          <w:ilvl w:val="0"/>
          <w:numId w:val="60"/>
        </w:numPr>
        <w:rPr>
          <w:rFonts w:ascii="Arial" w:cs="Arial" w:eastAsia="Arial" w:hAnsi="Arial"/>
          <w:sz w:val="20"/>
          <w:szCs w:val="20"/>
          <w:color w:val="auto"/>
        </w:rPr>
      </w:pPr>
      <w:r>
        <w:rPr>
          <w:rFonts w:ascii="Arial" w:cs="Arial" w:eastAsia="Arial" w:hAnsi="Arial"/>
          <w:sz w:val="20"/>
          <w:szCs w:val="20"/>
          <w:color w:val="auto"/>
        </w:rPr>
        <w:t>delivery of your authorization to E*TRADE (or another broker designated by the Company) to transfer to the Company from your account at such broker the amount of such Tax-Related Items;</w:t>
      </w:r>
    </w:p>
    <w:p>
      <w:pPr>
        <w:spacing w:after="0" w:line="176" w:lineRule="exact"/>
        <w:rPr>
          <w:rFonts w:ascii="Arial" w:cs="Arial" w:eastAsia="Arial" w:hAnsi="Arial"/>
          <w:sz w:val="20"/>
          <w:szCs w:val="20"/>
          <w:color w:val="auto"/>
        </w:rPr>
      </w:pPr>
    </w:p>
    <w:p>
      <w:pPr>
        <w:ind w:left="780" w:hanging="344"/>
        <w:spacing w:after="0"/>
        <w:tabs>
          <w:tab w:leader="none" w:pos="780" w:val="left"/>
        </w:tabs>
        <w:numPr>
          <w:ilvl w:val="0"/>
          <w:numId w:val="60"/>
        </w:numPr>
        <w:rPr>
          <w:rFonts w:ascii="Arial" w:cs="Arial" w:eastAsia="Arial" w:hAnsi="Arial"/>
          <w:sz w:val="20"/>
          <w:szCs w:val="20"/>
          <w:color w:val="auto"/>
        </w:rPr>
      </w:pPr>
      <w:r>
        <w:rPr>
          <w:rFonts w:ascii="Arial" w:cs="Arial" w:eastAsia="Arial" w:hAnsi="Arial"/>
          <w:sz w:val="20"/>
          <w:szCs w:val="20"/>
          <w:color w:val="auto"/>
        </w:rPr>
        <w:t>withholding from your wages or other cash compensation paid to you by the Company; and/or</w:t>
      </w:r>
    </w:p>
    <w:p>
      <w:pPr>
        <w:spacing w:after="0" w:line="215" w:lineRule="exact"/>
        <w:rPr>
          <w:rFonts w:ascii="Arial" w:cs="Arial" w:eastAsia="Arial" w:hAnsi="Arial"/>
          <w:sz w:val="20"/>
          <w:szCs w:val="20"/>
          <w:color w:val="auto"/>
        </w:rPr>
      </w:pPr>
    </w:p>
    <w:p>
      <w:pPr>
        <w:ind w:left="780" w:hanging="344"/>
        <w:spacing w:after="0"/>
        <w:tabs>
          <w:tab w:leader="none" w:pos="780" w:val="left"/>
        </w:tabs>
        <w:numPr>
          <w:ilvl w:val="0"/>
          <w:numId w:val="60"/>
        </w:numPr>
        <w:rPr>
          <w:rFonts w:ascii="Arial" w:cs="Arial" w:eastAsia="Arial" w:hAnsi="Arial"/>
          <w:sz w:val="20"/>
          <w:szCs w:val="20"/>
          <w:color w:val="auto"/>
        </w:rPr>
      </w:pPr>
      <w:r>
        <w:rPr>
          <w:rFonts w:ascii="Arial" w:cs="Arial" w:eastAsia="Arial" w:hAnsi="Arial"/>
          <w:sz w:val="20"/>
          <w:szCs w:val="20"/>
          <w:color w:val="auto"/>
        </w:rPr>
        <w:t>any other method approved by the Company and permitted under applicable law.</w:t>
      </w:r>
    </w:p>
    <w:p>
      <w:pPr>
        <w:spacing w:after="0" w:line="216" w:lineRule="exact"/>
        <w:rPr>
          <w:sz w:val="20"/>
          <w:szCs w:val="20"/>
          <w:color w:val="auto"/>
        </w:rPr>
      </w:pPr>
    </w:p>
    <w:p>
      <w:pPr>
        <w:jc w:val="both"/>
        <w:ind w:left="440"/>
        <w:spacing w:after="0" w:line="246" w:lineRule="auto"/>
        <w:rPr>
          <w:sz w:val="20"/>
          <w:szCs w:val="20"/>
          <w:color w:val="auto"/>
        </w:rPr>
      </w:pPr>
      <w:r>
        <w:rPr>
          <w:rFonts w:ascii="Arial" w:cs="Arial" w:eastAsia="Arial" w:hAnsi="Arial"/>
          <w:sz w:val="20"/>
          <w:szCs w:val="20"/>
          <w:color w:val="auto"/>
        </w:rPr>
        <w:t>Depending on the withholding method and to the extent permitted under the Plan and applicable law, the Company may withhold for Tax-Related Items by considering minimum statutory withholding rates or up to the maximum rate applicable in your jurisdiction. In the event of any over-withholding, you will have no entitlement to the over-withheld amount in Shares and such amounts will be refunded to you in cash in accordance with applicable law.</w:t>
      </w:r>
    </w:p>
    <w:p>
      <w:pPr>
        <w:spacing w:after="0" w:line="191" w:lineRule="exact"/>
        <w:rPr>
          <w:sz w:val="20"/>
          <w:szCs w:val="20"/>
          <w:color w:val="auto"/>
        </w:rPr>
      </w:pPr>
    </w:p>
    <w:p>
      <w:pPr>
        <w:jc w:val="both"/>
        <w:ind w:left="440"/>
        <w:spacing w:after="0" w:line="260" w:lineRule="auto"/>
        <w:rPr>
          <w:sz w:val="20"/>
          <w:szCs w:val="20"/>
          <w:color w:val="auto"/>
        </w:rPr>
      </w:pPr>
      <w:r>
        <w:rPr>
          <w:rFonts w:ascii="Arial" w:cs="Arial" w:eastAsia="Arial" w:hAnsi="Arial"/>
          <w:sz w:val="20"/>
          <w:szCs w:val="20"/>
          <w:color w:val="auto"/>
        </w:rPr>
        <w:t>The Company may refuse to issue or deliver the Shares or the proceeds of the sale of Shares if you fail to comply with your obligations in connection with the Tax-Related Items.</w:t>
      </w:r>
    </w:p>
    <w:p>
      <w:pPr>
        <w:spacing w:after="0" w:line="171" w:lineRule="exact"/>
        <w:rPr>
          <w:sz w:val="20"/>
          <w:szCs w:val="20"/>
          <w:color w:val="auto"/>
        </w:rPr>
      </w:pPr>
    </w:p>
    <w:p>
      <w:pPr>
        <w:jc w:val="both"/>
        <w:ind w:left="440" w:hanging="328"/>
        <w:spacing w:after="0" w:line="260" w:lineRule="auto"/>
        <w:tabs>
          <w:tab w:leader="none" w:pos="554" w:val="left"/>
        </w:tabs>
        <w:numPr>
          <w:ilvl w:val="0"/>
          <w:numId w:val="61"/>
        </w:numPr>
        <w:rPr>
          <w:rFonts w:ascii="Arial" w:cs="Arial" w:eastAsia="Arial" w:hAnsi="Arial"/>
          <w:sz w:val="19"/>
          <w:szCs w:val="19"/>
          <w:color w:val="auto"/>
        </w:rPr>
      </w:pPr>
      <w:r>
        <w:rPr>
          <w:rFonts w:ascii="Arial" w:cs="Arial" w:eastAsia="Arial" w:hAnsi="Arial"/>
          <w:sz w:val="19"/>
          <w:szCs w:val="19"/>
          <w:b w:val="1"/>
          <w:bCs w:val="1"/>
          <w:u w:val="single" w:color="auto"/>
          <w:color w:val="auto"/>
        </w:rPr>
        <w:t>Delivery of Shares</w:t>
      </w:r>
      <w:r>
        <w:rPr>
          <w:rFonts w:ascii="Arial" w:cs="Arial" w:eastAsia="Arial" w:hAnsi="Arial"/>
          <w:sz w:val="19"/>
          <w:szCs w:val="19"/>
          <w:color w:val="auto"/>
        </w:rPr>
        <w:t>. As soon as practicable after the Company receives the notice of exercise and exercise price provided for above</w:t>
      </w:r>
      <w:r>
        <w:rPr>
          <w:rFonts w:ascii="Arial" w:cs="Arial" w:eastAsia="Arial" w:hAnsi="Arial"/>
          <w:sz w:val="19"/>
          <w:szCs w:val="19"/>
          <w:b w:val="1"/>
          <w:bCs w:val="1"/>
          <w:color w:val="auto"/>
        </w:rPr>
        <w:t xml:space="preserve"> </w:t>
      </w:r>
      <w:r>
        <w:rPr>
          <w:rFonts w:ascii="Arial" w:cs="Arial" w:eastAsia="Arial" w:hAnsi="Arial"/>
          <w:sz w:val="19"/>
          <w:szCs w:val="19"/>
          <w:color w:val="auto"/>
        </w:rPr>
        <w:t>and determines that all conditions to exercise and delivery of Shares, including the Tax-Related Items withholding provisions of Section 10 and the compliance provisions of Section 19 of this Agreement, have been satisfied, it will arrange for the delivery of the Shares being purchased. Delivery of the Shares shall be effected by the electronic delivery of the Shares to a brokerage account maintained for you at E*TRADE (or another broker designated by the Company), or by another method provided by the Company. All Shares so issued will be fully paid and nonassessable.</w:t>
      </w:r>
    </w:p>
    <w:p>
      <w:pPr>
        <w:spacing w:after="0" w:line="199" w:lineRule="exact"/>
        <w:rPr>
          <w:rFonts w:ascii="Arial" w:cs="Arial" w:eastAsia="Arial" w:hAnsi="Arial"/>
          <w:sz w:val="19"/>
          <w:szCs w:val="19"/>
          <w:color w:val="auto"/>
        </w:rPr>
      </w:pPr>
    </w:p>
    <w:p>
      <w:pPr>
        <w:jc w:val="both"/>
        <w:ind w:left="440" w:hanging="328"/>
        <w:spacing w:after="0" w:line="274" w:lineRule="auto"/>
        <w:tabs>
          <w:tab w:leader="none" w:pos="575"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of Option</w:t>
      </w:r>
      <w:r>
        <w:rPr>
          <w:rFonts w:ascii="Arial" w:cs="Arial" w:eastAsia="Arial" w:hAnsi="Arial"/>
          <w:sz w:val="18"/>
          <w:szCs w:val="18"/>
          <w:color w:val="auto"/>
        </w:rPr>
        <w:t>. During your lifetime, only you (or your guardian or legal representative in the event of legal incapacity) may</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this Option except in the case of a transfer described below. You may not assign or transfer this Option other than (a) a transfer upon your death in accordance with your will, by the laws of descent and distribution or pursuant to a beneficiary designation submitted in accordance with Section 6(d) of the Plan, (b) pursuant to a qualified domestic relations order, or (c) by gift to any “family member” (as defined in General Instruction A.1(a)(5) to Form S-8 under the Securities Act of 1933). Following any such transfer, this Option shall continue to be subject to the same terms and conditions that were applicable to this Option immediately prior to its transfer and may be exercised by such permitted transferee as and to the extent that this Option has become exercisable and has not terminated in accordance with the provisions of the Plan and this Agreement.</w:t>
      </w:r>
    </w:p>
    <w:p>
      <w:pPr>
        <w:spacing w:after="0" w:line="188" w:lineRule="exact"/>
        <w:rPr>
          <w:rFonts w:ascii="Arial" w:cs="Arial" w:eastAsia="Arial" w:hAnsi="Arial"/>
          <w:sz w:val="18"/>
          <w:szCs w:val="18"/>
          <w:color w:val="auto"/>
        </w:rPr>
      </w:pPr>
    </w:p>
    <w:p>
      <w:pPr>
        <w:jc w:val="both"/>
        <w:ind w:left="440" w:hanging="328"/>
        <w:spacing w:after="0" w:line="285" w:lineRule="auto"/>
        <w:tabs>
          <w:tab w:leader="none" w:pos="588"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No Shareholder Rights Before Delivery of Shares</w:t>
      </w:r>
      <w:r>
        <w:rPr>
          <w:rFonts w:ascii="Arial" w:cs="Arial" w:eastAsia="Arial" w:hAnsi="Arial"/>
          <w:sz w:val="18"/>
          <w:szCs w:val="18"/>
          <w:color w:val="auto"/>
        </w:rPr>
        <w:t>. Neither you nor any permitted transferee of this Option will have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of a shareholder of the Company with respect to any Shares subject to this Option until such Shares have been delivered to you or your permitted transferee pursuant to Section 11 of this Agreement. No adjustments shall be made for dividends or other rights if the applicable record date occurs before such delivery has been effected, except as otherwise described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020"/>
          </w:cols>
          <w:pgMar w:left="540" w:top="1419" w:right="339" w:bottom="1440" w:gutter="0" w:footer="0" w:header="0"/>
        </w:sectPr>
      </w:pPr>
    </w:p>
    <w:bookmarkStart w:id="74" w:name="page75"/>
    <w:bookmarkEnd w:id="74"/>
    <w:p>
      <w:pPr>
        <w:spacing w:after="0" w:line="216" w:lineRule="exact"/>
        <w:rPr>
          <w:sz w:val="20"/>
          <w:szCs w:val="20"/>
          <w:color w:val="auto"/>
        </w:rPr>
      </w:pPr>
    </w:p>
    <w:p>
      <w:pPr>
        <w:jc w:val="both"/>
        <w:ind w:left="440" w:hanging="328"/>
        <w:spacing w:after="0" w:line="253" w:lineRule="auto"/>
        <w:tabs>
          <w:tab w:leader="none" w:pos="561" w:val="left"/>
        </w:tabs>
        <w:numPr>
          <w:ilvl w:val="0"/>
          <w:numId w:val="62"/>
        </w:numPr>
        <w:rPr>
          <w:rFonts w:ascii="Arial" w:cs="Arial" w:eastAsia="Arial" w:hAnsi="Arial"/>
          <w:sz w:val="20"/>
          <w:szCs w:val="20"/>
          <w:color w:val="auto"/>
        </w:rPr>
      </w:pPr>
      <w:r>
        <w:rPr>
          <w:rFonts w:ascii="Arial" w:cs="Arial" w:eastAsia="Arial" w:hAnsi="Arial"/>
          <w:sz w:val="20"/>
          <w:szCs w:val="20"/>
          <w:b w:val="1"/>
          <w:bCs w:val="1"/>
          <w:u w:val="single" w:color="auto"/>
          <w:color w:val="auto"/>
        </w:rPr>
        <w:t>Discontinuance of Service</w:t>
      </w:r>
      <w:r>
        <w:rPr>
          <w:rFonts w:ascii="Arial" w:cs="Arial" w:eastAsia="Arial" w:hAnsi="Arial"/>
          <w:sz w:val="20"/>
          <w:szCs w:val="20"/>
          <w:color w:val="auto"/>
        </w:rPr>
        <w:t>. This Agreement does not give you a right to continued Service with the Company or any Affiliate, and</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or any such Affiliate may terminate your Service at any time and otherwise deal with you without regard to the effect it may have upon you under this Agreement.</w:t>
      </w:r>
    </w:p>
    <w:p>
      <w:pPr>
        <w:spacing w:after="0" w:line="204" w:lineRule="exact"/>
        <w:rPr>
          <w:rFonts w:ascii="Arial" w:cs="Arial" w:eastAsia="Arial" w:hAnsi="Arial"/>
          <w:sz w:val="20"/>
          <w:szCs w:val="20"/>
          <w:color w:val="auto"/>
        </w:rPr>
      </w:pPr>
    </w:p>
    <w:p>
      <w:pPr>
        <w:jc w:val="both"/>
        <w:ind w:left="440" w:hanging="328"/>
        <w:spacing w:after="0" w:line="294" w:lineRule="auto"/>
        <w:tabs>
          <w:tab w:leader="none" w:pos="629"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Plan Document</w:t>
      </w:r>
      <w:r>
        <w:rPr>
          <w:rFonts w:ascii="Arial" w:cs="Arial" w:eastAsia="Arial" w:hAnsi="Arial"/>
          <w:sz w:val="18"/>
          <w:szCs w:val="18"/>
          <w:color w:val="auto"/>
        </w:rPr>
        <w:t>. This Agreement and Option are subject to all the provisions of the Plan, and to all interpretations,</w:t>
      </w:r>
      <w:r>
        <w:rPr>
          <w:rFonts w:ascii="Arial" w:cs="Arial" w:eastAsia="Arial" w:hAnsi="Arial"/>
          <w:sz w:val="18"/>
          <w:szCs w:val="18"/>
          <w:b w:val="1"/>
          <w:bCs w:val="1"/>
          <w:color w:val="auto"/>
        </w:rPr>
        <w:t xml:space="preserve"> </w:t>
      </w:r>
      <w:r>
        <w:rPr>
          <w:rFonts w:ascii="Arial" w:cs="Arial" w:eastAsia="Arial" w:hAnsi="Arial"/>
          <w:sz w:val="18"/>
          <w:szCs w:val="18"/>
          <w:color w:val="auto"/>
        </w:rPr>
        <w:t>rules and regulations which may, from time to time, be adopted and promulgated by the Committee pursuant to the Plan. If there is any conflict between the provisions of this Agreement and the Plan, the provisions of the Plan will govern.</w:t>
      </w:r>
    </w:p>
    <w:p>
      <w:pPr>
        <w:spacing w:after="0" w:line="170" w:lineRule="exact"/>
        <w:rPr>
          <w:rFonts w:ascii="Arial" w:cs="Arial" w:eastAsia="Arial" w:hAnsi="Arial"/>
          <w:sz w:val="18"/>
          <w:szCs w:val="18"/>
          <w:color w:val="auto"/>
        </w:rPr>
      </w:pPr>
    </w:p>
    <w:p>
      <w:pPr>
        <w:jc w:val="both"/>
        <w:ind w:left="440" w:hanging="328"/>
        <w:spacing w:after="0" w:line="248" w:lineRule="auto"/>
        <w:tabs>
          <w:tab w:leader="none" w:pos="602" w:val="left"/>
        </w:tabs>
        <w:numPr>
          <w:ilvl w:val="0"/>
          <w:numId w:val="62"/>
        </w:numPr>
        <w:rPr>
          <w:rFonts w:ascii="Arial" w:cs="Arial" w:eastAsia="Arial" w:hAnsi="Arial"/>
          <w:sz w:val="20"/>
          <w:szCs w:val="20"/>
          <w:color w:val="auto"/>
        </w:rPr>
      </w:pPr>
      <w:r>
        <w:rPr>
          <w:rFonts w:ascii="Arial" w:cs="Arial" w:eastAsia="Arial" w:hAnsi="Arial"/>
          <w:sz w:val="20"/>
          <w:szCs w:val="20"/>
          <w:b w:val="1"/>
          <w:bCs w:val="1"/>
          <w:u w:val="single" w:color="auto"/>
          <w:color w:val="auto"/>
        </w:rPr>
        <w:t>No Advice Regarding Grant</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is not providing any tax, legal or financial advice, nor is the Company making any</w:t>
      </w:r>
      <w:r>
        <w:rPr>
          <w:rFonts w:ascii="Arial" w:cs="Arial" w:eastAsia="Arial" w:hAnsi="Arial"/>
          <w:sz w:val="20"/>
          <w:szCs w:val="20"/>
          <w:b w:val="1"/>
          <w:bCs w:val="1"/>
          <w:color w:val="auto"/>
        </w:rPr>
        <w:t xml:space="preserve"> </w:t>
      </w:r>
      <w:r>
        <w:rPr>
          <w:rFonts w:ascii="Arial" w:cs="Arial" w:eastAsia="Arial" w:hAnsi="Arial"/>
          <w:sz w:val="20"/>
          <w:szCs w:val="20"/>
          <w:color w:val="auto"/>
        </w:rPr>
        <w:t>recommendations regarding your participation in the Plan, or your acquisition or sale of the underlying Shares. You understand and agree that you should consult with your own personal tax, legal and financial advisors regarding your participation in the Plan before taking any action related to the Plan.</w:t>
      </w:r>
    </w:p>
    <w:p>
      <w:pPr>
        <w:spacing w:after="0" w:line="210" w:lineRule="exact"/>
        <w:rPr>
          <w:rFonts w:ascii="Arial" w:cs="Arial" w:eastAsia="Arial" w:hAnsi="Arial"/>
          <w:sz w:val="20"/>
          <w:szCs w:val="20"/>
          <w:color w:val="auto"/>
        </w:rPr>
      </w:pPr>
    </w:p>
    <w:p>
      <w:pPr>
        <w:jc w:val="both"/>
        <w:ind w:left="440" w:hanging="328"/>
        <w:spacing w:after="0" w:line="246" w:lineRule="auto"/>
        <w:tabs>
          <w:tab w:leader="none" w:pos="575" w:val="left"/>
        </w:tabs>
        <w:numPr>
          <w:ilvl w:val="0"/>
          <w:numId w:val="62"/>
        </w:numPr>
        <w:rPr>
          <w:rFonts w:ascii="Arial" w:cs="Arial" w:eastAsia="Arial" w:hAnsi="Arial"/>
          <w:sz w:val="20"/>
          <w:szCs w:val="20"/>
          <w:color w:val="auto"/>
        </w:rPr>
      </w:pPr>
      <w:r>
        <w:rPr>
          <w:rFonts w:ascii="Arial" w:cs="Arial" w:eastAsia="Arial" w:hAnsi="Arial"/>
          <w:sz w:val="20"/>
          <w:szCs w:val="20"/>
          <w:b w:val="1"/>
          <w:bCs w:val="1"/>
          <w:u w:val="single" w:color="auto"/>
          <w:color w:val="auto"/>
        </w:rPr>
        <w:t>Choice of Law and Venue</w:t>
      </w:r>
      <w:r>
        <w:rPr>
          <w:rFonts w:ascii="Arial" w:cs="Arial" w:eastAsia="Arial" w:hAnsi="Arial"/>
          <w:sz w:val="20"/>
          <w:szCs w:val="20"/>
          <w:color w:val="auto"/>
        </w:rPr>
        <w:t>. This Option and Agreement will be interpreted and construed in accordance with and governed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laws of the laws of the State of Minnesota and you agree to the exclusive venue and jurisdiction of the State and Federal Courts located in Hennepin County, Minnesota and waive any objection based on lack of jurisdiction or inconvenient forum. Any action relating to or arising out of this Plan must be commenced within one year after the cause of action accrued. This provision will not apply to you if you primarily reside and work in California.</w:t>
      </w:r>
    </w:p>
    <w:p>
      <w:pPr>
        <w:spacing w:after="0" w:line="211" w:lineRule="exact"/>
        <w:rPr>
          <w:rFonts w:ascii="Arial" w:cs="Arial" w:eastAsia="Arial" w:hAnsi="Arial"/>
          <w:sz w:val="20"/>
          <w:szCs w:val="20"/>
          <w:color w:val="auto"/>
        </w:rPr>
      </w:pPr>
    </w:p>
    <w:p>
      <w:pPr>
        <w:ind w:left="440" w:right="20" w:hanging="328"/>
        <w:spacing w:after="0" w:line="267" w:lineRule="auto"/>
        <w:tabs>
          <w:tab w:leader="none" w:pos="602" w:val="left"/>
        </w:tabs>
        <w:numPr>
          <w:ilvl w:val="0"/>
          <w:numId w:val="62"/>
        </w:numPr>
        <w:rPr>
          <w:rFonts w:ascii="Arial" w:cs="Arial" w:eastAsia="Arial" w:hAnsi="Arial"/>
          <w:sz w:val="20"/>
          <w:szCs w:val="20"/>
          <w:color w:val="auto"/>
        </w:rPr>
      </w:pPr>
      <w:r>
        <w:rPr>
          <w:rFonts w:ascii="Arial" w:cs="Arial" w:eastAsia="Arial" w:hAnsi="Arial"/>
          <w:sz w:val="20"/>
          <w:szCs w:val="20"/>
          <w:b w:val="1"/>
          <w:bCs w:val="1"/>
          <w:u w:val="single" w:color="auto"/>
          <w:color w:val="auto"/>
        </w:rPr>
        <w:t>Binding Effect</w:t>
      </w:r>
      <w:r>
        <w:rPr>
          <w:rFonts w:ascii="Arial" w:cs="Arial" w:eastAsia="Arial" w:hAnsi="Arial"/>
          <w:sz w:val="20"/>
          <w:szCs w:val="20"/>
          <w:color w:val="auto"/>
        </w:rPr>
        <w:t>. This Agreement will be binding in all respects on your heirs, representatives, successors and assigns, and on the</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and assigns of the Company.</w:t>
      </w:r>
    </w:p>
    <w:p>
      <w:pPr>
        <w:spacing w:after="0" w:line="190" w:lineRule="exact"/>
        <w:rPr>
          <w:rFonts w:ascii="Arial" w:cs="Arial" w:eastAsia="Arial" w:hAnsi="Arial"/>
          <w:sz w:val="20"/>
          <w:szCs w:val="20"/>
          <w:color w:val="auto"/>
        </w:rPr>
      </w:pPr>
    </w:p>
    <w:p>
      <w:pPr>
        <w:jc w:val="both"/>
        <w:ind w:left="440" w:hanging="328"/>
        <w:spacing w:after="0" w:line="272" w:lineRule="auto"/>
        <w:tabs>
          <w:tab w:leader="none" w:pos="575"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Law</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 the Plan or this Agreement, unless there is an exemption from any</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qualification or other legal requirement applicable to the Shares, the Company shall not be required to deliver any Shares issuable upon exercise of the Option prior to the completion of any registration or qualification of the shares under any U.S. federal, state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You understand that the Company is under no obligation to register or qualify the Shares with the SEC or any state or foreign securities commission or to seek approval or clearance from any governmental authority for the issuance or sale of the Shares. Further, you agree that the Company shall have unilateral authority to amend the Agreement without your consent to the extent necessary to comply with securities or other laws applicable to the issuance of the Shares.</w:t>
      </w:r>
    </w:p>
    <w:p>
      <w:pPr>
        <w:spacing w:after="0" w:line="192" w:lineRule="exact"/>
        <w:rPr>
          <w:rFonts w:ascii="Arial" w:cs="Arial" w:eastAsia="Arial" w:hAnsi="Arial"/>
          <w:sz w:val="18"/>
          <w:szCs w:val="18"/>
          <w:color w:val="auto"/>
        </w:rPr>
      </w:pPr>
    </w:p>
    <w:p>
      <w:pPr>
        <w:jc w:val="both"/>
        <w:ind w:left="440" w:hanging="328"/>
        <w:spacing w:after="0" w:line="246" w:lineRule="auto"/>
        <w:tabs>
          <w:tab w:leader="none" w:pos="710" w:val="left"/>
        </w:tabs>
        <w:numPr>
          <w:ilvl w:val="0"/>
          <w:numId w:val="62"/>
        </w:numPr>
        <w:rPr>
          <w:rFonts w:ascii="Arial" w:cs="Arial" w:eastAsia="Arial" w:hAnsi="Arial"/>
          <w:sz w:val="20"/>
          <w:szCs w:val="20"/>
          <w:color w:val="auto"/>
        </w:rPr>
      </w:pPr>
      <w:r>
        <w:rPr>
          <w:rFonts w:ascii="Arial" w:cs="Arial" w:eastAsia="Arial" w:hAnsi="Arial"/>
          <w:sz w:val="20"/>
          <w:szCs w:val="20"/>
          <w:b w:val="1"/>
          <w:bCs w:val="1"/>
          <w:u w:val="single" w:color="auto"/>
          <w:color w:val="auto"/>
        </w:rPr>
        <w:t>Insider Trading Policy</w:t>
      </w:r>
      <w:r>
        <w:rPr>
          <w:rFonts w:ascii="Arial" w:cs="Arial" w:eastAsia="Arial" w:hAnsi="Arial"/>
          <w:sz w:val="20"/>
          <w:szCs w:val="20"/>
          <w:color w:val="auto"/>
        </w:rPr>
        <w:t>. You acknowledge that you are subject to the Company’s insider trading policy as set forth in the</w:t>
      </w:r>
      <w:r>
        <w:rPr>
          <w:rFonts w:ascii="Arial" w:cs="Arial" w:eastAsia="Arial" w:hAnsi="Arial"/>
          <w:sz w:val="20"/>
          <w:szCs w:val="20"/>
          <w:b w:val="1"/>
          <w:bCs w:val="1"/>
          <w:color w:val="auto"/>
        </w:rPr>
        <w:t xml:space="preserve"> </w:t>
      </w:r>
      <w:r>
        <w:rPr>
          <w:rFonts w:ascii="Arial" w:cs="Arial" w:eastAsia="Arial" w:hAnsi="Arial"/>
          <w:sz w:val="20"/>
          <w:szCs w:val="20"/>
          <w:color w:val="auto"/>
        </w:rPr>
        <w:t>“Statement of Company Policy as to Trades in the Company’s Securities By Company Personnel and Confidential Information,” and you are responsible for ensuring compliance with the restrictions and requirements therein. Further, you may be subject to U.S. insider trading restrictions and/or market abuse laws, which may affect your ability to accept, acquire, sell or otherwise dispose of Shares or rights to Shares (e.g., the Option) or rights linked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020"/>
          </w:cols>
          <w:pgMar w:left="540" w:top="1440" w:right="339" w:bottom="1440" w:gutter="0" w:footer="0" w:header="0"/>
        </w:sectPr>
      </w:pPr>
    </w:p>
    <w:bookmarkStart w:id="75" w:name="page76"/>
    <w:bookmarkEnd w:id="75"/>
    <w:p>
      <w:pPr>
        <w:jc w:val="both"/>
        <w:ind w:left="660"/>
        <w:spacing w:after="0" w:line="250" w:lineRule="auto"/>
        <w:rPr>
          <w:sz w:val="20"/>
          <w:szCs w:val="20"/>
          <w:color w:val="auto"/>
        </w:rPr>
      </w:pPr>
      <w:r>
        <w:rPr>
          <w:rFonts w:ascii="Arial" w:cs="Arial" w:eastAsia="Arial" w:hAnsi="Arial"/>
          <w:sz w:val="20"/>
          <w:szCs w:val="20"/>
          <w:color w:val="auto"/>
        </w:rPr>
        <w:t>to the value of Shares during such times as you are considered to have “inside information” regarding the Company (as defined by the laws in the U.S.). Any restrictions under these laws or regulations are separate from and in addition to any restrictions that may be imposed under the Company’s insider trading policy.</w:t>
      </w:r>
    </w:p>
    <w:p>
      <w:pPr>
        <w:spacing w:after="0" w:line="207" w:lineRule="exact"/>
        <w:rPr>
          <w:sz w:val="20"/>
          <w:szCs w:val="20"/>
          <w:color w:val="auto"/>
        </w:rPr>
      </w:pPr>
    </w:p>
    <w:p>
      <w:pPr>
        <w:jc w:val="both"/>
        <w:ind w:left="660" w:hanging="328"/>
        <w:spacing w:after="0" w:line="248" w:lineRule="auto"/>
        <w:tabs>
          <w:tab w:leader="none" w:pos="835" w:val="left"/>
        </w:tabs>
        <w:numPr>
          <w:ilvl w:val="0"/>
          <w:numId w:val="63"/>
        </w:numPr>
        <w:rPr>
          <w:rFonts w:ascii="Arial" w:cs="Arial" w:eastAsia="Arial" w:hAnsi="Arial"/>
          <w:sz w:val="20"/>
          <w:szCs w:val="20"/>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your participation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on the Option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210" w:lineRule="exact"/>
        <w:rPr>
          <w:rFonts w:ascii="Arial" w:cs="Arial" w:eastAsia="Arial" w:hAnsi="Arial"/>
          <w:sz w:val="20"/>
          <w:szCs w:val="20"/>
          <w:color w:val="auto"/>
        </w:rPr>
      </w:pPr>
    </w:p>
    <w:p>
      <w:pPr>
        <w:jc w:val="both"/>
        <w:ind w:left="660" w:hanging="328"/>
        <w:spacing w:after="0" w:line="248" w:lineRule="auto"/>
        <w:tabs>
          <w:tab w:leader="none" w:pos="889" w:val="left"/>
        </w:tabs>
        <w:numPr>
          <w:ilvl w:val="0"/>
          <w:numId w:val="63"/>
        </w:numPr>
        <w:rPr>
          <w:rFonts w:ascii="Arial" w:cs="Arial" w:eastAsia="Arial" w:hAnsi="Arial"/>
          <w:sz w:val="20"/>
          <w:szCs w:val="20"/>
          <w:color w:val="auto"/>
        </w:rPr>
      </w:pPr>
      <w:r>
        <w:rPr>
          <w:rFonts w:ascii="Arial" w:cs="Arial" w:eastAsia="Arial" w:hAnsi="Arial"/>
          <w:sz w:val="20"/>
          <w:szCs w:val="20"/>
          <w:b w:val="1"/>
          <w:bCs w:val="1"/>
          <w:u w:val="single" w:color="auto"/>
          <w:color w:val="auto"/>
        </w:rPr>
        <w:t>Electronic Delivery and Participation</w:t>
      </w:r>
      <w:r>
        <w:rPr>
          <w:rFonts w:ascii="Arial" w:cs="Arial" w:eastAsia="Arial" w:hAnsi="Arial"/>
          <w:sz w:val="20"/>
          <w:szCs w:val="20"/>
          <w:color w:val="auto"/>
        </w:rPr>
        <w:t>. The Company may, in its sole discretion, decide to deliver any documents related to</w:t>
      </w:r>
      <w:r>
        <w:rPr>
          <w:rFonts w:ascii="Arial" w:cs="Arial" w:eastAsia="Arial" w:hAnsi="Arial"/>
          <w:sz w:val="20"/>
          <w:szCs w:val="20"/>
          <w:b w:val="1"/>
          <w:bCs w:val="1"/>
          <w:color w:val="auto"/>
        </w:rPr>
        <w:t xml:space="preserve"> </w:t>
      </w:r>
      <w:r>
        <w:rPr>
          <w:rFonts w:ascii="Arial" w:cs="Arial" w:eastAsia="Arial" w:hAnsi="Arial"/>
          <w:sz w:val="20"/>
          <w:szCs w:val="20"/>
          <w:color w:val="auto"/>
        </w:rPr>
        <w:t>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210" w:lineRule="exact"/>
        <w:rPr>
          <w:rFonts w:ascii="Arial" w:cs="Arial" w:eastAsia="Arial" w:hAnsi="Arial"/>
          <w:sz w:val="20"/>
          <w:szCs w:val="20"/>
          <w:color w:val="auto"/>
        </w:rPr>
      </w:pPr>
    </w:p>
    <w:p>
      <w:pPr>
        <w:jc w:val="both"/>
        <w:ind w:left="660" w:hanging="328"/>
        <w:spacing w:after="0" w:line="277" w:lineRule="auto"/>
        <w:tabs>
          <w:tab w:leader="none" w:pos="835"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Recovery Policy</w:t>
      </w:r>
      <w:r>
        <w:rPr>
          <w:rFonts w:ascii="Arial" w:cs="Arial" w:eastAsia="Arial" w:hAnsi="Arial"/>
          <w:sz w:val="18"/>
          <w:szCs w:val="18"/>
          <w:color w:val="auto"/>
        </w:rPr>
        <w:t>. To the extent that any compensation paid or payable pursuant to this Agreement is considered</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“incentive-based compensation” within the meaning and subject to the requirements of Section 10D of the Exchange Act, such compensation shall be subject to potential forfeiture or recovery by the Company in accordance with any compensation recovery policy adopted by the Board or any committee thereof in response to the requirements of Section 10D of the Exchange Act and any implementing rules and regulations thereunder adopted by the SEC or any national securities exchange on which the Stock is then listed. This Agreement may be unilaterally amended by the Company to comply with any such compensation recovery policy.</w:t>
      </w:r>
    </w:p>
    <w:p>
      <w:pPr>
        <w:spacing w:after="0" w:line="186" w:lineRule="exact"/>
        <w:rPr>
          <w:rFonts w:ascii="Arial" w:cs="Arial" w:eastAsia="Arial" w:hAnsi="Arial"/>
          <w:sz w:val="18"/>
          <w:szCs w:val="18"/>
          <w:color w:val="auto"/>
        </w:rPr>
      </w:pPr>
    </w:p>
    <w:p>
      <w:pPr>
        <w:ind w:left="660" w:right="20" w:hanging="328"/>
        <w:spacing w:after="0" w:line="323" w:lineRule="auto"/>
        <w:tabs>
          <w:tab w:leader="none" w:pos="849"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You acknowledge that a waiver by the Company of breach of any provision of this Agreement shall not operate or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as a waiver of any other provision of this Agreement, or of any subsequent breach by you or any other Participant.</w:t>
      </w:r>
    </w:p>
    <w:p>
      <w:pPr>
        <w:spacing w:after="0" w:line="144" w:lineRule="exact"/>
        <w:rPr>
          <w:rFonts w:ascii="Arial" w:cs="Arial" w:eastAsia="Arial" w:hAnsi="Arial"/>
          <w:sz w:val="18"/>
          <w:szCs w:val="18"/>
          <w:color w:val="auto"/>
        </w:rPr>
      </w:pPr>
    </w:p>
    <w:p>
      <w:pPr>
        <w:ind w:left="660" w:right="20" w:hanging="328"/>
        <w:spacing w:after="0" w:line="293" w:lineRule="auto"/>
        <w:tabs>
          <w:tab w:leader="none" w:pos="849" w:val="left"/>
        </w:tabs>
        <w:numPr>
          <w:ilvl w:val="0"/>
          <w:numId w:val="63"/>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The provisions of this Agreement are severable and if any one or more provisions are determined to be illegal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unenforceable, in whole or in part, the remaining provisions shall nevertheless be binding and enforceable.</w:t>
      </w:r>
    </w:p>
    <w:p>
      <w:pPr>
        <w:spacing w:after="0" w:line="200" w:lineRule="exact"/>
        <w:rPr>
          <w:sz w:val="20"/>
          <w:szCs w:val="20"/>
          <w:color w:val="auto"/>
        </w:rPr>
      </w:pPr>
    </w:p>
    <w:p>
      <w:pPr>
        <w:spacing w:after="0" w:line="218"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i w:val="1"/>
          <w:iCs w:val="1"/>
          <w:color w:val="auto"/>
        </w:rPr>
        <w:t>By accepting this Option in the manner prescribed by the Company, you agree to all the terms and conditions described in this Agreement and in the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9"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20"/>
          <w:szCs w:val="20"/>
          <w:b w:val="1"/>
          <w:bCs w:val="1"/>
          <w:color w:val="auto"/>
        </w:rPr>
        <w:t>EXHIBIT 10.6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Long-Term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Employee Restricted Stock Unit Award Agreement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Terms and Conditions</w:t>
      </w:r>
      <w:r>
        <w:rPr>
          <w:rFonts w:ascii="Arial" w:cs="Arial" w:eastAsia="Arial" w:hAnsi="Arial"/>
          <w:sz w:val="25"/>
          <w:szCs w:val="25"/>
          <w:color w:val="auto"/>
          <w:vertAlign w:val="superscript"/>
        </w:rPr>
        <w:t>1</w:t>
      </w:r>
    </w:p>
    <w:p>
      <w:pPr>
        <w:spacing w:after="0" w:line="172" w:lineRule="exact"/>
        <w:rPr>
          <w:sz w:val="20"/>
          <w:szCs w:val="20"/>
          <w:color w:val="auto"/>
        </w:rPr>
      </w:pPr>
    </w:p>
    <w:p>
      <w:pPr>
        <w:ind w:left="660" w:hanging="652"/>
        <w:spacing w:after="0" w:line="277" w:lineRule="auto"/>
        <w:tabs>
          <w:tab w:leader="none" w:pos="439"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Restricted Stock Units</w:t>
      </w:r>
      <w:r>
        <w:rPr>
          <w:rFonts w:ascii="Arial" w:cs="Arial" w:eastAsia="Arial" w:hAnsi="Arial"/>
          <w:sz w:val="18"/>
          <w:szCs w:val="18"/>
          <w:color w:val="auto"/>
        </w:rPr>
        <w:t>. The Company hereby grants to you, subject to the terms and conditions in this Global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 Award Agreement, including the terms for Participants outside the United States set forth in the Addenda (collectively, the “Agreement”) and subject to the terms and conditions of the Plan, an Award of the number of Stock Units (the “Units”) specified on the cover page of this Agreement. Each Unit represents the right to receive one Share and will be credited to an account in your name maintained by the Company or its agent. This account shall be unfunded and maintained for book-keeping purposes only, with the Units simply representing an unfunded and unsecured obligation of the Company.</w:t>
      </w:r>
    </w:p>
    <w:p>
      <w:pPr>
        <w:spacing w:after="0" w:line="159" w:lineRule="exact"/>
        <w:rPr>
          <w:rFonts w:ascii="Arial" w:cs="Arial" w:eastAsia="Arial" w:hAnsi="Arial"/>
          <w:sz w:val="18"/>
          <w:szCs w:val="18"/>
          <w:color w:val="auto"/>
        </w:rPr>
      </w:pPr>
    </w:p>
    <w:p>
      <w:pPr>
        <w:ind w:left="660" w:hanging="652"/>
        <w:spacing w:after="0" w:line="244" w:lineRule="auto"/>
        <w:tabs>
          <w:tab w:leader="none" w:pos="493" w:val="left"/>
        </w:tabs>
        <w:numPr>
          <w:ilvl w:val="0"/>
          <w:numId w:val="64"/>
        </w:numPr>
        <w:rPr>
          <w:rFonts w:ascii="Arial" w:cs="Arial" w:eastAsia="Arial" w:hAnsi="Arial"/>
          <w:sz w:val="20"/>
          <w:szCs w:val="20"/>
          <w:color w:val="auto"/>
        </w:rPr>
      </w:pPr>
      <w:r>
        <w:rPr>
          <w:rFonts w:ascii="Arial" w:cs="Arial" w:eastAsia="Arial" w:hAnsi="Arial"/>
          <w:sz w:val="20"/>
          <w:szCs w:val="20"/>
          <w:b w:val="1"/>
          <w:bCs w:val="1"/>
          <w:u w:val="single" w:color="auto"/>
          <w:color w:val="auto"/>
        </w:rPr>
        <w:t>Restrictions on Units</w:t>
      </w:r>
      <w:r>
        <w:rPr>
          <w:rFonts w:ascii="Arial" w:cs="Arial" w:eastAsia="Arial" w:hAnsi="Arial"/>
          <w:sz w:val="20"/>
          <w:szCs w:val="20"/>
          <w:color w:val="auto"/>
        </w:rPr>
        <w:t>. Neither this Award nor the Units subject to this Award may be sold, assigned, transferred, exchanged or</w:t>
      </w:r>
      <w:r>
        <w:rPr>
          <w:rFonts w:ascii="Arial" w:cs="Arial" w:eastAsia="Arial" w:hAnsi="Arial"/>
          <w:sz w:val="20"/>
          <w:szCs w:val="20"/>
          <w:b w:val="1"/>
          <w:bCs w:val="1"/>
          <w:color w:val="auto"/>
        </w:rPr>
        <w:t xml:space="preserve"> </w:t>
      </w:r>
      <w:r>
        <w:rPr>
          <w:rFonts w:ascii="Arial" w:cs="Arial" w:eastAsia="Arial" w:hAnsi="Arial"/>
          <w:sz w:val="20"/>
          <w:szCs w:val="20"/>
          <w:color w:val="auto"/>
        </w:rPr>
        <w:t>encumbered other than by a transfer upon your death in accordance with your will, by the applicable laws of descent and distribution in your country or pursuant to a beneficiary designation submitted in accordance with Section 6(d) of the Plan (to the extent such designation is valid under applicable law). Any attempted transfer in violation of this Section 2 shall be of no effect and may result in the forfeiture of all Units. The Units and your right to receive Shares in settlement of the Units under this Agreement shall be subject to forfeiture as provided in Section 4 of this Agreement until satisfaction of the vesting conditions set forth in Section 3 of this Agreement.</w:t>
      </w:r>
    </w:p>
    <w:p>
      <w:pPr>
        <w:spacing w:after="0" w:line="185" w:lineRule="exact"/>
        <w:rPr>
          <w:rFonts w:ascii="Arial" w:cs="Arial" w:eastAsia="Arial" w:hAnsi="Arial"/>
          <w:sz w:val="20"/>
          <w:szCs w:val="20"/>
          <w:color w:val="auto"/>
        </w:rPr>
      </w:pPr>
    </w:p>
    <w:p>
      <w:pPr>
        <w:ind w:left="360" w:hanging="352"/>
        <w:spacing w:after="0"/>
        <w:tabs>
          <w:tab w:leader="none" w:pos="360" w:val="left"/>
        </w:tabs>
        <w:numPr>
          <w:ilvl w:val="0"/>
          <w:numId w:val="64"/>
        </w:numPr>
        <w:rPr>
          <w:rFonts w:ascii="Arial" w:cs="Arial" w:eastAsia="Arial" w:hAnsi="Arial"/>
          <w:sz w:val="20"/>
          <w:szCs w:val="20"/>
          <w:color w:val="auto"/>
        </w:rPr>
      </w:pPr>
      <w:r>
        <w:rPr>
          <w:rFonts w:ascii="Arial" w:cs="Arial" w:eastAsia="Arial" w:hAnsi="Arial"/>
          <w:sz w:val="20"/>
          <w:szCs w:val="20"/>
          <w:b w:val="1"/>
          <w:bCs w:val="1"/>
          <w:u w:val="single" w:color="auto"/>
          <w:color w:val="auto"/>
        </w:rPr>
        <w:t>Vesting of Units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left="660" w:hanging="4"/>
        <w:spacing w:after="0" w:line="250" w:lineRule="auto"/>
        <w:tabs>
          <w:tab w:leader="none" w:pos="1298" w:val="left"/>
        </w:tabs>
        <w:numPr>
          <w:ilvl w:val="1"/>
          <w:numId w:val="64"/>
        </w:numPr>
        <w:rPr>
          <w:rFonts w:ascii="Arial" w:cs="Arial" w:eastAsia="Arial" w:hAnsi="Arial"/>
          <w:sz w:val="20"/>
          <w:szCs w:val="20"/>
          <w:color w:val="auto"/>
        </w:rPr>
      </w:pPr>
      <w:r>
        <w:rPr>
          <w:rFonts w:ascii="Arial" w:cs="Arial" w:eastAsia="Arial" w:hAnsi="Arial"/>
          <w:sz w:val="20"/>
          <w:szCs w:val="20"/>
          <w:u w:val="single" w:color="auto"/>
          <w:color w:val="auto"/>
        </w:rPr>
        <w:t>Scheduled Vesting</w:t>
      </w:r>
      <w:r>
        <w:rPr>
          <w:rFonts w:ascii="Arial" w:cs="Arial" w:eastAsia="Arial" w:hAnsi="Arial"/>
          <w:sz w:val="20"/>
          <w:szCs w:val="20"/>
          <w:color w:val="auto"/>
        </w:rPr>
        <w:t>. If you remain an Employee continuously from the Grant Date specified on the cover page of this Agreement, then the Units will vest in the numbers and on the dates specified in the vesting schedule on the cover page of this Agreement.</w:t>
      </w:r>
    </w:p>
    <w:p>
      <w:pPr>
        <w:spacing w:after="0" w:line="185" w:lineRule="exact"/>
        <w:rPr>
          <w:rFonts w:ascii="Arial" w:cs="Arial" w:eastAsia="Arial" w:hAnsi="Arial"/>
          <w:sz w:val="20"/>
          <w:szCs w:val="20"/>
          <w:color w:val="auto"/>
        </w:rPr>
      </w:pPr>
    </w:p>
    <w:p>
      <w:pPr>
        <w:jc w:val="both"/>
        <w:ind w:left="660" w:hanging="4"/>
        <w:spacing w:after="0" w:line="260" w:lineRule="auto"/>
        <w:tabs>
          <w:tab w:leader="none" w:pos="1296"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Accelerated Vesting</w:t>
      </w:r>
      <w:r>
        <w:rPr>
          <w:rFonts w:ascii="Arial" w:cs="Arial" w:eastAsia="Arial" w:hAnsi="Arial"/>
          <w:sz w:val="19"/>
          <w:szCs w:val="19"/>
          <w:color w:val="auto"/>
        </w:rPr>
        <w:t>. Vesting of the Units will be accelerated if your Service to the Company or any Affiliate terminates because of your death or Disability, as provided in Section 6(e)(2) of the Plan. Vesting will also be accelerated under the circumstances described in Section 12(d) of the Plan and may be accelerated by action of the Committee in accordance with Sections 3(b)(2), 12(b)(3) and 12(c) of the Plan. Vesting may also be accelerated upon the occurrence of events and in accordance with the terms and conditions specified in any other written agreement you have with the Company.</w:t>
      </w:r>
    </w:p>
    <w:p>
      <w:pPr>
        <w:spacing w:after="0" w:line="174" w:lineRule="exact"/>
        <w:rPr>
          <w:rFonts w:ascii="Arial" w:cs="Arial" w:eastAsia="Arial" w:hAnsi="Arial"/>
          <w:sz w:val="19"/>
          <w:szCs w:val="19"/>
          <w:color w:val="auto"/>
        </w:rPr>
      </w:pPr>
    </w:p>
    <w:p>
      <w:pPr>
        <w:ind w:left="660" w:right="20" w:hanging="652"/>
        <w:spacing w:after="0" w:line="293" w:lineRule="auto"/>
        <w:tabs>
          <w:tab w:leader="none" w:pos="358" w:val="left"/>
        </w:tabs>
        <w:numPr>
          <w:ilvl w:val="0"/>
          <w:numId w:val="64"/>
        </w:numPr>
        <w:rPr>
          <w:rFonts w:ascii="Arial" w:cs="Arial" w:eastAsia="Arial" w:hAnsi="Arial"/>
          <w:sz w:val="19"/>
          <w:szCs w:val="19"/>
          <w:color w:val="auto"/>
        </w:rPr>
      </w:pPr>
      <w:r>
        <w:rPr>
          <w:rFonts w:ascii="Arial" w:cs="Arial" w:eastAsia="Arial" w:hAnsi="Arial"/>
          <w:sz w:val="19"/>
          <w:szCs w:val="19"/>
          <w:b w:val="1"/>
          <w:bCs w:val="1"/>
          <w:u w:val="single" w:color="auto"/>
          <w:color w:val="auto"/>
        </w:rPr>
        <w:t>Service Requirement</w:t>
      </w:r>
      <w:r>
        <w:rPr>
          <w:rFonts w:ascii="Arial" w:cs="Arial" w:eastAsia="Arial" w:hAnsi="Arial"/>
          <w:sz w:val="19"/>
          <w:szCs w:val="19"/>
          <w:color w:val="auto"/>
        </w:rPr>
        <w:t>. Except as otherwise provided in accordance with Section 3(b) of this Agreement, if you cease to be an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prior to the vesting date(s) specified on the cover page of this Agreement, you will forfeit all unvested Units.</w:t>
      </w:r>
    </w:p>
    <w:p>
      <w:pPr>
        <w:spacing w:after="0" w:line="141" w:lineRule="exact"/>
        <w:rPr>
          <w:rFonts w:ascii="Arial" w:cs="Arial" w:eastAsia="Arial" w:hAnsi="Arial"/>
          <w:sz w:val="19"/>
          <w:szCs w:val="19"/>
          <w:color w:val="auto"/>
        </w:rPr>
      </w:pPr>
    </w:p>
    <w:p>
      <w:pPr>
        <w:ind w:left="660" w:hanging="652"/>
        <w:spacing w:after="0" w:line="253" w:lineRule="auto"/>
        <w:tabs>
          <w:tab w:leader="none" w:pos="453" w:val="left"/>
        </w:tabs>
        <w:numPr>
          <w:ilvl w:val="0"/>
          <w:numId w:val="64"/>
        </w:numPr>
        <w:rPr>
          <w:rFonts w:ascii="Arial" w:cs="Arial" w:eastAsia="Arial" w:hAnsi="Arial"/>
          <w:sz w:val="20"/>
          <w:szCs w:val="20"/>
          <w:color w:val="auto"/>
        </w:rPr>
      </w:pPr>
      <w:r>
        <w:rPr>
          <w:rFonts w:ascii="Arial" w:cs="Arial" w:eastAsia="Arial" w:hAnsi="Arial"/>
          <w:sz w:val="20"/>
          <w:szCs w:val="20"/>
          <w:b w:val="1"/>
          <w:bCs w:val="1"/>
          <w:u w:val="single" w:color="auto"/>
          <w:color w:val="auto"/>
        </w:rPr>
        <w:t>Leave of Absence</w:t>
      </w:r>
      <w:r>
        <w:rPr>
          <w:rFonts w:ascii="Arial" w:cs="Arial" w:eastAsia="Arial" w:hAnsi="Arial"/>
          <w:sz w:val="20"/>
          <w:szCs w:val="20"/>
          <w:color w:val="auto"/>
        </w:rPr>
        <w:t>. Your Service as an Employee will be deemed continuing while you are on a leave of absence approved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in writing or guaranteed by applicable law or other written agreement you have entered into with the Company (an “Approved Leave”). If you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714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14" w:lineRule="exact"/>
        <w:rPr>
          <w:sz w:val="20"/>
          <w:szCs w:val="20"/>
          <w:color w:val="auto"/>
        </w:rPr>
      </w:pPr>
    </w:p>
    <w:p>
      <w:pPr>
        <w:ind w:left="660" w:right="60" w:hanging="652"/>
        <w:spacing w:after="0" w:line="202" w:lineRule="auto"/>
        <w:tabs>
          <w:tab w:leader="none" w:pos="298" w:val="left"/>
        </w:tabs>
        <w:numPr>
          <w:ilvl w:val="0"/>
          <w:numId w:val="65"/>
        </w:numPr>
        <w:rPr>
          <w:rFonts w:ascii="Arial" w:cs="Arial" w:eastAsia="Arial" w:hAnsi="Arial"/>
          <w:sz w:val="28"/>
          <w:szCs w:val="28"/>
          <w:color w:val="auto"/>
          <w:vertAlign w:val="superscript"/>
        </w:rPr>
      </w:pPr>
      <w:r>
        <w:rPr>
          <w:rFonts w:ascii="Arial" w:cs="Arial" w:eastAsia="Arial" w:hAnsi="Arial"/>
          <w:sz w:val="18"/>
          <w:szCs w:val="18"/>
          <w:color w:val="auto"/>
        </w:rPr>
        <w:t>To the extent any capitalized term used in this Agreement is not defined, it has the meaning assigned to it in the Plan as the Plan currently exists or as it is amended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021" w:right="339" w:bottom="1440" w:gutter="0" w:footer="0" w:header="0"/>
        </w:sectPr>
      </w:pPr>
    </w:p>
    <w:bookmarkStart w:id="77" w:name="page78"/>
    <w:bookmarkEnd w:id="77"/>
    <w:p>
      <w:pPr>
        <w:ind w:left="652" w:right="20"/>
        <w:spacing w:after="0" w:line="260" w:lineRule="auto"/>
        <w:rPr>
          <w:sz w:val="20"/>
          <w:szCs w:val="20"/>
          <w:color w:val="auto"/>
        </w:rPr>
      </w:pPr>
      <w:r>
        <w:rPr>
          <w:rFonts w:ascii="Arial" w:cs="Arial" w:eastAsia="Arial" w:hAnsi="Arial"/>
          <w:sz w:val="20"/>
          <w:szCs w:val="20"/>
          <w:color w:val="auto"/>
        </w:rPr>
        <w:t>not resume providing Service as an Employee following your Approved Leave, your Service will be deemed to have terminated upon the expiration of the Approved Leave.</w:t>
      </w:r>
    </w:p>
    <w:p>
      <w:pPr>
        <w:spacing w:after="0" w:line="171" w:lineRule="exact"/>
        <w:rPr>
          <w:sz w:val="20"/>
          <w:szCs w:val="20"/>
          <w:color w:val="auto"/>
        </w:rPr>
      </w:pPr>
    </w:p>
    <w:p>
      <w:pPr>
        <w:ind w:left="652" w:hanging="652"/>
        <w:spacing w:after="0" w:line="275" w:lineRule="auto"/>
        <w:tabs>
          <w:tab w:leader="none" w:pos="350"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Units</w:t>
      </w:r>
      <w:r>
        <w:rPr>
          <w:rFonts w:ascii="Arial" w:cs="Arial" w:eastAsia="Arial" w:hAnsi="Arial"/>
          <w:sz w:val="18"/>
          <w:szCs w:val="18"/>
          <w:color w:val="auto"/>
        </w:rPr>
        <w:t>. After any Units vest pursuant to Section 3 of this Agreement, the Company shall, as soon as practicable (but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event within the period specified in Treas. Reg. § 1.409A-1(b)(4) to qualify for a short-term deferral exception to Section 409A of the Code), cause to be issued and delivered to you, or to your validly designated beneficiary or estate in the event of your death, one Share in payment and settlement of each vested Unit (the date of such issuance being the “Settlement Date”). Delivery of the Shares shall be effected by the electronic delivery of the Shares to a brokerage account maintained for you at E*TRADE or another broker designated by the Company, or by another method provided by the Company, and shall be subject to the withholding provisions of Section 7 of this Agreement and the compliance provisions of Section 15 of this Agreement.</w:t>
      </w:r>
    </w:p>
    <w:p>
      <w:pPr>
        <w:spacing w:after="0" w:line="162" w:lineRule="exact"/>
        <w:rPr>
          <w:rFonts w:ascii="Arial" w:cs="Arial" w:eastAsia="Arial" w:hAnsi="Arial"/>
          <w:sz w:val="18"/>
          <w:szCs w:val="18"/>
          <w:color w:val="auto"/>
        </w:rPr>
      </w:pPr>
    </w:p>
    <w:p>
      <w:pPr>
        <w:ind w:left="652" w:hanging="652"/>
        <w:spacing w:after="0" w:line="256" w:lineRule="auto"/>
        <w:tabs>
          <w:tab w:leader="none" w:pos="472" w:val="left"/>
        </w:tabs>
        <w:numPr>
          <w:ilvl w:val="0"/>
          <w:numId w:val="66"/>
        </w:numPr>
        <w:rPr>
          <w:rFonts w:ascii="Arial" w:cs="Arial" w:eastAsia="Arial" w:hAnsi="Arial"/>
          <w:sz w:val="19"/>
          <w:szCs w:val="19"/>
          <w:color w:val="auto"/>
        </w:rPr>
      </w:pPr>
      <w:r>
        <w:rPr>
          <w:rFonts w:ascii="Arial" w:cs="Arial" w:eastAsia="Arial" w:hAnsi="Arial"/>
          <w:sz w:val="19"/>
          <w:szCs w:val="19"/>
          <w:b w:val="1"/>
          <w:bCs w:val="1"/>
          <w:u w:val="single" w:color="auto"/>
          <w:color w:val="auto"/>
        </w:rPr>
        <w:t>Tax Consequences and Withholding</w:t>
      </w:r>
      <w:r>
        <w:rPr>
          <w:rFonts w:ascii="Arial" w:cs="Arial" w:eastAsia="Arial" w:hAnsi="Arial"/>
          <w:sz w:val="19"/>
          <w:szCs w:val="19"/>
          <w:color w:val="auto"/>
        </w:rPr>
        <w:t>. You acknowledge that, regardless of any action taken by the Company or, if different, the</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 employing you (the “Employer”), the ultimate liability for all income tax, social insurance, payroll tax, payment on account or other tax-related items related to your participation in the Plan and legally applicable to you (the “Tax-Related Items”) is and remains your responsibility and may exceed the amount, if any, actually withheld by the Company or the Employer. You further acknowledge that the Company and the Employer (a) make no representations or undertakings regarding the treatment of any Tax-Related Items in connection with any aspect of the Award, including, but not limited to, the grant, vesting or settlement of the Units and the subsequent sale of Shares acquired pursuant to such settlement, and (b) do not commit to and are under no obligation to structure the terms of the grant or any aspect of the Award to reduce or eliminate your liability for Tax-Related Items or achieve any particular tax result. Further, if you are subject to Tax-Related Items in more than one jurisdiction, you acknowledge that the Company and/or the Employer (or former employer, as applicable) may be required to withhold or account for Tax-Related Items in more than one jurisdiction.</w:t>
      </w:r>
    </w:p>
    <w:p>
      <w:pPr>
        <w:spacing w:after="0" w:line="183" w:lineRule="exact"/>
        <w:rPr>
          <w:sz w:val="20"/>
          <w:szCs w:val="20"/>
          <w:color w:val="auto"/>
        </w:rPr>
      </w:pPr>
    </w:p>
    <w:p>
      <w:pPr>
        <w:jc w:val="both"/>
        <w:ind w:left="652"/>
        <w:spacing w:after="0" w:line="272" w:lineRule="auto"/>
        <w:rPr>
          <w:sz w:val="20"/>
          <w:szCs w:val="20"/>
          <w:color w:val="auto"/>
        </w:rPr>
      </w:pPr>
      <w:r>
        <w:rPr>
          <w:rFonts w:ascii="Arial" w:cs="Arial" w:eastAsia="Arial" w:hAnsi="Arial"/>
          <w:sz w:val="18"/>
          <w:szCs w:val="18"/>
          <w:color w:val="auto"/>
        </w:rPr>
        <w:t>Prior to any relevant taxable or tax withholding event, as applicable, you agree to make arrangements acceptable to the Company and/or the Employer to satisfy all Tax-Related Items. In this regard, you authorize the Company to satisfy any applicable withholding obligation for the Tax-Related Items through an automatic Share withholding procedure (the “Share Withholding Method”). Under the Share Withholding Method, the Company or its agent will withhold, at the Settlement Date, a portion of the Shares with a Fair Market Value (measured as of the Settlement Date) sufficient to cover the Tax-Related Items; provided, however, that the number of any Shares so withheld shall not exceed the number necessary to satisfy the Company’s withholding obligation using the applicable minimum statutory withholding rate or such other rate as may be permitted under the Plan up to the maximum rate applicable in your jurisdiction. You will be deemed to have been issued the full number of Shares subject to the vested Units, notwithstanding that a number of the Shares are held back solely for the purpose of paying the Tax-Related Items.</w:t>
      </w:r>
    </w:p>
    <w:p>
      <w:pPr>
        <w:spacing w:after="0" w:line="170" w:lineRule="exact"/>
        <w:rPr>
          <w:sz w:val="20"/>
          <w:szCs w:val="20"/>
          <w:color w:val="auto"/>
        </w:rPr>
      </w:pPr>
    </w:p>
    <w:p>
      <w:pPr>
        <w:jc w:val="both"/>
        <w:ind w:left="652" w:hanging="399"/>
        <w:spacing w:after="0" w:line="246" w:lineRule="auto"/>
        <w:rPr>
          <w:sz w:val="20"/>
          <w:szCs w:val="20"/>
          <w:color w:val="auto"/>
        </w:rPr>
      </w:pPr>
      <w:r>
        <w:rPr>
          <w:rFonts w:ascii="Arial" w:cs="Arial" w:eastAsia="Arial" w:hAnsi="Arial"/>
          <w:sz w:val="20"/>
          <w:szCs w:val="20"/>
          <w:color w:val="auto"/>
        </w:rPr>
        <w:t>To the extent that the Fair Market Value of the Shares withheld is not sufficient to cover the withholding obligation for the Tax-Related Items, or the Company determines that it is not feasible or desirable to use the Share Withholding Method, you authorize the Company and/or the Employer, or their respective agents, at their discretion, to collect the Tax-Related Items through one of the following alternative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12"/>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32"/>
          </w:cols>
          <w:pgMar w:left="328" w:top="1014" w:right="339" w:bottom="1440" w:gutter="0" w:footer="0" w:header="0"/>
        </w:sectPr>
      </w:pPr>
    </w:p>
    <w:bookmarkStart w:id="78" w:name="page79"/>
    <w:bookmarkEnd w:id="78"/>
    <w:p>
      <w:pPr>
        <w:ind w:left="612" w:hanging="414"/>
        <w:spacing w:after="0"/>
        <w:tabs>
          <w:tab w:leader="none" w:pos="612" w:val="left"/>
        </w:tabs>
        <w:numPr>
          <w:ilvl w:val="0"/>
          <w:numId w:val="67"/>
        </w:numPr>
        <w:rPr>
          <w:rFonts w:ascii="Arial" w:cs="Arial" w:eastAsia="Arial" w:hAnsi="Arial"/>
          <w:sz w:val="20"/>
          <w:szCs w:val="20"/>
          <w:color w:val="auto"/>
        </w:rPr>
      </w:pPr>
      <w:r>
        <w:rPr>
          <w:rFonts w:ascii="Arial" w:cs="Arial" w:eastAsia="Arial" w:hAnsi="Arial"/>
          <w:sz w:val="20"/>
          <w:szCs w:val="20"/>
          <w:color w:val="auto"/>
        </w:rPr>
        <w:t>withholding from your wages or other cash compensation payable to you by the Company or any Affiliate;</w:t>
      </w:r>
    </w:p>
    <w:p>
      <w:pPr>
        <w:spacing w:after="0" w:line="215" w:lineRule="exact"/>
        <w:rPr>
          <w:rFonts w:ascii="Arial" w:cs="Arial" w:eastAsia="Arial" w:hAnsi="Arial"/>
          <w:sz w:val="20"/>
          <w:szCs w:val="20"/>
          <w:color w:val="auto"/>
        </w:rPr>
      </w:pPr>
    </w:p>
    <w:p>
      <w:pPr>
        <w:ind w:left="1132" w:hanging="824"/>
        <w:spacing w:after="0" w:line="246" w:lineRule="auto"/>
        <w:tabs>
          <w:tab w:leader="none" w:pos="844" w:val="left"/>
        </w:tabs>
        <w:numPr>
          <w:ilvl w:val="2"/>
          <w:numId w:val="67"/>
        </w:numPr>
        <w:rPr>
          <w:rFonts w:ascii="Arial" w:cs="Arial" w:eastAsia="Arial" w:hAnsi="Arial"/>
          <w:sz w:val="20"/>
          <w:szCs w:val="20"/>
          <w:color w:val="auto"/>
        </w:rPr>
      </w:pPr>
      <w:r>
        <w:rPr>
          <w:rFonts w:ascii="Arial" w:cs="Arial" w:eastAsia="Arial" w:hAnsi="Arial"/>
          <w:sz w:val="20"/>
          <w:szCs w:val="20"/>
          <w:color w:val="auto"/>
        </w:rPr>
        <w:t>the use of the proceeds from a next-day sale of the Shares issued to you, provided that (i) such sale is permissible under the Company’s trading policies governing its securities, (ii) you make an irrevocable commitment, on or before the Settlement Date, to effect such sale of the Shares, and (iii) the transaction is not otherwise deemed to constitute a prohibited loan under Section 402 of the Sarbanes-Oxley Act of 2002;</w:t>
      </w:r>
    </w:p>
    <w:p>
      <w:pPr>
        <w:spacing w:after="0" w:line="191" w:lineRule="exact"/>
        <w:rPr>
          <w:rFonts w:ascii="Arial" w:cs="Arial" w:eastAsia="Arial" w:hAnsi="Arial"/>
          <w:sz w:val="20"/>
          <w:szCs w:val="20"/>
          <w:color w:val="auto"/>
        </w:rPr>
      </w:pPr>
    </w:p>
    <w:p>
      <w:pPr>
        <w:ind w:left="1132" w:hanging="892"/>
        <w:spacing w:after="0" w:line="260" w:lineRule="auto"/>
        <w:tabs>
          <w:tab w:leader="none" w:pos="697" w:val="left"/>
        </w:tabs>
        <w:numPr>
          <w:ilvl w:val="1"/>
          <w:numId w:val="67"/>
        </w:numPr>
        <w:rPr>
          <w:rFonts w:ascii="Arial" w:cs="Arial" w:eastAsia="Arial" w:hAnsi="Arial"/>
          <w:sz w:val="20"/>
          <w:szCs w:val="20"/>
          <w:color w:val="auto"/>
        </w:rPr>
      </w:pPr>
      <w:r>
        <w:rPr>
          <w:rFonts w:ascii="Arial" w:cs="Arial" w:eastAsia="Arial" w:hAnsi="Arial"/>
          <w:sz w:val="20"/>
          <w:szCs w:val="20"/>
          <w:color w:val="auto"/>
        </w:rPr>
        <w:t>delivery of your authorization to E*TRADE (or another broker designated by the Company) to transfer to the Company from your account at such broker the amount of such Tax-Related Items; and/or</w:t>
      </w:r>
    </w:p>
    <w:p>
      <w:pPr>
        <w:spacing w:after="0" w:line="177" w:lineRule="exact"/>
        <w:rPr>
          <w:sz w:val="20"/>
          <w:szCs w:val="20"/>
          <w:color w:val="auto"/>
        </w:rPr>
      </w:pPr>
    </w:p>
    <w:p>
      <w:pPr>
        <w:ind w:left="192"/>
        <w:spacing w:after="0"/>
        <w:tabs>
          <w:tab w:leader="none" w:pos="612"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6"/>
          <w:szCs w:val="16"/>
          <w:color w:val="auto"/>
        </w:rPr>
        <w:t>any other method approved by the Company and permitted under applicable law.</w:t>
      </w:r>
    </w:p>
    <w:p>
      <w:pPr>
        <w:spacing w:after="0" w:line="216" w:lineRule="exact"/>
        <w:rPr>
          <w:sz w:val="20"/>
          <w:szCs w:val="20"/>
          <w:color w:val="auto"/>
        </w:rPr>
      </w:pPr>
    </w:p>
    <w:p>
      <w:pPr>
        <w:ind w:left="652" w:hanging="354"/>
        <w:spacing w:after="0" w:line="260" w:lineRule="auto"/>
        <w:rPr>
          <w:sz w:val="20"/>
          <w:szCs w:val="20"/>
          <w:color w:val="auto"/>
        </w:rPr>
      </w:pPr>
      <w:r>
        <w:rPr>
          <w:rFonts w:ascii="Arial" w:cs="Arial" w:eastAsia="Arial" w:hAnsi="Arial"/>
          <w:sz w:val="20"/>
          <w:szCs w:val="20"/>
          <w:color w:val="auto"/>
        </w:rPr>
        <w:t>In the event of any over-withholding, you will have no entitlement to the over-withheld amount in Shares and such amounts may be refunded to you in cash in accordance with applicable law.</w:t>
      </w:r>
    </w:p>
    <w:p>
      <w:pPr>
        <w:spacing w:after="0" w:line="177" w:lineRule="exact"/>
        <w:rPr>
          <w:sz w:val="20"/>
          <w:szCs w:val="20"/>
          <w:color w:val="auto"/>
        </w:rPr>
      </w:pPr>
    </w:p>
    <w:p>
      <w:pPr>
        <w:ind w:left="652" w:hanging="444"/>
        <w:spacing w:after="0" w:line="260" w:lineRule="auto"/>
        <w:rPr>
          <w:sz w:val="20"/>
          <w:szCs w:val="20"/>
          <w:color w:val="auto"/>
        </w:rPr>
      </w:pPr>
      <w:r>
        <w:rPr>
          <w:rFonts w:ascii="Arial" w:cs="Arial" w:eastAsia="Arial" w:hAnsi="Arial"/>
          <w:sz w:val="20"/>
          <w:szCs w:val="20"/>
          <w:color w:val="auto"/>
        </w:rPr>
        <w:t>The Company may refuse to issue or deliver the Shares or the proceeds of the sale of Shares, if you fail to comply with your obligations in connection with the Tax-Related Items.</w:t>
      </w:r>
    </w:p>
    <w:p>
      <w:pPr>
        <w:spacing w:after="0" w:line="171" w:lineRule="exact"/>
        <w:rPr>
          <w:sz w:val="20"/>
          <w:szCs w:val="20"/>
          <w:color w:val="auto"/>
        </w:rPr>
      </w:pPr>
    </w:p>
    <w:p>
      <w:pPr>
        <w:ind w:left="352" w:hanging="352"/>
        <w:spacing w:after="0"/>
        <w:tabs>
          <w:tab w:leader="none" w:pos="352" w:val="left"/>
        </w:tabs>
        <w:numPr>
          <w:ilvl w:val="0"/>
          <w:numId w:val="68"/>
        </w:numPr>
        <w:rPr>
          <w:rFonts w:ascii="Arial" w:cs="Arial" w:eastAsia="Arial" w:hAnsi="Arial"/>
          <w:sz w:val="20"/>
          <w:szCs w:val="20"/>
          <w:color w:val="auto"/>
        </w:rPr>
      </w:pPr>
      <w:r>
        <w:rPr>
          <w:rFonts w:ascii="Arial" w:cs="Arial" w:eastAsia="Arial" w:hAnsi="Arial"/>
          <w:sz w:val="20"/>
          <w:szCs w:val="20"/>
          <w:b w:val="1"/>
          <w:bCs w:val="1"/>
          <w:u w:val="single" w:color="auto"/>
          <w:color w:val="auto"/>
        </w:rPr>
        <w:t>Nature of Grant.</w:t>
      </w:r>
      <w:r>
        <w:rPr>
          <w:rFonts w:ascii="Arial" w:cs="Arial" w:eastAsia="Arial" w:hAnsi="Arial"/>
          <w:sz w:val="20"/>
          <w:szCs w:val="20"/>
          <w:b w:val="1"/>
          <w:bCs w:val="1"/>
          <w:color w:val="auto"/>
        </w:rPr>
        <w:t xml:space="preserve"> </w:t>
      </w:r>
      <w:r>
        <w:rPr>
          <w:rFonts w:ascii="Arial" w:cs="Arial" w:eastAsia="Arial" w:hAnsi="Arial"/>
          <w:sz w:val="20"/>
          <w:szCs w:val="20"/>
          <w:color w:val="auto"/>
        </w:rPr>
        <w:t>In accepting the grant of this Award, you acknowledge, understand and agree as follows:</w:t>
      </w:r>
    </w:p>
    <w:p>
      <w:pPr>
        <w:spacing w:after="0" w:line="221" w:lineRule="exact"/>
        <w:rPr>
          <w:rFonts w:ascii="Arial" w:cs="Arial" w:eastAsia="Arial" w:hAnsi="Arial"/>
          <w:sz w:val="20"/>
          <w:szCs w:val="20"/>
          <w:color w:val="auto"/>
        </w:rPr>
      </w:pPr>
    </w:p>
    <w:p>
      <w:pPr>
        <w:ind w:left="652" w:right="20" w:hanging="387"/>
        <w:spacing w:after="0" w:line="260" w:lineRule="auto"/>
        <w:tabs>
          <w:tab w:leader="none" w:pos="751" w:val="left"/>
        </w:tabs>
        <w:numPr>
          <w:ilvl w:val="3"/>
          <w:numId w:val="68"/>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76" w:lineRule="exact"/>
        <w:rPr>
          <w:rFonts w:ascii="Arial" w:cs="Arial" w:eastAsia="Arial" w:hAnsi="Arial"/>
          <w:sz w:val="20"/>
          <w:szCs w:val="20"/>
          <w:color w:val="auto"/>
        </w:rPr>
      </w:pPr>
    </w:p>
    <w:p>
      <w:pPr>
        <w:ind w:left="652" w:hanging="422"/>
        <w:spacing w:after="0" w:line="260" w:lineRule="auto"/>
        <w:tabs>
          <w:tab w:leader="none" w:pos="690" w:val="left"/>
        </w:tabs>
        <w:numPr>
          <w:ilvl w:val="2"/>
          <w:numId w:val="68"/>
        </w:numPr>
        <w:rPr>
          <w:rFonts w:ascii="Arial" w:cs="Arial" w:eastAsia="Arial" w:hAnsi="Arial"/>
          <w:sz w:val="20"/>
          <w:szCs w:val="20"/>
          <w:color w:val="auto"/>
        </w:rPr>
      </w:pPr>
      <w:r>
        <w:rPr>
          <w:rFonts w:ascii="Arial" w:cs="Arial" w:eastAsia="Arial" w:hAnsi="Arial"/>
          <w:sz w:val="20"/>
          <w:szCs w:val="20"/>
          <w:color w:val="auto"/>
        </w:rPr>
        <w:t>The grant of this Award is exceptional, voluntary and occasional and does not create any contractual or other right to receive future grants of awards, or benefits in lieu of awards, even if awards have been granted in the past.</w:t>
      </w:r>
    </w:p>
    <w:p>
      <w:pPr>
        <w:spacing w:after="0" w:line="176" w:lineRule="exact"/>
        <w:rPr>
          <w:rFonts w:ascii="Arial" w:cs="Arial" w:eastAsia="Arial" w:hAnsi="Arial"/>
          <w:sz w:val="20"/>
          <w:szCs w:val="20"/>
          <w:color w:val="auto"/>
        </w:rPr>
      </w:pPr>
    </w:p>
    <w:p>
      <w:pPr>
        <w:ind w:left="612" w:hanging="414"/>
        <w:spacing w:after="0"/>
        <w:tabs>
          <w:tab w:leader="none" w:pos="612" w:val="left"/>
        </w:tabs>
        <w:numPr>
          <w:ilvl w:val="1"/>
          <w:numId w:val="68"/>
        </w:numPr>
        <w:rPr>
          <w:rFonts w:ascii="Arial" w:cs="Arial" w:eastAsia="Arial" w:hAnsi="Arial"/>
          <w:sz w:val="20"/>
          <w:szCs w:val="20"/>
          <w:color w:val="auto"/>
        </w:rPr>
      </w:pPr>
      <w:r>
        <w:rPr>
          <w:rFonts w:ascii="Arial" w:cs="Arial" w:eastAsia="Arial" w:hAnsi="Arial"/>
          <w:sz w:val="20"/>
          <w:szCs w:val="20"/>
          <w:color w:val="auto"/>
        </w:rPr>
        <w:t>All decisions with respect to future grants of awards, if any, will be at the sole discretion of the Committee.</w:t>
      </w:r>
    </w:p>
    <w:p>
      <w:pPr>
        <w:spacing w:after="0" w:line="215" w:lineRule="exact"/>
        <w:rPr>
          <w:rFonts w:ascii="Arial" w:cs="Arial" w:eastAsia="Arial" w:hAnsi="Arial"/>
          <w:sz w:val="20"/>
          <w:szCs w:val="20"/>
          <w:color w:val="auto"/>
        </w:rPr>
      </w:pPr>
    </w:p>
    <w:p>
      <w:pPr>
        <w:ind w:left="612" w:hanging="414"/>
        <w:spacing w:after="0"/>
        <w:tabs>
          <w:tab w:leader="none" w:pos="612" w:val="left"/>
        </w:tabs>
        <w:numPr>
          <w:ilvl w:val="1"/>
          <w:numId w:val="68"/>
        </w:numPr>
        <w:rPr>
          <w:rFonts w:ascii="Arial" w:cs="Arial" w:eastAsia="Arial" w:hAnsi="Arial"/>
          <w:sz w:val="20"/>
          <w:szCs w:val="20"/>
          <w:color w:val="auto"/>
        </w:rPr>
      </w:pPr>
      <w:r>
        <w:rPr>
          <w:rFonts w:ascii="Arial" w:cs="Arial" w:eastAsia="Arial" w:hAnsi="Arial"/>
          <w:sz w:val="20"/>
          <w:szCs w:val="20"/>
          <w:color w:val="auto"/>
        </w:rPr>
        <w:t>You are voluntarily participating in the Plan.</w:t>
      </w:r>
    </w:p>
    <w:p>
      <w:pPr>
        <w:spacing w:after="0" w:line="215" w:lineRule="exact"/>
        <w:rPr>
          <w:rFonts w:ascii="Arial" w:cs="Arial" w:eastAsia="Arial" w:hAnsi="Arial"/>
          <w:sz w:val="20"/>
          <w:szCs w:val="20"/>
          <w:color w:val="auto"/>
        </w:rPr>
      </w:pPr>
    </w:p>
    <w:p>
      <w:pPr>
        <w:jc w:val="both"/>
        <w:ind w:left="652" w:hanging="388"/>
        <w:spacing w:after="0" w:line="250" w:lineRule="auto"/>
        <w:tabs>
          <w:tab w:leader="none" w:pos="748" w:val="left"/>
        </w:tabs>
        <w:numPr>
          <w:ilvl w:val="3"/>
          <w:numId w:val="69"/>
        </w:numPr>
        <w:rPr>
          <w:rFonts w:ascii="Arial" w:cs="Arial" w:eastAsia="Arial" w:hAnsi="Arial"/>
          <w:sz w:val="20"/>
          <w:szCs w:val="20"/>
          <w:color w:val="auto"/>
        </w:rPr>
      </w:pPr>
      <w:r>
        <w:rPr>
          <w:rFonts w:ascii="Arial" w:cs="Arial" w:eastAsia="Arial" w:hAnsi="Arial"/>
          <w:sz w:val="20"/>
          <w:szCs w:val="20"/>
          <w:color w:val="auto"/>
        </w:rPr>
        <w:t>This Award and any Shares subject to the Units, and the income from and value of the same, are extraordinary items that do not constitute compensation of any kind for services of any kind rendered to the Company or any Affiliate (including, as applicable, your Employer) and which are outside the scope of your employment contract, if any.</w:t>
      </w:r>
    </w:p>
    <w:p>
      <w:pPr>
        <w:spacing w:after="0" w:line="186" w:lineRule="exact"/>
        <w:rPr>
          <w:sz w:val="20"/>
          <w:szCs w:val="20"/>
          <w:color w:val="auto"/>
        </w:rPr>
      </w:pPr>
    </w:p>
    <w:p>
      <w:pPr>
        <w:jc w:val="both"/>
        <w:ind w:left="652" w:hanging="407"/>
        <w:spacing w:after="0" w:line="246" w:lineRule="auto"/>
        <w:tabs>
          <w:tab w:leader="none" w:pos="689"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This Award and any Shares subject to the Units, and the income from and value of the same, are not to be considered part of your normal or expected compensation or salary for any purpose, including, but not limited to, calculating any severance, resignation, termination, payment in lieu of notice, redundancy, dismissal, end-of-service payments, bonuses, long-service awards, pension or retirement or welfare benefits or similar payments.</w:t>
      </w:r>
    </w:p>
    <w:p>
      <w:pPr>
        <w:spacing w:after="0" w:line="191" w:lineRule="exact"/>
        <w:rPr>
          <w:rFonts w:ascii="Arial" w:cs="Arial" w:eastAsia="Arial" w:hAnsi="Arial"/>
          <w:sz w:val="20"/>
          <w:szCs w:val="20"/>
          <w:color w:val="auto"/>
        </w:rPr>
      </w:pPr>
    </w:p>
    <w:p>
      <w:pPr>
        <w:ind w:left="652" w:hanging="393"/>
        <w:spacing w:after="0" w:line="260" w:lineRule="auto"/>
        <w:tabs>
          <w:tab w:leader="none" w:pos="749" w:val="left"/>
        </w:tabs>
        <w:numPr>
          <w:ilvl w:val="1"/>
          <w:numId w:val="70"/>
        </w:numPr>
        <w:rPr>
          <w:rFonts w:ascii="Arial" w:cs="Arial" w:eastAsia="Arial" w:hAnsi="Arial"/>
          <w:sz w:val="20"/>
          <w:szCs w:val="20"/>
          <w:color w:val="auto"/>
        </w:rPr>
      </w:pPr>
      <w:r>
        <w:rPr>
          <w:rFonts w:ascii="Arial" w:cs="Arial" w:eastAsia="Arial" w:hAnsi="Arial"/>
          <w:sz w:val="20"/>
          <w:szCs w:val="20"/>
          <w:color w:val="auto"/>
        </w:rPr>
        <w:t>This Award and any Shares subject to the Units, and the income from and value of the same, are not intended to replace pension rights (if any) 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12"/>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32"/>
          </w:cols>
          <w:pgMar w:left="328" w:top="1014" w:right="339" w:bottom="1440" w:gutter="0" w:footer="0" w:header="0"/>
        </w:sectPr>
      </w:pPr>
    </w:p>
    <w:bookmarkStart w:id="79" w:name="page80"/>
    <w:bookmarkEnd w:id="79"/>
    <w:p>
      <w:pPr>
        <w:jc w:val="both"/>
        <w:ind w:left="652" w:hanging="406"/>
        <w:spacing w:after="0" w:line="250" w:lineRule="auto"/>
        <w:tabs>
          <w:tab w:leader="none" w:pos="728" w:val="left"/>
        </w:tabs>
        <w:numPr>
          <w:ilvl w:val="1"/>
          <w:numId w:val="71"/>
        </w:numPr>
        <w:rPr>
          <w:rFonts w:ascii="Arial" w:cs="Arial" w:eastAsia="Arial" w:hAnsi="Arial"/>
          <w:sz w:val="20"/>
          <w:szCs w:val="20"/>
          <w:color w:val="auto"/>
        </w:rPr>
      </w:pPr>
      <w:r>
        <w:rPr>
          <w:rFonts w:ascii="Arial" w:cs="Arial" w:eastAsia="Arial" w:hAnsi="Arial"/>
          <w:sz w:val="20"/>
          <w:szCs w:val="20"/>
          <w:color w:val="auto"/>
        </w:rPr>
        <w:t>Unless otherwise agreed with the Company, this Award and the Shares subject to the Units, and the income from and value of the same, are not granted as consideration for, or in connection with, services you may provide as a member of the board of directors or as a legal representative of an Affiliate.</w:t>
      </w:r>
    </w:p>
    <w:p>
      <w:pPr>
        <w:spacing w:after="0" w:line="185" w:lineRule="exact"/>
        <w:rPr>
          <w:rFonts w:ascii="Arial" w:cs="Arial" w:eastAsia="Arial" w:hAnsi="Arial"/>
          <w:sz w:val="20"/>
          <w:szCs w:val="20"/>
          <w:color w:val="auto"/>
        </w:rPr>
      </w:pPr>
    </w:p>
    <w:p>
      <w:pPr>
        <w:jc w:val="both"/>
        <w:ind w:left="652" w:hanging="437"/>
        <w:spacing w:after="0" w:line="250" w:lineRule="auto"/>
        <w:tabs>
          <w:tab w:leader="none" w:pos="6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In the event that the Employer is not the Company, the grant of this Award will not be interpreted to form an employment contract or relationship with the Company and, furthermore, the grant of this Award will not be interpreted to form or amend an employment contract with any Affiliate (including the Employer).</w:t>
      </w:r>
    </w:p>
    <w:p>
      <w:pPr>
        <w:spacing w:after="0" w:line="185" w:lineRule="exact"/>
        <w:rPr>
          <w:rFonts w:ascii="Arial" w:cs="Arial" w:eastAsia="Arial" w:hAnsi="Arial"/>
          <w:sz w:val="20"/>
          <w:szCs w:val="20"/>
          <w:color w:val="auto"/>
        </w:rPr>
      </w:pPr>
    </w:p>
    <w:p>
      <w:pPr>
        <w:jc w:val="both"/>
        <w:ind w:left="652" w:hanging="445"/>
        <w:spacing w:after="0" w:line="269" w:lineRule="auto"/>
        <w:tabs>
          <w:tab w:leader="none" w:pos="602"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This Award and Agreement do not give you a right to continued Service with the Company or any Affiliate (including the Employer), and the Employer may terminate your Service at any time subject to local law and the terms of your employment agreement, if any, and otherwise deal with you without regard to the effect it may have upon you under this Agreement.</w:t>
      </w:r>
    </w:p>
    <w:p>
      <w:pPr>
        <w:spacing w:after="0" w:line="170" w:lineRule="exact"/>
        <w:rPr>
          <w:sz w:val="20"/>
          <w:szCs w:val="20"/>
          <w:color w:val="auto"/>
        </w:rPr>
      </w:pPr>
    </w:p>
    <w:p>
      <w:pPr>
        <w:ind w:left="632" w:hanging="434"/>
        <w:spacing w:after="0"/>
        <w:tabs>
          <w:tab w:leader="none" w:pos="632" w:val="left"/>
        </w:tabs>
        <w:numPr>
          <w:ilvl w:val="1"/>
          <w:numId w:val="73"/>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indeterminable and cannot be predicted with certainty.</w:t>
      </w:r>
    </w:p>
    <w:p>
      <w:pPr>
        <w:spacing w:after="0" w:line="215" w:lineRule="exact"/>
        <w:rPr>
          <w:rFonts w:ascii="Arial" w:cs="Arial" w:eastAsia="Arial" w:hAnsi="Arial"/>
          <w:sz w:val="20"/>
          <w:szCs w:val="20"/>
          <w:color w:val="auto"/>
        </w:rPr>
      </w:pPr>
    </w:p>
    <w:p>
      <w:pPr>
        <w:jc w:val="both"/>
        <w:ind w:left="652" w:hanging="419"/>
        <w:spacing w:after="0" w:line="250" w:lineRule="auto"/>
        <w:tabs>
          <w:tab w:leader="none" w:pos="656" w:val="left"/>
        </w:tabs>
        <w:numPr>
          <w:ilvl w:val="1"/>
          <w:numId w:val="73"/>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shall arise from forfeiture of the Award resulting from the termination of your Service (for any reason whatsoever, whether or not later found to be invalid or in breach of employment laws in the jurisdiction where you are employed or the terms of your employment agreement, if any).</w:t>
      </w:r>
    </w:p>
    <w:p>
      <w:pPr>
        <w:spacing w:after="0" w:line="185" w:lineRule="exact"/>
        <w:rPr>
          <w:rFonts w:ascii="Arial" w:cs="Arial" w:eastAsia="Arial" w:hAnsi="Arial"/>
          <w:sz w:val="20"/>
          <w:szCs w:val="20"/>
          <w:color w:val="auto"/>
        </w:rPr>
      </w:pPr>
    </w:p>
    <w:p>
      <w:pPr>
        <w:jc w:val="both"/>
        <w:ind w:left="652" w:hanging="408"/>
        <w:spacing w:after="0" w:line="269" w:lineRule="auto"/>
        <w:tabs>
          <w:tab w:leader="none" w:pos="777" w:val="left"/>
        </w:tabs>
        <w:numPr>
          <w:ilvl w:val="2"/>
          <w:numId w:val="73"/>
        </w:numPr>
        <w:rPr>
          <w:rFonts w:ascii="Arial" w:cs="Arial" w:eastAsia="Arial" w:hAnsi="Arial"/>
          <w:sz w:val="19"/>
          <w:szCs w:val="19"/>
          <w:color w:val="auto"/>
        </w:rPr>
      </w:pPr>
      <w:r>
        <w:rPr>
          <w:rFonts w:ascii="Arial" w:cs="Arial" w:eastAsia="Arial" w:hAnsi="Arial"/>
          <w:sz w:val="19"/>
          <w:szCs w:val="19"/>
          <w:color w:val="auto"/>
        </w:rPr>
        <w:t>Neither the Company, the Employer nor any other Affiliate shall be liable for any foreign exchange rate fluctuation between your local currency and the United States (“U.S.”) Dollar that may affect the value of the Award, or any amounts due to you pursuant to the settlement of the Units or the subsequent sale of any Shares acquired upon settlement.</w:t>
      </w:r>
    </w:p>
    <w:p>
      <w:pPr>
        <w:spacing w:after="0" w:line="163" w:lineRule="exact"/>
        <w:rPr>
          <w:rFonts w:ascii="Arial" w:cs="Arial" w:eastAsia="Arial" w:hAnsi="Arial"/>
          <w:sz w:val="19"/>
          <w:szCs w:val="19"/>
          <w:color w:val="auto"/>
        </w:rPr>
      </w:pPr>
    </w:p>
    <w:p>
      <w:pPr>
        <w:ind w:left="652" w:hanging="652"/>
        <w:spacing w:after="0" w:line="294" w:lineRule="auto"/>
        <w:tabs>
          <w:tab w:leader="none" w:pos="364"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color w:val="auto"/>
        </w:rPr>
        <w:t>. The Award shall be subject to the Data Privacy Terms attached hereto as Addendum A. Moreover, if you relocate into or</w:t>
      </w:r>
      <w:r>
        <w:rPr>
          <w:rFonts w:ascii="Arial" w:cs="Arial" w:eastAsia="Arial" w:hAnsi="Arial"/>
          <w:sz w:val="18"/>
          <w:szCs w:val="18"/>
          <w:b w:val="1"/>
          <w:bCs w:val="1"/>
          <w:color w:val="auto"/>
        </w:rPr>
        <w:t xml:space="preserve"> </w:t>
      </w:r>
      <w:r>
        <w:rPr>
          <w:rFonts w:ascii="Arial" w:cs="Arial" w:eastAsia="Arial" w:hAnsi="Arial"/>
          <w:sz w:val="18"/>
          <w:szCs w:val="18"/>
          <w:color w:val="auto"/>
        </w:rPr>
        <w:t>out of the European Union, European Economic Area or the United Kingdom, the Company will determine the application of the Data Privacy Terms as necessary or advisable for legal or administrative reasons. Addendum A constitutes part of this Agreement.</w:t>
      </w:r>
    </w:p>
    <w:p>
      <w:pPr>
        <w:spacing w:after="0" w:line="143" w:lineRule="exact"/>
        <w:rPr>
          <w:rFonts w:ascii="Arial" w:cs="Arial" w:eastAsia="Arial" w:hAnsi="Arial"/>
          <w:sz w:val="18"/>
          <w:szCs w:val="18"/>
          <w:color w:val="auto"/>
        </w:rPr>
      </w:pPr>
    </w:p>
    <w:p>
      <w:pPr>
        <w:ind w:left="652" w:hanging="652"/>
        <w:spacing w:after="0" w:line="294" w:lineRule="auto"/>
        <w:tabs>
          <w:tab w:leader="none" w:pos="503"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No Shareholder Rights Before Settlement</w:t>
      </w:r>
      <w:r>
        <w:rPr>
          <w:rFonts w:ascii="Arial" w:cs="Arial" w:eastAsia="Arial" w:hAnsi="Arial"/>
          <w:sz w:val="18"/>
          <w:szCs w:val="18"/>
          <w:color w:val="auto"/>
        </w:rPr>
        <w:t>. The Units subject to this Award do not entitle you to any rights of a shareholder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You will not have any of the rights of a shareholder of the Company in connection with the grant of Units subject to this Award unless and until Shares are issued to you upon settlement of the Units as provided in Section 6 of this Agreement.</w:t>
      </w:r>
    </w:p>
    <w:p>
      <w:pPr>
        <w:spacing w:after="0" w:line="143" w:lineRule="exact"/>
        <w:rPr>
          <w:rFonts w:ascii="Arial" w:cs="Arial" w:eastAsia="Arial" w:hAnsi="Arial"/>
          <w:sz w:val="18"/>
          <w:szCs w:val="18"/>
          <w:color w:val="auto"/>
        </w:rPr>
      </w:pPr>
    </w:p>
    <w:p>
      <w:pPr>
        <w:ind w:left="652" w:hanging="652"/>
        <w:spacing w:after="0" w:line="248" w:lineRule="auto"/>
        <w:tabs>
          <w:tab w:leader="none" w:pos="536" w:val="left"/>
        </w:tabs>
        <w:numPr>
          <w:ilvl w:val="0"/>
          <w:numId w:val="74"/>
        </w:numPr>
        <w:rPr>
          <w:rFonts w:ascii="Arial" w:cs="Arial" w:eastAsia="Arial" w:hAnsi="Arial"/>
          <w:sz w:val="20"/>
          <w:szCs w:val="20"/>
          <w:color w:val="auto"/>
        </w:rPr>
      </w:pPr>
      <w:r>
        <w:rPr>
          <w:rFonts w:ascii="Arial" w:cs="Arial" w:eastAsia="Arial" w:hAnsi="Arial"/>
          <w:sz w:val="20"/>
          <w:szCs w:val="20"/>
          <w:b w:val="1"/>
          <w:bCs w:val="1"/>
          <w:u w:val="single" w:color="auto"/>
          <w:color w:val="auto"/>
        </w:rPr>
        <w:t>No Advice Regarding Grant</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is not providing any tax, legal or financial advice, nor is the Company making any</w:t>
      </w:r>
      <w:r>
        <w:rPr>
          <w:rFonts w:ascii="Arial" w:cs="Arial" w:eastAsia="Arial" w:hAnsi="Arial"/>
          <w:sz w:val="20"/>
          <w:szCs w:val="20"/>
          <w:b w:val="1"/>
          <w:bCs w:val="1"/>
          <w:color w:val="auto"/>
        </w:rPr>
        <w:t xml:space="preserve"> </w:t>
      </w:r>
      <w:r>
        <w:rPr>
          <w:rFonts w:ascii="Arial" w:cs="Arial" w:eastAsia="Arial" w:hAnsi="Arial"/>
          <w:sz w:val="20"/>
          <w:szCs w:val="20"/>
          <w:color w:val="auto"/>
        </w:rPr>
        <w:t>recommendations regarding your participation in the Plan, or your acquisition or sale of the underlying Shares. You understand and agree that you should consult with your own personal tax, legal and financial advisors regarding your participation in the Plan before taking any action related to the Plan.</w:t>
      </w:r>
    </w:p>
    <w:p>
      <w:pPr>
        <w:spacing w:after="0" w:line="183" w:lineRule="exact"/>
        <w:rPr>
          <w:rFonts w:ascii="Arial" w:cs="Arial" w:eastAsia="Arial" w:hAnsi="Arial"/>
          <w:sz w:val="20"/>
          <w:szCs w:val="20"/>
          <w:color w:val="auto"/>
        </w:rPr>
      </w:pPr>
    </w:p>
    <w:p>
      <w:pPr>
        <w:ind w:left="652" w:hanging="652"/>
        <w:spacing w:after="0" w:line="294" w:lineRule="auto"/>
        <w:tabs>
          <w:tab w:leader="none" w:pos="449"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Plan Document</w:t>
      </w:r>
      <w:r>
        <w:rPr>
          <w:rFonts w:ascii="Arial" w:cs="Arial" w:eastAsia="Arial" w:hAnsi="Arial"/>
          <w:sz w:val="18"/>
          <w:szCs w:val="18"/>
          <w:color w:val="auto"/>
        </w:rPr>
        <w:t>. This Agreement and the Award are subject to all the provisions of the Plan, and to all interpretations, rules</w:t>
      </w:r>
      <w:r>
        <w:rPr>
          <w:rFonts w:ascii="Arial" w:cs="Arial" w:eastAsia="Arial" w:hAnsi="Arial"/>
          <w:sz w:val="18"/>
          <w:szCs w:val="18"/>
          <w:b w:val="1"/>
          <w:bCs w:val="1"/>
          <w:color w:val="auto"/>
        </w:rPr>
        <w:t xml:space="preserve"> </w:t>
      </w:r>
      <w:r>
        <w:rPr>
          <w:rFonts w:ascii="Arial" w:cs="Arial" w:eastAsia="Arial" w:hAnsi="Arial"/>
          <w:sz w:val="18"/>
          <w:szCs w:val="18"/>
          <w:color w:val="auto"/>
        </w:rPr>
        <w:t>and regulations which may, from time to time, be adopted and promulgated by the Committee pursuant to the Plan. If there is any conflict between the provisions of this Agreement and the Plan, the provisions of the Plan will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12"/>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32"/>
          </w:cols>
          <w:pgMar w:left="328" w:top="1014" w:right="339" w:bottom="1440" w:gutter="0" w:footer="0" w:header="0"/>
        </w:sectPr>
      </w:pPr>
    </w:p>
    <w:bookmarkStart w:id="80" w:name="page81"/>
    <w:bookmarkEnd w:id="80"/>
    <w:p>
      <w:pPr>
        <w:ind w:left="652" w:hanging="652"/>
        <w:spacing w:after="0" w:line="262" w:lineRule="auto"/>
        <w:tabs>
          <w:tab w:leader="none" w:pos="449" w:val="left"/>
        </w:tabs>
        <w:numPr>
          <w:ilvl w:val="0"/>
          <w:numId w:val="75"/>
        </w:numPr>
        <w:rPr>
          <w:rFonts w:ascii="Arial" w:cs="Arial" w:eastAsia="Arial" w:hAnsi="Arial"/>
          <w:sz w:val="19"/>
          <w:szCs w:val="19"/>
          <w:color w:val="auto"/>
        </w:rPr>
      </w:pPr>
      <w:r>
        <w:rPr>
          <w:rFonts w:ascii="Arial" w:cs="Arial" w:eastAsia="Arial" w:hAnsi="Arial"/>
          <w:sz w:val="19"/>
          <w:szCs w:val="19"/>
          <w:b w:val="1"/>
          <w:bCs w:val="1"/>
          <w:u w:val="single" w:color="auto"/>
          <w:color w:val="auto"/>
        </w:rPr>
        <w:t>Choice of Law and Venue</w:t>
      </w:r>
      <w:r>
        <w:rPr>
          <w:rFonts w:ascii="Arial" w:cs="Arial" w:eastAsia="Arial" w:hAnsi="Arial"/>
          <w:sz w:val="19"/>
          <w:szCs w:val="19"/>
          <w:color w:val="auto"/>
        </w:rPr>
        <w:t>. This Award and Agreement will be interpreted and construed in accordance with and governed by the laws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State of Minnesota, and all Participants agree to the exclusive venue and jurisdiction of the State and Federal Courts located in Hennepin County, Minnesota and waive any objection based on lack of jurisdiction or inconvenient forum. Any action relating to or arising out of this Plan must be commenced within one year after the cause of action accrued. This provision will not apply to Participants who relocate and primarily reside and work in California.</w:t>
      </w:r>
    </w:p>
    <w:p>
      <w:pPr>
        <w:spacing w:after="0" w:line="170" w:lineRule="exact"/>
        <w:rPr>
          <w:rFonts w:ascii="Arial" w:cs="Arial" w:eastAsia="Arial" w:hAnsi="Arial"/>
          <w:sz w:val="19"/>
          <w:szCs w:val="19"/>
          <w:color w:val="auto"/>
        </w:rPr>
      </w:pPr>
    </w:p>
    <w:p>
      <w:pPr>
        <w:ind w:left="652" w:right="20" w:hanging="652"/>
        <w:spacing w:after="0" w:line="267" w:lineRule="auto"/>
        <w:tabs>
          <w:tab w:leader="none" w:pos="544" w:val="left"/>
        </w:tabs>
        <w:numPr>
          <w:ilvl w:val="0"/>
          <w:numId w:val="75"/>
        </w:numPr>
        <w:rPr>
          <w:rFonts w:ascii="Arial" w:cs="Arial" w:eastAsia="Arial" w:hAnsi="Arial"/>
          <w:sz w:val="20"/>
          <w:szCs w:val="20"/>
          <w:color w:val="auto"/>
        </w:rPr>
      </w:pPr>
      <w:r>
        <w:rPr>
          <w:rFonts w:ascii="Arial" w:cs="Arial" w:eastAsia="Arial" w:hAnsi="Arial"/>
          <w:sz w:val="20"/>
          <w:szCs w:val="20"/>
          <w:b w:val="1"/>
          <w:bCs w:val="1"/>
          <w:u w:val="single" w:color="auto"/>
          <w:color w:val="auto"/>
        </w:rPr>
        <w:t>Binding Effect</w:t>
      </w:r>
      <w:r>
        <w:rPr>
          <w:rFonts w:ascii="Arial" w:cs="Arial" w:eastAsia="Arial" w:hAnsi="Arial"/>
          <w:sz w:val="20"/>
          <w:szCs w:val="20"/>
          <w:color w:val="auto"/>
        </w:rPr>
        <w:t>. This Agreement will be binding in all respects on your heirs, representatives, successors and assigns, and on the</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and assigns of the Company.</w:t>
      </w:r>
    </w:p>
    <w:p>
      <w:pPr>
        <w:spacing w:after="0" w:line="163" w:lineRule="exact"/>
        <w:rPr>
          <w:rFonts w:ascii="Arial" w:cs="Arial" w:eastAsia="Arial" w:hAnsi="Arial"/>
          <w:sz w:val="20"/>
          <w:szCs w:val="20"/>
          <w:color w:val="auto"/>
        </w:rPr>
      </w:pPr>
    </w:p>
    <w:p>
      <w:pPr>
        <w:ind w:left="652" w:hanging="652"/>
        <w:spacing w:after="0" w:line="272" w:lineRule="auto"/>
        <w:tabs>
          <w:tab w:leader="none" w:pos="517"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Law</w:t>
      </w:r>
      <w:r>
        <w:rPr>
          <w:rFonts w:ascii="Arial" w:cs="Arial" w:eastAsia="Arial" w:hAnsi="Arial"/>
          <w:sz w:val="18"/>
          <w:szCs w:val="18"/>
          <w:color w:val="auto"/>
        </w:rPr>
        <w:t>. Notwithstanding any other provision of the Plan or this Agreement, unless there is an exemption from any</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qualification or other legal requirement applicable to the Shares, the Company shall not be required to deliver any Shares issuable upon settlement of the Units prior to the completion of any registration or qualification of the Shares under U.S. federal, state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You understand that the Company is under no obligation to register or qualify the Shares with the SEC or any state or foreign securities commission or to seek approval or clearance from any governmental authority for the issuance or sale of the Shares. Further, you agree that the Company shall have unilateral authority to amend the Agreement without your consent to the extent necessary to comply with securities or other laws applicable to the issuance of the Shares.</w:t>
      </w:r>
    </w:p>
    <w:p>
      <w:pPr>
        <w:spacing w:after="0" w:line="165" w:lineRule="exact"/>
        <w:rPr>
          <w:rFonts w:ascii="Arial" w:cs="Arial" w:eastAsia="Arial" w:hAnsi="Arial"/>
          <w:sz w:val="18"/>
          <w:szCs w:val="18"/>
          <w:color w:val="auto"/>
        </w:rPr>
      </w:pPr>
    </w:p>
    <w:p>
      <w:pPr>
        <w:ind w:left="652" w:hanging="652"/>
        <w:spacing w:after="0" w:line="253" w:lineRule="auto"/>
        <w:tabs>
          <w:tab w:leader="none" w:pos="449" w:val="left"/>
        </w:tabs>
        <w:numPr>
          <w:ilvl w:val="0"/>
          <w:numId w:val="75"/>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 of the Code</w:t>
      </w:r>
      <w:r>
        <w:rPr>
          <w:rFonts w:ascii="Arial" w:cs="Arial" w:eastAsia="Arial" w:hAnsi="Arial"/>
          <w:sz w:val="20"/>
          <w:szCs w:val="20"/>
          <w:color w:val="auto"/>
        </w:rPr>
        <w:t>. The Units as provided in this Agreement and any issuance of Shares or payment pursuant to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are intended to be exempt from Section 409A of the Code under the short-term deferral exception specified in Treas. Reg. §1.409A-l(b)(4).</w:t>
      </w:r>
    </w:p>
    <w:p>
      <w:pPr>
        <w:spacing w:after="0" w:line="177" w:lineRule="exact"/>
        <w:rPr>
          <w:rFonts w:ascii="Arial" w:cs="Arial" w:eastAsia="Arial" w:hAnsi="Arial"/>
          <w:sz w:val="20"/>
          <w:szCs w:val="20"/>
          <w:color w:val="auto"/>
        </w:rPr>
      </w:pPr>
    </w:p>
    <w:p>
      <w:pPr>
        <w:ind w:left="652" w:hanging="652"/>
        <w:spacing w:after="0" w:line="277" w:lineRule="auto"/>
        <w:tabs>
          <w:tab w:leader="none" w:pos="571"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Recovery Policy</w:t>
      </w:r>
      <w:r>
        <w:rPr>
          <w:rFonts w:ascii="Arial" w:cs="Arial" w:eastAsia="Arial" w:hAnsi="Arial"/>
          <w:sz w:val="18"/>
          <w:szCs w:val="18"/>
          <w:color w:val="auto"/>
        </w:rPr>
        <w:t>. To the extent that any compensation paid or payable pursuant to this Agreement is considered</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“incentive-based compensation” within the meaning and subject to the requirements of Section 10D of the Exchange Act, such compensation shall be subject to potential forfeiture or recovery by the Company in accordance with any compensation recovery policy adopted by the Board or any committee thereof in response to the requirements of Section 10D of the Exchange Act and any implementing rules and regulations thereunder adopted by the SEC or any national securities exchange on which the Stock is then listed. This Agreement may be unilaterally amended by the Company to comply with any such compensation recovery policy.</w:t>
      </w:r>
    </w:p>
    <w:p>
      <w:pPr>
        <w:spacing w:after="0" w:line="159" w:lineRule="exact"/>
        <w:rPr>
          <w:rFonts w:ascii="Arial" w:cs="Arial" w:eastAsia="Arial" w:hAnsi="Arial"/>
          <w:sz w:val="18"/>
          <w:szCs w:val="18"/>
          <w:color w:val="auto"/>
        </w:rPr>
      </w:pPr>
    </w:p>
    <w:p>
      <w:pPr>
        <w:ind w:left="652" w:hanging="652"/>
        <w:spacing w:after="0" w:line="275" w:lineRule="auto"/>
        <w:tabs>
          <w:tab w:leader="none" w:pos="449"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Insider Trading/Market Abuse Restrictions</w:t>
      </w:r>
      <w:r>
        <w:rPr>
          <w:rFonts w:ascii="Arial" w:cs="Arial" w:eastAsia="Arial" w:hAnsi="Arial"/>
          <w:sz w:val="18"/>
          <w:szCs w:val="18"/>
          <w:color w:val="auto"/>
        </w:rPr>
        <w:t>. You may be subject to insider trading restrictions and/or market abuse laws in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jurisdictions including, but not limited to, the U.S. and your country of residence, which may affect your ability to accept, acquire, sell or otherwise dispose of Shares or rights to Shares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Units) or rights linked to the value of Shares during such times as you are considered to have “inside information” regarding the Company (as defined by the laws in your country). Any restrictions under these laws or regulations are separate from and in addition to any restrictions that may be imposed under the Company’s insider trading policy as set forth in the “Statement of Company Policy as to Trades in the Company’s Securities By Company Personnel and Confidential Information.” You are responsible for ensuring compliance with any applicable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12"/>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32"/>
          </w:cols>
          <w:pgMar w:left="328" w:top="1008" w:right="339" w:bottom="1440" w:gutter="0" w:footer="0" w:header="0"/>
        </w:sectPr>
      </w:pPr>
    </w:p>
    <w:bookmarkStart w:id="81" w:name="page82"/>
    <w:bookmarkEnd w:id="81"/>
    <w:p>
      <w:pPr>
        <w:ind w:left="660" w:hanging="652"/>
        <w:spacing w:after="0" w:line="248" w:lineRule="auto"/>
        <w:tabs>
          <w:tab w:leader="none" w:pos="457" w:val="left"/>
        </w:tabs>
        <w:numPr>
          <w:ilvl w:val="0"/>
          <w:numId w:val="76"/>
        </w:numPr>
        <w:rPr>
          <w:rFonts w:ascii="Arial" w:cs="Arial" w:eastAsia="Arial" w:hAnsi="Arial"/>
          <w:sz w:val="20"/>
          <w:szCs w:val="20"/>
          <w:color w:val="auto"/>
        </w:rPr>
      </w:pPr>
      <w:r>
        <w:rPr>
          <w:rFonts w:ascii="Arial" w:cs="Arial" w:eastAsia="Arial" w:hAnsi="Arial"/>
          <w:sz w:val="20"/>
          <w:szCs w:val="20"/>
          <w:b w:val="1"/>
          <w:bCs w:val="1"/>
          <w:u w:val="single" w:color="auto"/>
          <w:color w:val="auto"/>
        </w:rPr>
        <w:t>Country-Specific Terms</w:t>
      </w:r>
      <w:r>
        <w:rPr>
          <w:rFonts w:ascii="Arial" w:cs="Arial" w:eastAsia="Arial" w:hAnsi="Arial"/>
          <w:sz w:val="20"/>
          <w:szCs w:val="20"/>
          <w:color w:val="auto"/>
        </w:rPr>
        <w:t>. The Award shall be subject to the Country-Specific Terms attached hereto as Addendum B. Moreover, if you</w:t>
      </w:r>
      <w:r>
        <w:rPr>
          <w:rFonts w:ascii="Arial" w:cs="Arial" w:eastAsia="Arial" w:hAnsi="Arial"/>
          <w:sz w:val="20"/>
          <w:szCs w:val="20"/>
          <w:b w:val="1"/>
          <w:bCs w:val="1"/>
          <w:color w:val="auto"/>
        </w:rPr>
        <w:t xml:space="preserve"> </w:t>
      </w:r>
      <w:r>
        <w:rPr>
          <w:rFonts w:ascii="Arial" w:cs="Arial" w:eastAsia="Arial" w:hAnsi="Arial"/>
          <w:sz w:val="20"/>
          <w:szCs w:val="20"/>
          <w:color w:val="auto"/>
        </w:rPr>
        <w:t>relocate to one of the countries included in Addendum B, the country specific terms will apply to you, to the extent the Company determines that the application of such terms is necessary or advisable for legal or administrative reasons. Addendum B constitutes part of this Agreement.</w:t>
      </w:r>
    </w:p>
    <w:p>
      <w:pPr>
        <w:spacing w:after="0" w:line="183" w:lineRule="exact"/>
        <w:rPr>
          <w:rFonts w:ascii="Arial" w:cs="Arial" w:eastAsia="Arial" w:hAnsi="Arial"/>
          <w:sz w:val="20"/>
          <w:szCs w:val="20"/>
          <w:color w:val="auto"/>
        </w:rPr>
      </w:pPr>
    </w:p>
    <w:p>
      <w:pPr>
        <w:ind w:left="660" w:hanging="652"/>
        <w:spacing w:after="0" w:line="248" w:lineRule="auto"/>
        <w:tabs>
          <w:tab w:leader="none" w:pos="484" w:val="left"/>
        </w:tabs>
        <w:numPr>
          <w:ilvl w:val="0"/>
          <w:numId w:val="76"/>
        </w:numPr>
        <w:rPr>
          <w:rFonts w:ascii="Arial" w:cs="Arial" w:eastAsia="Arial" w:hAnsi="Arial"/>
          <w:sz w:val="20"/>
          <w:szCs w:val="20"/>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your participation in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on the Award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83" w:lineRule="exact"/>
        <w:rPr>
          <w:rFonts w:ascii="Arial" w:cs="Arial" w:eastAsia="Arial" w:hAnsi="Arial"/>
          <w:sz w:val="20"/>
          <w:szCs w:val="20"/>
          <w:color w:val="auto"/>
        </w:rPr>
      </w:pPr>
    </w:p>
    <w:p>
      <w:pPr>
        <w:ind w:left="660" w:hanging="652"/>
        <w:spacing w:after="0" w:line="248" w:lineRule="auto"/>
        <w:tabs>
          <w:tab w:leader="none" w:pos="511" w:val="left"/>
        </w:tabs>
        <w:numPr>
          <w:ilvl w:val="0"/>
          <w:numId w:val="76"/>
        </w:numPr>
        <w:rPr>
          <w:rFonts w:ascii="Arial" w:cs="Arial" w:eastAsia="Arial" w:hAnsi="Arial"/>
          <w:sz w:val="20"/>
          <w:szCs w:val="20"/>
          <w:color w:val="auto"/>
        </w:rPr>
      </w:pPr>
      <w:r>
        <w:rPr>
          <w:rFonts w:ascii="Arial" w:cs="Arial" w:eastAsia="Arial" w:hAnsi="Arial"/>
          <w:sz w:val="20"/>
          <w:szCs w:val="20"/>
          <w:b w:val="1"/>
          <w:bCs w:val="1"/>
          <w:u w:val="single" w:color="auto"/>
          <w:color w:val="auto"/>
        </w:rPr>
        <w:t>Language</w:t>
      </w:r>
      <w:r>
        <w:rPr>
          <w:rFonts w:ascii="Arial" w:cs="Arial" w:eastAsia="Arial" w:hAnsi="Arial"/>
          <w:sz w:val="20"/>
          <w:szCs w:val="20"/>
          <w:color w:val="auto"/>
        </w:rPr>
        <w:t>. You acknowledge that you are proficient in the English language, or have consulted with an advisor who is proficient in</w:t>
      </w:r>
      <w:r>
        <w:rPr>
          <w:rFonts w:ascii="Arial" w:cs="Arial" w:eastAsia="Arial" w:hAnsi="Arial"/>
          <w:sz w:val="20"/>
          <w:szCs w:val="20"/>
          <w:b w:val="1"/>
          <w:bCs w:val="1"/>
          <w:color w:val="auto"/>
        </w:rPr>
        <w:t xml:space="preserve"> </w:t>
      </w:r>
      <w:r>
        <w:rPr>
          <w:rFonts w:ascii="Arial" w:cs="Arial" w:eastAsia="Arial" w:hAnsi="Arial"/>
          <w:sz w:val="20"/>
          <w:szCs w:val="20"/>
          <w:color w:val="auto"/>
        </w:rPr>
        <w:t>English, and understand the provisions in this Agreement and the Plan. Further, if you have received this Agreement or any other document related to the Plan translated into a language other than English and if the meaning of the translated version is different than the English version, the English version will control.</w:t>
      </w:r>
    </w:p>
    <w:p>
      <w:pPr>
        <w:spacing w:after="0" w:line="183" w:lineRule="exact"/>
        <w:rPr>
          <w:rFonts w:ascii="Arial" w:cs="Arial" w:eastAsia="Arial" w:hAnsi="Arial"/>
          <w:sz w:val="20"/>
          <w:szCs w:val="20"/>
          <w:color w:val="auto"/>
        </w:rPr>
      </w:pPr>
    </w:p>
    <w:p>
      <w:pPr>
        <w:ind w:left="660" w:hanging="652"/>
        <w:spacing w:after="0" w:line="248" w:lineRule="auto"/>
        <w:tabs>
          <w:tab w:leader="none" w:pos="457" w:val="left"/>
        </w:tabs>
        <w:numPr>
          <w:ilvl w:val="0"/>
          <w:numId w:val="76"/>
        </w:numPr>
        <w:rPr>
          <w:rFonts w:ascii="Arial" w:cs="Arial" w:eastAsia="Arial" w:hAnsi="Arial"/>
          <w:sz w:val="20"/>
          <w:szCs w:val="20"/>
          <w:color w:val="auto"/>
        </w:rPr>
      </w:pPr>
      <w:r>
        <w:rPr>
          <w:rFonts w:ascii="Arial" w:cs="Arial" w:eastAsia="Arial" w:hAnsi="Arial"/>
          <w:sz w:val="20"/>
          <w:szCs w:val="20"/>
          <w:b w:val="1"/>
          <w:bCs w:val="1"/>
          <w:u w:val="single" w:color="auto"/>
          <w:color w:val="auto"/>
        </w:rPr>
        <w:t>Electronic Delivery and Participation</w:t>
      </w:r>
      <w:r>
        <w:rPr>
          <w:rFonts w:ascii="Arial" w:cs="Arial" w:eastAsia="Arial" w:hAnsi="Arial"/>
          <w:sz w:val="20"/>
          <w:szCs w:val="20"/>
          <w:color w:val="auto"/>
        </w:rPr>
        <w:t>. The Company may, in its sole discretion, decide to deliver any documents related to current or</w:t>
      </w:r>
      <w:r>
        <w:rPr>
          <w:rFonts w:ascii="Arial" w:cs="Arial" w:eastAsia="Arial" w:hAnsi="Arial"/>
          <w:sz w:val="20"/>
          <w:szCs w:val="20"/>
          <w:b w:val="1"/>
          <w:bCs w:val="1"/>
          <w:color w:val="auto"/>
        </w:rPr>
        <w:t xml:space="preserve"> </w:t>
      </w:r>
      <w:r>
        <w:rPr>
          <w:rFonts w:ascii="Arial" w:cs="Arial" w:eastAsia="Arial" w:hAnsi="Arial"/>
          <w:sz w:val="20"/>
          <w:szCs w:val="20"/>
          <w:color w:val="auto"/>
        </w:rPr>
        <w:t>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83" w:lineRule="exact"/>
        <w:rPr>
          <w:rFonts w:ascii="Arial" w:cs="Arial" w:eastAsia="Arial" w:hAnsi="Arial"/>
          <w:sz w:val="20"/>
          <w:szCs w:val="20"/>
          <w:color w:val="auto"/>
        </w:rPr>
      </w:pPr>
    </w:p>
    <w:p>
      <w:pPr>
        <w:ind w:left="660" w:right="20" w:hanging="652"/>
        <w:spacing w:after="0" w:line="293" w:lineRule="auto"/>
        <w:tabs>
          <w:tab w:leader="none" w:pos="579" w:val="left"/>
        </w:tabs>
        <w:numPr>
          <w:ilvl w:val="0"/>
          <w:numId w:val="76"/>
        </w:numPr>
        <w:rPr>
          <w:rFonts w:ascii="Arial" w:cs="Arial" w:eastAsia="Arial" w:hAnsi="Arial"/>
          <w:sz w:val="19"/>
          <w:szCs w:val="19"/>
          <w:color w:val="auto"/>
        </w:rPr>
      </w:pPr>
      <w:r>
        <w:rPr>
          <w:rFonts w:ascii="Arial" w:cs="Arial" w:eastAsia="Arial" w:hAnsi="Arial"/>
          <w:sz w:val="19"/>
          <w:szCs w:val="19"/>
          <w:b w:val="1"/>
          <w:bCs w:val="1"/>
          <w:u w:val="single" w:color="auto"/>
          <w:color w:val="auto"/>
        </w:rPr>
        <w:t>Waiver</w:t>
      </w:r>
      <w:r>
        <w:rPr>
          <w:rFonts w:ascii="Arial" w:cs="Arial" w:eastAsia="Arial" w:hAnsi="Arial"/>
          <w:sz w:val="19"/>
          <w:szCs w:val="19"/>
          <w:color w:val="auto"/>
        </w:rPr>
        <w:t>. You acknowledge that a waiver by the Company of breach of any provision of this Agreement shall not operate or be</w:t>
      </w:r>
      <w:r>
        <w:rPr>
          <w:rFonts w:ascii="Arial" w:cs="Arial" w:eastAsia="Arial" w:hAnsi="Arial"/>
          <w:sz w:val="19"/>
          <w:szCs w:val="19"/>
          <w:b w:val="1"/>
          <w:bCs w:val="1"/>
          <w:color w:val="auto"/>
        </w:rPr>
        <w:t xml:space="preserve"> </w:t>
      </w:r>
      <w:r>
        <w:rPr>
          <w:rFonts w:ascii="Arial" w:cs="Arial" w:eastAsia="Arial" w:hAnsi="Arial"/>
          <w:sz w:val="19"/>
          <w:szCs w:val="19"/>
          <w:color w:val="auto"/>
        </w:rPr>
        <w:t>construed as a waiver of any other provision of this Agreement, or of any subsequent breach by you or any other Participant.</w:t>
      </w:r>
    </w:p>
    <w:p>
      <w:pPr>
        <w:spacing w:after="0" w:line="141" w:lineRule="exact"/>
        <w:rPr>
          <w:rFonts w:ascii="Arial" w:cs="Arial" w:eastAsia="Arial" w:hAnsi="Arial"/>
          <w:sz w:val="19"/>
          <w:szCs w:val="19"/>
          <w:color w:val="auto"/>
        </w:rPr>
      </w:pPr>
    </w:p>
    <w:p>
      <w:pPr>
        <w:ind w:left="660" w:right="20" w:hanging="652"/>
        <w:spacing w:after="0" w:line="293" w:lineRule="auto"/>
        <w:tabs>
          <w:tab w:leader="none" w:pos="579" w:val="left"/>
        </w:tabs>
        <w:numPr>
          <w:ilvl w:val="0"/>
          <w:numId w:val="76"/>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The provisions of this Agreement are severable and if any one or more provisions are determined to be illegal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unenforceable, in whole or in part, the remaining provisions shall nevertheless be binding and enforceable.</w:t>
      </w:r>
    </w:p>
    <w:p>
      <w:pPr>
        <w:spacing w:after="0" w:line="141" w:lineRule="exact"/>
        <w:rPr>
          <w:rFonts w:ascii="Arial" w:cs="Arial" w:eastAsia="Arial" w:hAnsi="Arial"/>
          <w:sz w:val="19"/>
          <w:szCs w:val="19"/>
          <w:color w:val="auto"/>
        </w:rPr>
      </w:pPr>
    </w:p>
    <w:p>
      <w:pPr>
        <w:jc w:val="both"/>
        <w:ind w:left="660" w:hanging="652"/>
        <w:spacing w:after="0" w:line="244" w:lineRule="auto"/>
        <w:tabs>
          <w:tab w:leader="none" w:pos="633" w:val="left"/>
        </w:tabs>
        <w:numPr>
          <w:ilvl w:val="0"/>
          <w:numId w:val="76"/>
        </w:numPr>
        <w:rPr>
          <w:rFonts w:ascii="Arial" w:cs="Arial" w:eastAsia="Arial" w:hAnsi="Arial"/>
          <w:sz w:val="20"/>
          <w:szCs w:val="20"/>
          <w:color w:val="auto"/>
        </w:rPr>
      </w:pPr>
      <w:r>
        <w:rPr>
          <w:rFonts w:ascii="Arial" w:cs="Arial" w:eastAsia="Arial" w:hAnsi="Arial"/>
          <w:sz w:val="20"/>
          <w:szCs w:val="20"/>
          <w:b w:val="1"/>
          <w:bCs w:val="1"/>
          <w:u w:val="single" w:color="auto"/>
          <w:color w:val="auto"/>
        </w:rPr>
        <w:t>Foreign Asset/Account Reporting, Exchange Control Requirements</w:t>
      </w:r>
      <w:r>
        <w:rPr>
          <w:rFonts w:ascii="Arial" w:cs="Arial" w:eastAsia="Arial" w:hAnsi="Arial"/>
          <w:sz w:val="20"/>
          <w:szCs w:val="20"/>
          <w:color w:val="auto"/>
        </w:rPr>
        <w:t>. Certain foreign asset and/or foreign account reporting</w:t>
      </w:r>
      <w:r>
        <w:rPr>
          <w:rFonts w:ascii="Arial" w:cs="Arial" w:eastAsia="Arial" w:hAnsi="Arial"/>
          <w:sz w:val="20"/>
          <w:szCs w:val="20"/>
          <w:b w:val="1"/>
          <w:bCs w:val="1"/>
          <w:color w:val="auto"/>
        </w:rPr>
        <w:t xml:space="preserve"> </w:t>
      </w:r>
      <w:r>
        <w:rPr>
          <w:rFonts w:ascii="Arial" w:cs="Arial" w:eastAsia="Arial" w:hAnsi="Arial"/>
          <w:sz w:val="20"/>
          <w:szCs w:val="20"/>
          <w:color w:val="auto"/>
        </w:rPr>
        <w:t>requirements and exchange controls may affect your ability to acquire or hold Shares under the Plan or cash received from participating in the Plan in a brokerage or bank account outside your country. You may be required to report such accounts, assets or transactions to the tax or other authorities in your country. You may also be required to repatriate sale proceeds or other funds received as a result of your participation in the Plan to your country through a designated bank or broker and/or within a certain time after receipt. You are responsible for complying with any applicable regulations and should consult your personal legal and tax advisors for any details.</w:t>
      </w:r>
    </w:p>
    <w:p>
      <w:pPr>
        <w:spacing w:after="0" w:line="192"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b w:val="1"/>
          <w:bCs w:val="1"/>
          <w:i w:val="1"/>
          <w:iCs w:val="1"/>
          <w:color w:val="auto"/>
        </w:rPr>
        <w:t>By accepting this Award in the manner prescribed by the Company, you agree to all the terms and conditions described in this Agreement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008"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20"/>
          <w:szCs w:val="20"/>
          <w:b w:val="1"/>
          <w:bCs w:val="1"/>
          <w:color w:val="auto"/>
        </w:rPr>
        <w:t>EXHIBIT 10.7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Long-Term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Employee Non-Statutory Stock Option Agreement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Option Terms and Conditions</w:t>
      </w:r>
      <w:r>
        <w:rPr>
          <w:rFonts w:ascii="Arial" w:cs="Arial" w:eastAsia="Arial" w:hAnsi="Arial"/>
          <w:sz w:val="25"/>
          <w:szCs w:val="25"/>
          <w:color w:val="auto"/>
          <w:vertAlign w:val="superscript"/>
        </w:rPr>
        <w:t>1</w:t>
      </w:r>
    </w:p>
    <w:p>
      <w:pPr>
        <w:spacing w:after="0" w:line="172" w:lineRule="exact"/>
        <w:rPr>
          <w:sz w:val="20"/>
          <w:szCs w:val="20"/>
          <w:color w:val="auto"/>
        </w:rPr>
      </w:pPr>
    </w:p>
    <w:p>
      <w:pPr>
        <w:ind w:left="660" w:hanging="652"/>
        <w:spacing w:after="0" w:line="248" w:lineRule="auto"/>
        <w:tabs>
          <w:tab w:leader="none" w:pos="358" w:val="left"/>
        </w:tabs>
        <w:numPr>
          <w:ilvl w:val="0"/>
          <w:numId w:val="77"/>
        </w:numPr>
        <w:rPr>
          <w:rFonts w:ascii="Arial" w:cs="Arial" w:eastAsia="Arial" w:hAnsi="Arial"/>
          <w:sz w:val="20"/>
          <w:szCs w:val="20"/>
          <w:color w:val="auto"/>
        </w:rPr>
      </w:pPr>
      <w:r>
        <w:rPr>
          <w:rFonts w:ascii="Arial" w:cs="Arial" w:eastAsia="Arial" w:hAnsi="Arial"/>
          <w:sz w:val="20"/>
          <w:szCs w:val="20"/>
          <w:b w:val="1"/>
          <w:bCs w:val="1"/>
          <w:u w:val="single" w:color="auto"/>
          <w:color w:val="auto"/>
        </w:rPr>
        <w:t>Grant of Stock Options</w:t>
      </w:r>
      <w:r>
        <w:rPr>
          <w:rFonts w:ascii="Arial" w:cs="Arial" w:eastAsia="Arial" w:hAnsi="Arial"/>
          <w:sz w:val="20"/>
          <w:szCs w:val="20"/>
          <w:color w:val="auto"/>
        </w:rPr>
        <w:t>. The Company hereby grants to you, subject to the terms and conditions in this Global Employee Non-Statutory</w:t>
      </w:r>
      <w:r>
        <w:rPr>
          <w:rFonts w:ascii="Arial" w:cs="Arial" w:eastAsia="Arial" w:hAnsi="Arial"/>
          <w:sz w:val="20"/>
          <w:szCs w:val="20"/>
          <w:b w:val="1"/>
          <w:bCs w:val="1"/>
          <w:color w:val="auto"/>
        </w:rPr>
        <w:t xml:space="preserve"> </w:t>
      </w:r>
      <w:r>
        <w:rPr>
          <w:rFonts w:ascii="Arial" w:cs="Arial" w:eastAsia="Arial" w:hAnsi="Arial"/>
          <w:sz w:val="20"/>
          <w:szCs w:val="20"/>
          <w:color w:val="auto"/>
        </w:rPr>
        <w:t>Stock Option Agreement, including the terms for Participants outside the United States set forth in the Addenda (collectively, the “Agreement”) and subject to the terms and conditions of the Plan, an option to purchase the number of Shares specified on the cover page of this Agreement (the “Option”).</w:t>
      </w:r>
    </w:p>
    <w:p>
      <w:pPr>
        <w:spacing w:after="0" w:line="183" w:lineRule="exact"/>
        <w:rPr>
          <w:rFonts w:ascii="Arial" w:cs="Arial" w:eastAsia="Arial" w:hAnsi="Arial"/>
          <w:sz w:val="20"/>
          <w:szCs w:val="20"/>
          <w:color w:val="auto"/>
        </w:rPr>
      </w:pPr>
    </w:p>
    <w:p>
      <w:pPr>
        <w:ind w:left="660" w:hanging="652"/>
        <w:spacing w:after="0" w:line="267" w:lineRule="auto"/>
        <w:tabs>
          <w:tab w:leader="none" w:pos="399" w:val="left"/>
        </w:tabs>
        <w:numPr>
          <w:ilvl w:val="0"/>
          <w:numId w:val="77"/>
        </w:numPr>
        <w:rPr>
          <w:rFonts w:ascii="Arial" w:cs="Arial" w:eastAsia="Arial" w:hAnsi="Arial"/>
          <w:sz w:val="20"/>
          <w:szCs w:val="20"/>
          <w:color w:val="auto"/>
        </w:rPr>
      </w:pPr>
      <w:r>
        <w:rPr>
          <w:rFonts w:ascii="Arial" w:cs="Arial" w:eastAsia="Arial" w:hAnsi="Arial"/>
          <w:sz w:val="20"/>
          <w:szCs w:val="20"/>
          <w:b w:val="1"/>
          <w:bCs w:val="1"/>
          <w:u w:val="single" w:color="auto"/>
          <w:color w:val="auto"/>
        </w:rPr>
        <w:t>Non-Statutory Stock Option</w:t>
      </w:r>
      <w:r>
        <w:rPr>
          <w:rFonts w:ascii="Arial" w:cs="Arial" w:eastAsia="Arial" w:hAnsi="Arial"/>
          <w:sz w:val="20"/>
          <w:szCs w:val="20"/>
          <w:color w:val="auto"/>
        </w:rPr>
        <w:t>. This Option 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not</w:t>
      </w:r>
      <w:r>
        <w:rPr>
          <w:rFonts w:ascii="Arial" w:cs="Arial" w:eastAsia="Arial" w:hAnsi="Arial"/>
          <w:sz w:val="20"/>
          <w:szCs w:val="20"/>
          <w:b w:val="1"/>
          <w:bCs w:val="1"/>
          <w:color w:val="auto"/>
        </w:rPr>
        <w:t xml:space="preserve"> </w:t>
      </w:r>
      <w:r>
        <w:rPr>
          <w:rFonts w:ascii="Arial" w:cs="Arial" w:eastAsia="Arial" w:hAnsi="Arial"/>
          <w:sz w:val="20"/>
          <w:szCs w:val="20"/>
          <w:color w:val="auto"/>
        </w:rPr>
        <w:t>intended to be an “incentive stock option” within the meaning of Section 422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Code and will be interpreted accordingly.</w:t>
      </w:r>
    </w:p>
    <w:p>
      <w:pPr>
        <w:spacing w:after="0" w:line="163" w:lineRule="exact"/>
        <w:rPr>
          <w:rFonts w:ascii="Arial" w:cs="Arial" w:eastAsia="Arial" w:hAnsi="Arial"/>
          <w:sz w:val="20"/>
          <w:szCs w:val="20"/>
          <w:color w:val="auto"/>
        </w:rPr>
      </w:pPr>
    </w:p>
    <w:p>
      <w:pPr>
        <w:ind w:left="660" w:hanging="652"/>
        <w:spacing w:after="0" w:line="246" w:lineRule="auto"/>
        <w:tabs>
          <w:tab w:leader="none" w:pos="372" w:val="left"/>
        </w:tabs>
        <w:numPr>
          <w:ilvl w:val="0"/>
          <w:numId w:val="77"/>
        </w:numPr>
        <w:rPr>
          <w:rFonts w:ascii="Arial" w:cs="Arial" w:eastAsia="Arial" w:hAnsi="Arial"/>
          <w:sz w:val="20"/>
          <w:szCs w:val="20"/>
          <w:color w:val="auto"/>
        </w:rPr>
      </w:pPr>
      <w:r>
        <w:rPr>
          <w:rFonts w:ascii="Arial" w:cs="Arial" w:eastAsia="Arial" w:hAnsi="Arial"/>
          <w:sz w:val="20"/>
          <w:szCs w:val="20"/>
          <w:b w:val="1"/>
          <w:bCs w:val="1"/>
          <w:u w:val="single" w:color="auto"/>
          <w:color w:val="auto"/>
        </w:rPr>
        <w:t>Vesting and Exercise Schedule</w:t>
      </w:r>
      <w:r>
        <w:rPr>
          <w:rFonts w:ascii="Arial" w:cs="Arial" w:eastAsia="Arial" w:hAnsi="Arial"/>
          <w:sz w:val="20"/>
          <w:szCs w:val="20"/>
          <w:color w:val="auto"/>
        </w:rPr>
        <w:t>. This Option will vest and become exercisable as to the portion of Shares and on the dates specified on</w:t>
      </w:r>
      <w:r>
        <w:rPr>
          <w:rFonts w:ascii="Arial" w:cs="Arial" w:eastAsia="Arial" w:hAnsi="Arial"/>
          <w:sz w:val="20"/>
          <w:szCs w:val="20"/>
          <w:b w:val="1"/>
          <w:bCs w:val="1"/>
          <w:color w:val="auto"/>
        </w:rPr>
        <w:t xml:space="preserve"> </w:t>
      </w:r>
      <w:r>
        <w:rPr>
          <w:rFonts w:ascii="Arial" w:cs="Arial" w:eastAsia="Arial" w:hAnsi="Arial"/>
          <w:sz w:val="20"/>
          <w:szCs w:val="20"/>
          <w:color w:val="auto"/>
        </w:rPr>
        <w:t>the cover page to this Agreement, so long as you remain an Employee. The vesting and exercise schedule is cumulative, meaning that to the extent the Option has not already been exercised and has not expired, terminated or been cancelled, you or the person otherwise entitled to exercise the Option as provided in this Agreement may at any time purchase all or any portion of the Shares that may then be purchased under that schedule.</w:t>
      </w:r>
    </w:p>
    <w:p>
      <w:pPr>
        <w:spacing w:after="0" w:line="191" w:lineRule="exact"/>
        <w:rPr>
          <w:sz w:val="20"/>
          <w:szCs w:val="20"/>
          <w:color w:val="auto"/>
        </w:rPr>
      </w:pPr>
    </w:p>
    <w:p>
      <w:pPr>
        <w:jc w:val="both"/>
        <w:ind w:left="660" w:hanging="435"/>
        <w:spacing w:after="0" w:line="243" w:lineRule="auto"/>
        <w:rPr>
          <w:sz w:val="20"/>
          <w:szCs w:val="20"/>
          <w:color w:val="auto"/>
        </w:rPr>
      </w:pPr>
      <w:r>
        <w:rPr>
          <w:rFonts w:ascii="Arial" w:cs="Arial" w:eastAsia="Arial" w:hAnsi="Arial"/>
          <w:sz w:val="20"/>
          <w:szCs w:val="20"/>
          <w:color w:val="auto"/>
        </w:rPr>
        <w:t>Vesting and exercisability of this Option will be accelerated during the term of the Option if your Service to the Company or any Affiliate terminates because of your death or Disability, as provided in Section 6(e)(2) of the Plan. Vesting and exercisability will also be accelerated under the circumstances described in Section 12(d) of the Plan and may be accelerated by action of the Committee in accordance with Sections 3(b)(2), 12(b)(3) and 12(c) of the Plan. Vesting and exercisability may also be accelerated upon the occurrence of events and in accordance with the terms and conditions specified in any other written agreement you have with the Company.</w:t>
      </w:r>
    </w:p>
    <w:p>
      <w:pPr>
        <w:spacing w:after="0" w:line="190" w:lineRule="exact"/>
        <w:rPr>
          <w:sz w:val="20"/>
          <w:szCs w:val="20"/>
          <w:color w:val="auto"/>
        </w:rPr>
      </w:pPr>
    </w:p>
    <w:p>
      <w:pPr>
        <w:ind w:left="360" w:hanging="352"/>
        <w:spacing w:after="0"/>
        <w:tabs>
          <w:tab w:leader="none" w:pos="360" w:val="left"/>
        </w:tabs>
        <w:numPr>
          <w:ilvl w:val="0"/>
          <w:numId w:val="78"/>
        </w:numPr>
        <w:rPr>
          <w:rFonts w:ascii="Arial" w:cs="Arial" w:eastAsia="Arial" w:hAnsi="Arial"/>
          <w:sz w:val="20"/>
          <w:szCs w:val="20"/>
          <w:color w:val="auto"/>
        </w:rPr>
      </w:pPr>
      <w:r>
        <w:rPr>
          <w:rFonts w:ascii="Arial" w:cs="Arial" w:eastAsia="Arial" w:hAnsi="Arial"/>
          <w:sz w:val="20"/>
          <w:szCs w:val="20"/>
          <w:b w:val="1"/>
          <w:bCs w:val="1"/>
          <w:u w:val="single" w:color="auto"/>
          <w:color w:val="auto"/>
        </w:rPr>
        <w:t>Expiration</w:t>
      </w:r>
      <w:r>
        <w:rPr>
          <w:rFonts w:ascii="Arial" w:cs="Arial" w:eastAsia="Arial" w:hAnsi="Arial"/>
          <w:sz w:val="20"/>
          <w:szCs w:val="20"/>
          <w:color w:val="auto"/>
        </w:rPr>
        <w:t>. This Option will expire and will no longer be exercisable at 5:00 p.m. Central Time on the earliest of:</w:t>
      </w:r>
    </w:p>
    <w:p>
      <w:pPr>
        <w:spacing w:after="0" w:line="221" w:lineRule="exact"/>
        <w:rPr>
          <w:rFonts w:ascii="Arial" w:cs="Arial" w:eastAsia="Arial" w:hAnsi="Arial"/>
          <w:sz w:val="20"/>
          <w:szCs w:val="20"/>
          <w:color w:val="auto"/>
        </w:rPr>
      </w:pPr>
    </w:p>
    <w:p>
      <w:pPr>
        <w:ind w:left="1300" w:hanging="644"/>
        <w:spacing w:after="0"/>
        <w:tabs>
          <w:tab w:leader="none" w:pos="1300"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expiration date specified on the cover page of this Agreement;</w:t>
      </w:r>
    </w:p>
    <w:p>
      <w:pPr>
        <w:spacing w:after="0" w:line="215" w:lineRule="exact"/>
        <w:rPr>
          <w:rFonts w:ascii="Arial" w:cs="Arial" w:eastAsia="Arial" w:hAnsi="Arial"/>
          <w:sz w:val="20"/>
          <w:szCs w:val="20"/>
          <w:color w:val="auto"/>
        </w:rPr>
      </w:pPr>
    </w:p>
    <w:p>
      <w:pPr>
        <w:ind w:left="1300" w:hanging="644"/>
        <w:spacing w:after="0" w:line="260" w:lineRule="auto"/>
        <w:tabs>
          <w:tab w:leader="none" w:pos="1288"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expiration of any applicable period specified in Section 6(e) of the Plan during which this Option may be exercised after your termination of Service;</w:t>
      </w:r>
    </w:p>
    <w:p>
      <w:pPr>
        <w:spacing w:after="0" w:line="176" w:lineRule="exact"/>
        <w:rPr>
          <w:rFonts w:ascii="Arial" w:cs="Arial" w:eastAsia="Arial" w:hAnsi="Arial"/>
          <w:sz w:val="20"/>
          <w:szCs w:val="20"/>
          <w:color w:val="auto"/>
        </w:rPr>
      </w:pPr>
    </w:p>
    <w:p>
      <w:pPr>
        <w:ind w:left="1300" w:hanging="644"/>
        <w:spacing w:after="0" w:line="260" w:lineRule="auto"/>
        <w:tabs>
          <w:tab w:leader="none" w:pos="1290" w:val="left"/>
        </w:tabs>
        <w:numPr>
          <w:ilvl w:val="1"/>
          <w:numId w:val="78"/>
        </w:numPr>
        <w:rPr>
          <w:rFonts w:ascii="Arial" w:cs="Arial" w:eastAsia="Arial" w:hAnsi="Arial"/>
          <w:sz w:val="20"/>
          <w:szCs w:val="20"/>
          <w:color w:val="auto"/>
        </w:rPr>
      </w:pPr>
      <w:r>
        <w:rPr>
          <w:rFonts w:ascii="Arial" w:cs="Arial" w:eastAsia="Arial" w:hAnsi="Arial"/>
          <w:sz w:val="20"/>
          <w:szCs w:val="20"/>
          <w:color w:val="auto"/>
        </w:rPr>
        <w:t>if the Committee has taken action to accelerate exercisability in accordance with Sections 13(b)(3) or 13(c) of the Plan, the expiration of any applicable exercise period specified by the Committee pursuant to such action;</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date (if any) fixed for cancellation of this Option pursuant to Section 13(b)(2) or 13(d) of the Plan; or</w:t>
      </w:r>
    </w:p>
    <w:p>
      <w:pPr>
        <w:spacing w:after="0" w:line="215" w:lineRule="exact"/>
        <w:rPr>
          <w:rFonts w:ascii="Arial" w:cs="Arial" w:eastAsia="Arial" w:hAnsi="Arial"/>
          <w:sz w:val="20"/>
          <w:szCs w:val="20"/>
          <w:color w:val="auto"/>
        </w:rPr>
      </w:pPr>
    </w:p>
    <w:p>
      <w:pPr>
        <w:ind w:left="1300" w:hanging="644"/>
        <w:spacing w:after="0" w:line="260" w:lineRule="auto"/>
        <w:tabs>
          <w:tab w:leader="none" w:pos="1290"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expiration of any applicable period specified in any other written agreement you have with the Company providing for accelerated vesting and exercisability.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14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81" w:lineRule="exact"/>
        <w:rPr>
          <w:sz w:val="20"/>
          <w:szCs w:val="20"/>
          <w:color w:val="auto"/>
        </w:rPr>
      </w:pPr>
    </w:p>
    <w:p>
      <w:pPr>
        <w:ind w:firstLine="8"/>
        <w:spacing w:after="0" w:line="211" w:lineRule="auto"/>
        <w:tabs>
          <w:tab w:leader="none" w:pos="113" w:val="left"/>
        </w:tabs>
        <w:numPr>
          <w:ilvl w:val="0"/>
          <w:numId w:val="79"/>
        </w:numPr>
        <w:rPr>
          <w:rFonts w:ascii="Arial" w:cs="Arial" w:eastAsia="Arial" w:hAnsi="Arial"/>
          <w:sz w:val="26"/>
          <w:szCs w:val="26"/>
          <w:color w:val="auto"/>
          <w:vertAlign w:val="superscript"/>
        </w:rPr>
      </w:pPr>
      <w:r>
        <w:rPr>
          <w:rFonts w:ascii="Arial" w:cs="Arial" w:eastAsia="Arial" w:hAnsi="Arial"/>
          <w:sz w:val="18"/>
          <w:szCs w:val="18"/>
          <w:color w:val="auto"/>
        </w:rPr>
        <w:t>To the extent any capitalized term used in this Agreement is not defined, it has the meaning assigned to it in the Plan as the Plan currently exists or as it is amended in the future.</w:t>
      </w:r>
    </w:p>
    <w:p>
      <w:pPr>
        <w:sectPr>
          <w:pgSz w:w="11900" w:h="16838" w:orient="portrait"/>
          <w:cols w:equalWidth="0" w:num="1">
            <w:col w:w="11240"/>
          </w:cols>
          <w:pgMar w:left="320" w:top="1021" w:right="339" w:bottom="1440" w:gutter="0" w:footer="0" w:header="0"/>
        </w:sectPr>
      </w:pPr>
    </w:p>
    <w:bookmarkStart w:id="83" w:name="page84"/>
    <w:bookmarkEnd w:id="83"/>
    <w:p>
      <w:pPr>
        <w:ind w:left="660" w:hanging="652"/>
        <w:spacing w:after="0" w:line="248" w:lineRule="auto"/>
        <w:tabs>
          <w:tab w:leader="none" w:pos="426" w:val="left"/>
        </w:tabs>
        <w:numPr>
          <w:ilvl w:val="0"/>
          <w:numId w:val="80"/>
        </w:numPr>
        <w:rPr>
          <w:rFonts w:ascii="Arial" w:cs="Arial" w:eastAsia="Arial" w:hAnsi="Arial"/>
          <w:sz w:val="20"/>
          <w:szCs w:val="20"/>
          <w:color w:val="auto"/>
        </w:rPr>
      </w:pPr>
      <w:r>
        <w:rPr>
          <w:rFonts w:ascii="Arial" w:cs="Arial" w:eastAsia="Arial" w:hAnsi="Arial"/>
          <w:sz w:val="20"/>
          <w:szCs w:val="20"/>
          <w:b w:val="1"/>
          <w:bCs w:val="1"/>
          <w:u w:val="single" w:color="auto"/>
          <w:color w:val="auto"/>
        </w:rPr>
        <w:t>Service Requirement</w:t>
      </w:r>
      <w:r>
        <w:rPr>
          <w:rFonts w:ascii="Arial" w:cs="Arial" w:eastAsia="Arial" w:hAnsi="Arial"/>
          <w:sz w:val="20"/>
          <w:szCs w:val="20"/>
          <w:color w:val="auto"/>
        </w:rPr>
        <w:t>. Except as otherwise provided in Section 6(e) of the Plan, and as may otherwise be provided by action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in accordance with Sections 13(b)(3) or 13(c) of the Plan, this Option may be exercised only while you continue to provide Service to the Company or an Affiliate as an Employee, and only if you have continuously provided such Service since the date this Option was granted.</w:t>
      </w:r>
    </w:p>
    <w:p>
      <w:pPr>
        <w:spacing w:after="0" w:line="183" w:lineRule="exact"/>
        <w:rPr>
          <w:rFonts w:ascii="Arial" w:cs="Arial" w:eastAsia="Arial" w:hAnsi="Arial"/>
          <w:sz w:val="20"/>
          <w:szCs w:val="20"/>
          <w:color w:val="auto"/>
        </w:rPr>
      </w:pPr>
    </w:p>
    <w:p>
      <w:pPr>
        <w:ind w:left="660" w:hanging="652"/>
        <w:spacing w:after="0" w:line="248" w:lineRule="auto"/>
        <w:tabs>
          <w:tab w:leader="none" w:pos="453" w:val="left"/>
        </w:tabs>
        <w:numPr>
          <w:ilvl w:val="0"/>
          <w:numId w:val="80"/>
        </w:numPr>
        <w:rPr>
          <w:rFonts w:ascii="Arial" w:cs="Arial" w:eastAsia="Arial" w:hAnsi="Arial"/>
          <w:sz w:val="20"/>
          <w:szCs w:val="20"/>
          <w:color w:val="auto"/>
        </w:rPr>
      </w:pPr>
      <w:r>
        <w:rPr>
          <w:rFonts w:ascii="Arial" w:cs="Arial" w:eastAsia="Arial" w:hAnsi="Arial"/>
          <w:sz w:val="20"/>
          <w:szCs w:val="20"/>
          <w:b w:val="1"/>
          <w:bCs w:val="1"/>
          <w:u w:val="single" w:color="auto"/>
          <w:color w:val="auto"/>
        </w:rPr>
        <w:t>Leave of Absence</w:t>
      </w:r>
      <w:r>
        <w:rPr>
          <w:rFonts w:ascii="Arial" w:cs="Arial" w:eastAsia="Arial" w:hAnsi="Arial"/>
          <w:sz w:val="20"/>
          <w:szCs w:val="20"/>
          <w:color w:val="auto"/>
        </w:rPr>
        <w:t>. Your Service as an Employee will be deemed continuing while you are on a leave of absence approved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in writing or guaranteed by applicable law or other written agreement you have entered into with the Company (an “Approved Leave”). If you do not resume providing Service as an Employee following your Approved Leave, your Service will be deemed to have terminated upon the expiration of the Approved Leave.</w:t>
      </w:r>
    </w:p>
    <w:p>
      <w:pPr>
        <w:spacing w:after="0" w:line="183" w:lineRule="exact"/>
        <w:rPr>
          <w:rFonts w:ascii="Arial" w:cs="Arial" w:eastAsia="Arial" w:hAnsi="Arial"/>
          <w:sz w:val="20"/>
          <w:szCs w:val="20"/>
          <w:color w:val="auto"/>
        </w:rPr>
      </w:pPr>
    </w:p>
    <w:p>
      <w:pPr>
        <w:ind w:left="660" w:hanging="652"/>
        <w:spacing w:after="0" w:line="245" w:lineRule="auto"/>
        <w:tabs>
          <w:tab w:leader="none" w:pos="372" w:val="left"/>
        </w:tabs>
        <w:numPr>
          <w:ilvl w:val="0"/>
          <w:numId w:val="80"/>
        </w:numPr>
        <w:rPr>
          <w:rFonts w:ascii="Arial" w:cs="Arial" w:eastAsia="Arial" w:hAnsi="Arial"/>
          <w:sz w:val="20"/>
          <w:szCs w:val="20"/>
          <w:color w:val="auto"/>
        </w:rPr>
      </w:pPr>
      <w:r>
        <w:rPr>
          <w:rFonts w:ascii="Arial" w:cs="Arial" w:eastAsia="Arial" w:hAnsi="Arial"/>
          <w:sz w:val="20"/>
          <w:szCs w:val="20"/>
          <w:b w:val="1"/>
          <w:bCs w:val="1"/>
          <w:u w:val="single" w:color="auto"/>
          <w:color w:val="auto"/>
        </w:rPr>
        <w:t>Exercise of Option</w:t>
      </w:r>
      <w:r>
        <w:rPr>
          <w:rFonts w:ascii="Arial" w:cs="Arial" w:eastAsia="Arial" w:hAnsi="Arial"/>
          <w:sz w:val="20"/>
          <w:szCs w:val="20"/>
          <w:color w:val="auto"/>
        </w:rPr>
        <w:t>. Subject to Section 5 of this Agreement and to the Company’s policies governing trading in its securities, the vested</w:t>
      </w:r>
      <w:r>
        <w:rPr>
          <w:rFonts w:ascii="Arial" w:cs="Arial" w:eastAsia="Arial" w:hAnsi="Arial"/>
          <w:sz w:val="20"/>
          <w:szCs w:val="20"/>
          <w:b w:val="1"/>
          <w:bCs w:val="1"/>
          <w:color w:val="auto"/>
        </w:rPr>
        <w:t xml:space="preserve"> </w:t>
      </w:r>
      <w:r>
        <w:rPr>
          <w:rFonts w:ascii="Arial" w:cs="Arial" w:eastAsia="Arial" w:hAnsi="Arial"/>
          <w:sz w:val="20"/>
          <w:szCs w:val="20"/>
          <w:color w:val="auto"/>
        </w:rPr>
        <w:t>and exercisable portion of this Option may be exercised through use of the account maintained for you at E*TRADE or another automated electronic platform approved by the Company or through delivery to the Company’s Stock Administration office of written notification of exercise that states the number of Shares to be purchased and is signed or otherwise authenticated by the person exercising this Option. If the person exercising this Option is not the Participant, he or she also must submit appropriate proof of his or her right to exercise this Option.</w:t>
      </w:r>
    </w:p>
    <w:p>
      <w:pPr>
        <w:spacing w:after="0" w:line="184" w:lineRule="exact"/>
        <w:rPr>
          <w:rFonts w:ascii="Arial" w:cs="Arial" w:eastAsia="Arial" w:hAnsi="Arial"/>
          <w:sz w:val="20"/>
          <w:szCs w:val="20"/>
          <w:color w:val="auto"/>
        </w:rPr>
      </w:pPr>
    </w:p>
    <w:p>
      <w:pPr>
        <w:ind w:left="660" w:right="20" w:hanging="652"/>
        <w:spacing w:after="0" w:line="267" w:lineRule="auto"/>
        <w:tabs>
          <w:tab w:leader="none" w:pos="372" w:val="left"/>
        </w:tabs>
        <w:numPr>
          <w:ilvl w:val="0"/>
          <w:numId w:val="80"/>
        </w:numPr>
        <w:rPr>
          <w:rFonts w:ascii="Arial" w:cs="Arial" w:eastAsia="Arial" w:hAnsi="Arial"/>
          <w:sz w:val="20"/>
          <w:szCs w:val="20"/>
          <w:color w:val="auto"/>
        </w:rPr>
      </w:pPr>
      <w:r>
        <w:rPr>
          <w:rFonts w:ascii="Arial" w:cs="Arial" w:eastAsia="Arial" w:hAnsi="Arial"/>
          <w:sz w:val="20"/>
          <w:szCs w:val="20"/>
          <w:b w:val="1"/>
          <w:bCs w:val="1"/>
          <w:u w:val="single" w:color="auto"/>
          <w:color w:val="auto"/>
        </w:rPr>
        <w:t>Payment of Exercise Price</w:t>
      </w:r>
      <w:r>
        <w:rPr>
          <w:rFonts w:ascii="Arial" w:cs="Arial" w:eastAsia="Arial" w:hAnsi="Arial"/>
          <w:sz w:val="20"/>
          <w:szCs w:val="20"/>
          <w:color w:val="auto"/>
        </w:rPr>
        <w:t>. When you exercise your Option pursuant to Section 7 of this Agreement, you must include payment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exercise price of the Shares being purchased through one or a combination of the following methods:</w:t>
      </w:r>
    </w:p>
    <w:p>
      <w:pPr>
        <w:spacing w:after="0" w:line="169" w:lineRule="exact"/>
        <w:rPr>
          <w:rFonts w:ascii="Arial" w:cs="Arial" w:eastAsia="Arial" w:hAnsi="Arial"/>
          <w:sz w:val="20"/>
          <w:szCs w:val="20"/>
          <w:color w:val="auto"/>
        </w:rPr>
      </w:pPr>
    </w:p>
    <w:p>
      <w:pPr>
        <w:ind w:left="1140" w:hanging="914"/>
        <w:spacing w:after="0" w:line="246" w:lineRule="auto"/>
        <w:tabs>
          <w:tab w:leader="none" w:pos="662" w:val="left"/>
        </w:tabs>
        <w:numPr>
          <w:ilvl w:val="1"/>
          <w:numId w:val="80"/>
        </w:numPr>
        <w:rPr>
          <w:rFonts w:ascii="Arial" w:cs="Arial" w:eastAsia="Arial" w:hAnsi="Arial"/>
          <w:sz w:val="20"/>
          <w:szCs w:val="20"/>
          <w:color w:val="auto"/>
        </w:rPr>
      </w:pPr>
      <w:r>
        <w:rPr>
          <w:rFonts w:ascii="Arial" w:cs="Arial" w:eastAsia="Arial" w:hAnsi="Arial"/>
          <w:sz w:val="20"/>
          <w:szCs w:val="20"/>
          <w:color w:val="auto"/>
        </w:rPr>
        <w:t>to the extent permitted by law, a broker-assisted cashless exercise in which you irrevocably instruct a broker to deliver proceeds of a sale of all or a portion of the Shares for which the Option is being exercised to the Company in payment of the exercise price of such Shares and, to the extent consistent with Section 9 of this Agreement, in payment of Tax-Related Items (as defined below);</w:t>
      </w:r>
    </w:p>
    <w:p>
      <w:pPr>
        <w:spacing w:after="0" w:line="191" w:lineRule="exact"/>
        <w:rPr>
          <w:sz w:val="20"/>
          <w:szCs w:val="20"/>
          <w:color w:val="auto"/>
        </w:rPr>
      </w:pPr>
    </w:p>
    <w:p>
      <w:pPr>
        <w:ind w:left="1140" w:hanging="844"/>
        <w:spacing w:after="0" w:line="250" w:lineRule="auto"/>
        <w:tabs>
          <w:tab w:leader="none" w:pos="814" w:val="left"/>
        </w:tabs>
        <w:numPr>
          <w:ilvl w:val="1"/>
          <w:numId w:val="81"/>
        </w:numPr>
        <w:rPr>
          <w:rFonts w:ascii="Arial" w:cs="Arial" w:eastAsia="Arial" w:hAnsi="Arial"/>
          <w:sz w:val="20"/>
          <w:szCs w:val="20"/>
          <w:color w:val="auto"/>
        </w:rPr>
      </w:pPr>
      <w:r>
        <w:rPr>
          <w:rFonts w:ascii="Arial" w:cs="Arial" w:eastAsia="Arial" w:hAnsi="Arial"/>
          <w:sz w:val="20"/>
          <w:szCs w:val="20"/>
          <w:color w:val="auto"/>
        </w:rPr>
        <w:t>by a reduction in the number of Shares to be delivered to you upon exercise, such number of Shares to be withheld having an aggregate Fair Market Value on the date of exercise equal to the exercise price of the Shares for which the Option is being exercised; or</w:t>
      </w:r>
    </w:p>
    <w:p>
      <w:pPr>
        <w:spacing w:after="0" w:line="185" w:lineRule="exact"/>
        <w:rPr>
          <w:rFonts w:ascii="Arial" w:cs="Arial" w:eastAsia="Arial" w:hAnsi="Arial"/>
          <w:sz w:val="20"/>
          <w:szCs w:val="20"/>
          <w:color w:val="auto"/>
        </w:rPr>
      </w:pPr>
    </w:p>
    <w:p>
      <w:pPr>
        <w:ind w:left="620" w:hanging="414"/>
        <w:spacing w:after="0"/>
        <w:tabs>
          <w:tab w:leader="none" w:pos="6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your personal check, a cashier’s check or money order payable in United States (“U.S.”) Dollars.</w:t>
      </w:r>
    </w:p>
    <w:p>
      <w:pPr>
        <w:spacing w:after="0" w:line="216" w:lineRule="exact"/>
        <w:rPr>
          <w:sz w:val="20"/>
          <w:szCs w:val="20"/>
          <w:color w:val="auto"/>
        </w:rPr>
      </w:pPr>
    </w:p>
    <w:p>
      <w:pPr>
        <w:jc w:val="both"/>
        <w:ind w:left="660" w:hanging="449"/>
        <w:spacing w:after="0" w:line="282" w:lineRule="auto"/>
        <w:rPr>
          <w:sz w:val="20"/>
          <w:szCs w:val="20"/>
          <w:color w:val="auto"/>
        </w:rPr>
      </w:pPr>
      <w:r>
        <w:rPr>
          <w:rFonts w:ascii="Arial" w:cs="Arial" w:eastAsia="Arial" w:hAnsi="Arial"/>
          <w:sz w:val="18"/>
          <w:szCs w:val="18"/>
          <w:color w:val="auto"/>
        </w:rPr>
        <w:t>However, if the Committee determines, in any given circumstance, that payment of the exercise price by authorizing the Company to retain Shares pursuant to subsection (b) above is undesirable for any reason, you will not be permitted to pay any portion of the exercise price in that manner. Moreover, if the Committee determines that payment of the exercise price by one of the methods specified above is required or desirable for legal or administrative reasons, you will be required to pay the exercise price by such method.</w:t>
      </w:r>
    </w:p>
    <w:p>
      <w:pPr>
        <w:spacing w:after="0" w:line="155" w:lineRule="exact"/>
        <w:rPr>
          <w:sz w:val="20"/>
          <w:szCs w:val="20"/>
          <w:color w:val="auto"/>
        </w:rPr>
      </w:pPr>
    </w:p>
    <w:p>
      <w:pPr>
        <w:ind w:left="660" w:hanging="652"/>
        <w:spacing w:after="0" w:line="245" w:lineRule="auto"/>
        <w:tabs>
          <w:tab w:leader="none" w:pos="480" w:val="left"/>
        </w:tabs>
        <w:numPr>
          <w:ilvl w:val="0"/>
          <w:numId w:val="83"/>
        </w:numPr>
        <w:rPr>
          <w:rFonts w:ascii="Arial" w:cs="Arial" w:eastAsia="Arial" w:hAnsi="Arial"/>
          <w:sz w:val="20"/>
          <w:szCs w:val="20"/>
          <w:color w:val="auto"/>
        </w:rPr>
      </w:pPr>
      <w:r>
        <w:rPr>
          <w:rFonts w:ascii="Arial" w:cs="Arial" w:eastAsia="Arial" w:hAnsi="Arial"/>
          <w:sz w:val="20"/>
          <w:szCs w:val="20"/>
          <w:b w:val="1"/>
          <w:bCs w:val="1"/>
          <w:u w:val="single" w:color="auto"/>
          <w:color w:val="auto"/>
        </w:rPr>
        <w:t>Tax Consequences and Withholding</w:t>
      </w:r>
      <w:r>
        <w:rPr>
          <w:rFonts w:ascii="Arial" w:cs="Arial" w:eastAsia="Arial" w:hAnsi="Arial"/>
          <w:sz w:val="20"/>
          <w:szCs w:val="20"/>
          <w:color w:val="auto"/>
        </w:rPr>
        <w:t>. You acknowledge that, regardless of any action taken by the Company or, if different, the</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 employing you (the “Employer”), the ultimate liability for all income tax, social insurance, payroll tax, payment on account or other tax-related items related to your participation in the Plan and legally applicable to you (the “Tax-Related Items”) is and remains your responsibility and may exceed the amount, if any, actually withheld by the Company or the Employer. You further acknowledge that the Company and the Employer (a) make no representations or undertakings regarding the treatment of any Tax-Related Items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008" w:right="339" w:bottom="1440" w:gutter="0" w:footer="0" w:header="0"/>
        </w:sectPr>
      </w:pPr>
    </w:p>
    <w:bookmarkStart w:id="84" w:name="page85"/>
    <w:bookmarkEnd w:id="84"/>
    <w:p>
      <w:pPr>
        <w:jc w:val="both"/>
        <w:ind w:left="660"/>
        <w:spacing w:after="0" w:line="278" w:lineRule="auto"/>
        <w:rPr>
          <w:sz w:val="20"/>
          <w:szCs w:val="20"/>
          <w:color w:val="auto"/>
        </w:rPr>
      </w:pPr>
      <w:r>
        <w:rPr>
          <w:rFonts w:ascii="Arial" w:cs="Arial" w:eastAsia="Arial" w:hAnsi="Arial"/>
          <w:sz w:val="18"/>
          <w:szCs w:val="18"/>
          <w:color w:val="auto"/>
        </w:rPr>
        <w:t>any aspect of the Option, including, but not limited to, the grant, vesting or exercise of the Option and the subsequent sale of Shares acquired pursuant to such exercise, and (b) do not commit to and are under no obligation to structure the terms of the grant or any aspect of the Option to reduce or eliminate your liability for Tax-Related Items or achieve any particular tax result. Further, if you are subject to Tax-Related Items in more than one jurisdiction, you acknowledge that the Company and/or the Employer (or former employer, as applicable) may be required to withhold or account for Tax-Related Items in more than one jurisdiction.</w:t>
      </w:r>
    </w:p>
    <w:p>
      <w:pPr>
        <w:spacing w:after="0" w:line="165"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Prior to the relevant taxable or tax withholding event, as applicable, you agree to make arrangements acceptable to the Company and/or the Employer to satisfy all Tax-Related Items. In this regard, you authorize the Company and/or the Employer, or their respective agents, at their discretion, to satisfy any withholding obligation for the Tax-Related Items by one of the following methods:</w:t>
      </w:r>
    </w:p>
    <w:p>
      <w:pPr>
        <w:spacing w:after="0" w:line="191" w:lineRule="exact"/>
        <w:rPr>
          <w:sz w:val="20"/>
          <w:szCs w:val="20"/>
          <w:color w:val="auto"/>
        </w:rPr>
      </w:pPr>
    </w:p>
    <w:p>
      <w:pPr>
        <w:ind w:left="1040" w:hanging="384"/>
        <w:spacing w:after="0"/>
        <w:tabs>
          <w:tab w:leader="none" w:pos="10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withholding from your wages or other cash compensation payable to you by the Company or any Affiliate;</w:t>
      </w:r>
    </w:p>
    <w:p>
      <w:pPr>
        <w:spacing w:after="0" w:line="215" w:lineRule="exact"/>
        <w:rPr>
          <w:rFonts w:ascii="Arial" w:cs="Arial" w:eastAsia="Arial" w:hAnsi="Arial"/>
          <w:sz w:val="20"/>
          <w:szCs w:val="20"/>
          <w:color w:val="auto"/>
        </w:rPr>
      </w:pPr>
    </w:p>
    <w:p>
      <w:pPr>
        <w:ind w:left="1300" w:hanging="644"/>
        <w:spacing w:after="0" w:line="316" w:lineRule="auto"/>
        <w:tabs>
          <w:tab w:leader="none" w:pos="1113" w:val="left"/>
        </w:tabs>
        <w:numPr>
          <w:ilvl w:val="0"/>
          <w:numId w:val="84"/>
        </w:numPr>
        <w:rPr>
          <w:rFonts w:ascii="Arial" w:cs="Arial" w:eastAsia="Arial" w:hAnsi="Arial"/>
          <w:sz w:val="18"/>
          <w:szCs w:val="18"/>
          <w:color w:val="auto"/>
        </w:rPr>
      </w:pPr>
      <w:r>
        <w:rPr>
          <w:rFonts w:ascii="Arial" w:cs="Arial" w:eastAsia="Arial" w:hAnsi="Arial"/>
          <w:sz w:val="18"/>
          <w:szCs w:val="18"/>
          <w:color w:val="auto"/>
        </w:rPr>
        <w:t>withholding from proceeds of the sale of Shares acquired at exercise of the Option either through a voluntary sale or through a mandatory sale arranged by the Company (on your behalf pursuant to this authorization without further consent);</w:t>
      </w:r>
    </w:p>
    <w:p>
      <w:pPr>
        <w:spacing w:after="0" w:line="129" w:lineRule="exact"/>
        <w:rPr>
          <w:rFonts w:ascii="Arial" w:cs="Arial" w:eastAsia="Arial" w:hAnsi="Arial"/>
          <w:sz w:val="18"/>
          <w:szCs w:val="18"/>
          <w:color w:val="auto"/>
        </w:rPr>
      </w:pPr>
    </w:p>
    <w:p>
      <w:pPr>
        <w:ind w:left="1300" w:hanging="644"/>
        <w:spacing w:after="0" w:line="260" w:lineRule="auto"/>
        <w:tabs>
          <w:tab w:leader="none" w:pos="1178" w:val="left"/>
        </w:tabs>
        <w:numPr>
          <w:ilvl w:val="0"/>
          <w:numId w:val="84"/>
        </w:numPr>
        <w:rPr>
          <w:rFonts w:ascii="Arial" w:cs="Arial" w:eastAsia="Arial" w:hAnsi="Arial"/>
          <w:sz w:val="20"/>
          <w:szCs w:val="20"/>
          <w:color w:val="auto"/>
        </w:rPr>
      </w:pPr>
      <w:r>
        <w:rPr>
          <w:rFonts w:ascii="Arial" w:cs="Arial" w:eastAsia="Arial" w:hAnsi="Arial"/>
          <w:sz w:val="20"/>
          <w:szCs w:val="20"/>
          <w:color w:val="auto"/>
        </w:rPr>
        <w:t>delivery of your authorization to E*TRADE (or another broker designated by the Company) to transfer to the Company from your account at such broker the amount of such Tax-Related Items; and/or</w:t>
      </w:r>
    </w:p>
    <w:p>
      <w:pPr>
        <w:spacing w:after="0" w:line="176" w:lineRule="exact"/>
        <w:rPr>
          <w:rFonts w:ascii="Arial" w:cs="Arial" w:eastAsia="Arial" w:hAnsi="Arial"/>
          <w:sz w:val="20"/>
          <w:szCs w:val="20"/>
          <w:color w:val="auto"/>
        </w:rPr>
      </w:pPr>
    </w:p>
    <w:p>
      <w:pPr>
        <w:ind w:left="1140" w:hanging="484"/>
        <w:spacing w:after="0"/>
        <w:tabs>
          <w:tab w:leader="none" w:pos="11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any other method approved by the Company and permitted under applicable law.</w:t>
      </w:r>
    </w:p>
    <w:p>
      <w:pPr>
        <w:spacing w:after="0" w:line="216" w:lineRule="exact"/>
        <w:rPr>
          <w:sz w:val="20"/>
          <w:szCs w:val="20"/>
          <w:color w:val="auto"/>
        </w:rPr>
      </w:pPr>
    </w:p>
    <w:p>
      <w:pPr>
        <w:jc w:val="both"/>
        <w:ind w:left="660"/>
        <w:spacing w:after="0" w:line="263" w:lineRule="auto"/>
        <w:rPr>
          <w:sz w:val="20"/>
          <w:szCs w:val="20"/>
          <w:color w:val="auto"/>
        </w:rPr>
      </w:pPr>
      <w:r>
        <w:rPr>
          <w:rFonts w:ascii="Arial" w:cs="Arial" w:eastAsia="Arial" w:hAnsi="Arial"/>
          <w:sz w:val="19"/>
          <w:szCs w:val="19"/>
          <w:color w:val="auto"/>
        </w:rPr>
        <w:t>To the extent permitted under the Plan and applicable law, the Company and/or the Employer may withhold for Tax-Related Items by considering the applicable minimum statutory withholding rate or such other rate as may be permitted under the Plan up to the maximum rate applicable in your jurisdiction. In the event of any over-withholding, you will have no entitlement to the over-withheld amount in Shares and such amounts may be refunded to you in cash in accordance with applicable law.</w:t>
      </w:r>
    </w:p>
    <w:p>
      <w:pPr>
        <w:spacing w:after="0" w:line="176" w:lineRule="exact"/>
        <w:rPr>
          <w:sz w:val="20"/>
          <w:szCs w:val="20"/>
          <w:color w:val="auto"/>
        </w:rPr>
      </w:pPr>
    </w:p>
    <w:p>
      <w:pPr>
        <w:jc w:val="both"/>
        <w:ind w:left="660" w:right="20"/>
        <w:spacing w:after="0" w:line="260" w:lineRule="auto"/>
        <w:rPr>
          <w:sz w:val="20"/>
          <w:szCs w:val="20"/>
          <w:color w:val="auto"/>
        </w:rPr>
      </w:pPr>
      <w:r>
        <w:rPr>
          <w:rFonts w:ascii="Arial" w:cs="Arial" w:eastAsia="Arial" w:hAnsi="Arial"/>
          <w:sz w:val="20"/>
          <w:szCs w:val="20"/>
          <w:color w:val="auto"/>
        </w:rPr>
        <w:t>The Company may refuse to issue or deliver the Shares or the proceeds of the sale of Shares, if you fail to comply with your obligations in connection with the Tax-Related Items.</w:t>
      </w:r>
    </w:p>
    <w:p>
      <w:pPr>
        <w:spacing w:after="0" w:line="171" w:lineRule="exact"/>
        <w:rPr>
          <w:sz w:val="20"/>
          <w:szCs w:val="20"/>
          <w:color w:val="auto"/>
        </w:rPr>
      </w:pPr>
    </w:p>
    <w:p>
      <w:pPr>
        <w:ind w:left="660" w:hanging="652"/>
        <w:spacing w:after="0" w:line="245" w:lineRule="auto"/>
        <w:tabs>
          <w:tab w:leader="none" w:pos="511" w:val="left"/>
        </w:tabs>
        <w:numPr>
          <w:ilvl w:val="0"/>
          <w:numId w:val="85"/>
        </w:numPr>
        <w:rPr>
          <w:rFonts w:ascii="Arial" w:cs="Arial" w:eastAsia="Arial" w:hAnsi="Arial"/>
          <w:sz w:val="20"/>
          <w:szCs w:val="20"/>
          <w:color w:val="auto"/>
        </w:rPr>
      </w:pPr>
      <w:r>
        <w:rPr>
          <w:rFonts w:ascii="Arial" w:cs="Arial" w:eastAsia="Arial" w:hAnsi="Arial"/>
          <w:sz w:val="20"/>
          <w:szCs w:val="20"/>
          <w:b w:val="1"/>
          <w:bCs w:val="1"/>
          <w:u w:val="single" w:color="auto"/>
          <w:color w:val="auto"/>
        </w:rPr>
        <w:t>Delivery of Shares</w:t>
      </w:r>
      <w:r>
        <w:rPr>
          <w:rFonts w:ascii="Arial" w:cs="Arial" w:eastAsia="Arial" w:hAnsi="Arial"/>
          <w:sz w:val="20"/>
          <w:szCs w:val="20"/>
          <w:color w:val="auto"/>
        </w:rPr>
        <w:t>. As soon as practicable after the Company receives the notice of exercise and exercise price provided for above,</w:t>
      </w:r>
      <w:r>
        <w:rPr>
          <w:rFonts w:ascii="Arial" w:cs="Arial" w:eastAsia="Arial" w:hAnsi="Arial"/>
          <w:sz w:val="20"/>
          <w:szCs w:val="20"/>
          <w:b w:val="1"/>
          <w:bCs w:val="1"/>
          <w:color w:val="auto"/>
        </w:rPr>
        <w:t xml:space="preserve"> </w:t>
      </w:r>
      <w:r>
        <w:rPr>
          <w:rFonts w:ascii="Arial" w:cs="Arial" w:eastAsia="Arial" w:hAnsi="Arial"/>
          <w:sz w:val="20"/>
          <w:szCs w:val="20"/>
          <w:color w:val="auto"/>
        </w:rPr>
        <w:t>and determines that all conditions to exercise, including the tax withholding provisions of Section 9 and the compliance provisions of Section 19 of this Agreement, have been satisfied, it will arrange for the delivery of the Shares being purchased. Delivery of the Shares shall be effected by the electronic delivery of the Shares to a brokerage account maintained for you at E*TRADE (or another broker designated by the Company), or by another method provided by the Company. All Shares so issued will be fully paid and nonassessable.</w:t>
      </w:r>
    </w:p>
    <w:p>
      <w:pPr>
        <w:spacing w:after="0" w:line="184" w:lineRule="exact"/>
        <w:rPr>
          <w:rFonts w:ascii="Arial" w:cs="Arial" w:eastAsia="Arial" w:hAnsi="Arial"/>
          <w:sz w:val="20"/>
          <w:szCs w:val="20"/>
          <w:color w:val="auto"/>
        </w:rPr>
      </w:pPr>
    </w:p>
    <w:p>
      <w:pPr>
        <w:ind w:left="660" w:hanging="652"/>
        <w:spacing w:after="0" w:line="244" w:lineRule="auto"/>
        <w:tabs>
          <w:tab w:leader="none" w:pos="531" w:val="left"/>
        </w:tabs>
        <w:numPr>
          <w:ilvl w:val="0"/>
          <w:numId w:val="85"/>
        </w:numPr>
        <w:rPr>
          <w:rFonts w:ascii="Arial" w:cs="Arial" w:eastAsia="Arial" w:hAnsi="Arial"/>
          <w:sz w:val="20"/>
          <w:szCs w:val="20"/>
          <w:color w:val="auto"/>
        </w:rPr>
      </w:pPr>
      <w:r>
        <w:rPr>
          <w:rFonts w:ascii="Arial" w:cs="Arial" w:eastAsia="Arial" w:hAnsi="Arial"/>
          <w:sz w:val="20"/>
          <w:szCs w:val="20"/>
          <w:b w:val="1"/>
          <w:bCs w:val="1"/>
          <w:u w:val="single" w:color="auto"/>
          <w:color w:val="auto"/>
        </w:rPr>
        <w:t>Transfer of Option</w:t>
      </w:r>
      <w:r>
        <w:rPr>
          <w:rFonts w:ascii="Arial" w:cs="Arial" w:eastAsia="Arial" w:hAnsi="Arial"/>
          <w:sz w:val="20"/>
          <w:szCs w:val="20"/>
          <w:color w:val="auto"/>
        </w:rPr>
        <w:t>. During your lifetime, only you (or your guardian or legal representative in the event of legal incapacity) may</w:t>
      </w:r>
      <w:r>
        <w:rPr>
          <w:rFonts w:ascii="Arial" w:cs="Arial" w:eastAsia="Arial" w:hAnsi="Arial"/>
          <w:sz w:val="20"/>
          <w:szCs w:val="20"/>
          <w:b w:val="1"/>
          <w:bCs w:val="1"/>
          <w:color w:val="auto"/>
        </w:rPr>
        <w:t xml:space="preserve"> </w:t>
      </w:r>
      <w:r>
        <w:rPr>
          <w:rFonts w:ascii="Arial" w:cs="Arial" w:eastAsia="Arial" w:hAnsi="Arial"/>
          <w:sz w:val="20"/>
          <w:szCs w:val="20"/>
          <w:color w:val="auto"/>
        </w:rPr>
        <w:t>exercise this Option except in the case of a transfer described below. You may not assign or transfer this Option other than by a transfer upon your death in accordance with your will, by the applicable laws of descent and distribution in your country or pursuant to a beneficiary designation submitted in accordance with Section 6(d) of the Plan (to the extent such designation is valid under applicable law). Following any such transfer, this Option shall continue to be subject to the same terms and conditions that were applicable to this Option immediately prior to its transfer and may be exercised by such permitted transferee as and to the extent that this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014" w:right="339" w:bottom="1440" w:gutter="0" w:footer="0" w:header="0"/>
        </w:sectPr>
      </w:pPr>
    </w:p>
    <w:bookmarkStart w:id="85" w:name="page86"/>
    <w:bookmarkEnd w:id="85"/>
    <w:p>
      <w:pPr>
        <w:ind w:left="660"/>
        <w:spacing w:after="0"/>
        <w:rPr>
          <w:sz w:val="20"/>
          <w:szCs w:val="20"/>
          <w:color w:val="auto"/>
        </w:rPr>
      </w:pPr>
      <w:r>
        <w:rPr>
          <w:rFonts w:ascii="Arial" w:cs="Arial" w:eastAsia="Arial" w:hAnsi="Arial"/>
          <w:sz w:val="20"/>
          <w:szCs w:val="20"/>
          <w:color w:val="auto"/>
        </w:rPr>
        <w:t>has become exercisable and has not terminated in accordance with the provisions of the Plan and this Agreement.</w:t>
      </w:r>
    </w:p>
    <w:p>
      <w:pPr>
        <w:spacing w:after="0" w:line="210" w:lineRule="exact"/>
        <w:rPr>
          <w:sz w:val="20"/>
          <w:szCs w:val="20"/>
          <w:color w:val="auto"/>
        </w:rPr>
      </w:pPr>
    </w:p>
    <w:p>
      <w:pPr>
        <w:ind w:left="660" w:hanging="652"/>
        <w:spacing w:after="0" w:line="285" w:lineRule="auto"/>
        <w:tabs>
          <w:tab w:leader="none" w:pos="457"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No Shareholder Rights Before Delivery of Shares</w:t>
      </w:r>
      <w:r>
        <w:rPr>
          <w:rFonts w:ascii="Arial" w:cs="Arial" w:eastAsia="Arial" w:hAnsi="Arial"/>
          <w:sz w:val="18"/>
          <w:szCs w:val="18"/>
          <w:color w:val="auto"/>
        </w:rPr>
        <w:t>. Neither you nor any permitted transferee of this Option will have any of the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of a shareholder of the Company with respect to any Shares subject to this Option until such Shares have been delivered to you or your permitted transferee pursuant to Section 10 of this Agreement. No adjustments shall be made for dividends or other rights if the applicable record date occurs before such delivery has been effected, except as otherwise described in the Plan.</w:t>
      </w:r>
    </w:p>
    <w:p>
      <w:pPr>
        <w:spacing w:after="0" w:line="150"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20"/>
          <w:szCs w:val="20"/>
          <w:color w:val="auto"/>
        </w:rPr>
      </w:pPr>
      <w:r>
        <w:rPr>
          <w:rFonts w:ascii="Arial" w:cs="Arial" w:eastAsia="Arial" w:hAnsi="Arial"/>
          <w:sz w:val="20"/>
          <w:szCs w:val="20"/>
          <w:b w:val="1"/>
          <w:bCs w:val="1"/>
          <w:u w:val="single" w:color="auto"/>
          <w:color w:val="auto"/>
        </w:rPr>
        <w:t>Nature of Grant</w:t>
      </w:r>
      <w:r>
        <w:rPr>
          <w:rFonts w:ascii="Arial" w:cs="Arial" w:eastAsia="Arial" w:hAnsi="Arial"/>
          <w:sz w:val="20"/>
          <w:szCs w:val="20"/>
          <w:b w:val="1"/>
          <w:bCs w:val="1"/>
          <w:color w:val="auto"/>
        </w:rPr>
        <w:t xml:space="preserve">. </w:t>
      </w:r>
      <w:r>
        <w:rPr>
          <w:rFonts w:ascii="Arial" w:cs="Arial" w:eastAsia="Arial" w:hAnsi="Arial"/>
          <w:sz w:val="20"/>
          <w:szCs w:val="20"/>
          <w:color w:val="auto"/>
        </w:rPr>
        <w:t>In accepting the grant of this Option, you acknowledge, understand and agree as follows:</w:t>
      </w:r>
    </w:p>
    <w:p>
      <w:pPr>
        <w:spacing w:after="0" w:line="221" w:lineRule="exact"/>
        <w:rPr>
          <w:rFonts w:ascii="Arial" w:cs="Arial" w:eastAsia="Arial" w:hAnsi="Arial"/>
          <w:sz w:val="20"/>
          <w:szCs w:val="20"/>
          <w:color w:val="auto"/>
        </w:rPr>
      </w:pPr>
    </w:p>
    <w:p>
      <w:pPr>
        <w:ind w:left="1300" w:right="20" w:hanging="644"/>
        <w:spacing w:after="0" w:line="260" w:lineRule="auto"/>
        <w:tabs>
          <w:tab w:leader="none" w:pos="1290" w:val="left"/>
        </w:tabs>
        <w:numPr>
          <w:ilvl w:val="1"/>
          <w:numId w:val="86"/>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76" w:lineRule="exact"/>
        <w:rPr>
          <w:rFonts w:ascii="Arial" w:cs="Arial" w:eastAsia="Arial" w:hAnsi="Arial"/>
          <w:sz w:val="20"/>
          <w:szCs w:val="20"/>
          <w:color w:val="auto"/>
        </w:rPr>
      </w:pPr>
    </w:p>
    <w:p>
      <w:pPr>
        <w:ind w:left="1300" w:right="20" w:hanging="644"/>
        <w:spacing w:after="0" w:line="287" w:lineRule="auto"/>
        <w:tabs>
          <w:tab w:leader="none" w:pos="1288" w:val="left"/>
        </w:tabs>
        <w:numPr>
          <w:ilvl w:val="1"/>
          <w:numId w:val="86"/>
        </w:numPr>
        <w:rPr>
          <w:rFonts w:ascii="Arial" w:cs="Arial" w:eastAsia="Arial" w:hAnsi="Arial"/>
          <w:sz w:val="19"/>
          <w:szCs w:val="19"/>
          <w:color w:val="auto"/>
        </w:rPr>
      </w:pPr>
      <w:r>
        <w:rPr>
          <w:rFonts w:ascii="Arial" w:cs="Arial" w:eastAsia="Arial" w:hAnsi="Arial"/>
          <w:sz w:val="19"/>
          <w:szCs w:val="19"/>
          <w:color w:val="auto"/>
        </w:rPr>
        <w:t>The grant of this Option is exceptional, voluntary and occasional and does not create any contractual or other right to receive future grants of options, or benefits in lieu of options, even if options have been granted in the past.</w:t>
      </w:r>
    </w:p>
    <w:p>
      <w:pPr>
        <w:spacing w:after="0" w:line="152" w:lineRule="exact"/>
        <w:rPr>
          <w:rFonts w:ascii="Arial" w:cs="Arial" w:eastAsia="Arial" w:hAnsi="Arial"/>
          <w:sz w:val="19"/>
          <w:szCs w:val="19"/>
          <w:color w:val="auto"/>
        </w:rPr>
      </w:pPr>
    </w:p>
    <w:p>
      <w:pPr>
        <w:ind w:left="1300" w:hanging="644"/>
        <w:spacing w:after="0"/>
        <w:tabs>
          <w:tab w:leader="none" w:pos="1300" w:val="left"/>
        </w:tabs>
        <w:numPr>
          <w:ilvl w:val="1"/>
          <w:numId w:val="86"/>
        </w:numPr>
        <w:rPr>
          <w:rFonts w:ascii="Arial" w:cs="Arial" w:eastAsia="Arial" w:hAnsi="Arial"/>
          <w:sz w:val="20"/>
          <w:szCs w:val="20"/>
          <w:color w:val="auto"/>
        </w:rPr>
      </w:pPr>
      <w:r>
        <w:rPr>
          <w:rFonts w:ascii="Arial" w:cs="Arial" w:eastAsia="Arial" w:hAnsi="Arial"/>
          <w:sz w:val="20"/>
          <w:szCs w:val="20"/>
          <w:color w:val="auto"/>
        </w:rPr>
        <w:t>All decisions with respect to future option grants, if any, will be at the sole discretion of the Committee.</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1"/>
          <w:numId w:val="86"/>
        </w:numPr>
        <w:rPr>
          <w:rFonts w:ascii="Arial" w:cs="Arial" w:eastAsia="Arial" w:hAnsi="Arial"/>
          <w:sz w:val="20"/>
          <w:szCs w:val="20"/>
          <w:color w:val="auto"/>
        </w:rPr>
      </w:pPr>
      <w:r>
        <w:rPr>
          <w:rFonts w:ascii="Arial" w:cs="Arial" w:eastAsia="Arial" w:hAnsi="Arial"/>
          <w:sz w:val="20"/>
          <w:szCs w:val="20"/>
          <w:color w:val="auto"/>
        </w:rPr>
        <w:t>You are voluntarily participating in the Plan.</w:t>
      </w:r>
    </w:p>
    <w:p>
      <w:pPr>
        <w:spacing w:after="0" w:line="215" w:lineRule="exact"/>
        <w:rPr>
          <w:rFonts w:ascii="Arial" w:cs="Arial" w:eastAsia="Arial" w:hAnsi="Arial"/>
          <w:sz w:val="20"/>
          <w:szCs w:val="20"/>
          <w:color w:val="auto"/>
        </w:rPr>
      </w:pPr>
    </w:p>
    <w:p>
      <w:pPr>
        <w:jc w:val="both"/>
        <w:ind w:left="1300" w:hanging="644"/>
        <w:spacing w:after="0" w:line="269" w:lineRule="auto"/>
        <w:tabs>
          <w:tab w:leader="none" w:pos="1290" w:val="left"/>
        </w:tabs>
        <w:numPr>
          <w:ilvl w:val="1"/>
          <w:numId w:val="86"/>
        </w:numPr>
        <w:rPr>
          <w:rFonts w:ascii="Arial" w:cs="Arial" w:eastAsia="Arial" w:hAnsi="Arial"/>
          <w:sz w:val="19"/>
          <w:szCs w:val="19"/>
          <w:color w:val="auto"/>
        </w:rPr>
      </w:pPr>
      <w:r>
        <w:rPr>
          <w:rFonts w:ascii="Arial" w:cs="Arial" w:eastAsia="Arial" w:hAnsi="Arial"/>
          <w:sz w:val="19"/>
          <w:szCs w:val="19"/>
          <w:color w:val="auto"/>
        </w:rPr>
        <w:t>This Option and any Shares subject to the Option, and the income from and value of the same, are extraordinary items that do not constitute compensation of any kind for services of any kind rendered to the Company or any Affiliate (including, as applicable, the Employer) and which are outside the scope of your employment contract, if any.</w:t>
      </w:r>
    </w:p>
    <w:p>
      <w:pPr>
        <w:spacing w:after="0" w:line="169" w:lineRule="exact"/>
        <w:rPr>
          <w:rFonts w:ascii="Arial" w:cs="Arial" w:eastAsia="Arial" w:hAnsi="Arial"/>
          <w:sz w:val="19"/>
          <w:szCs w:val="19"/>
          <w:color w:val="auto"/>
        </w:rPr>
      </w:pPr>
    </w:p>
    <w:p>
      <w:pPr>
        <w:jc w:val="both"/>
        <w:ind w:left="1300" w:hanging="644"/>
        <w:spacing w:after="0" w:line="246" w:lineRule="auto"/>
        <w:tabs>
          <w:tab w:leader="none" w:pos="1295" w:val="left"/>
        </w:tabs>
        <w:numPr>
          <w:ilvl w:val="1"/>
          <w:numId w:val="86"/>
        </w:numPr>
        <w:rPr>
          <w:rFonts w:ascii="Arial" w:cs="Arial" w:eastAsia="Arial" w:hAnsi="Arial"/>
          <w:sz w:val="20"/>
          <w:szCs w:val="20"/>
          <w:color w:val="auto"/>
        </w:rPr>
      </w:pPr>
      <w:r>
        <w:rPr>
          <w:rFonts w:ascii="Arial" w:cs="Arial" w:eastAsia="Arial" w:hAnsi="Arial"/>
          <w:sz w:val="20"/>
          <w:szCs w:val="20"/>
          <w:color w:val="auto"/>
        </w:rPr>
        <w:t>This Option and any Shares subject to the Option, and the income from and value of the same, are not to be considered part of your normal or expected compensation or salary for any purpose, including, but not limited to, calculating any severance, resignation, termination, payment in lieu of notice, redundancy, dismissal, end-of-service payments, bonuses, long-service awards, pension or retirement or welfare benefits or similar payments.</w:t>
      </w:r>
    </w:p>
    <w:p>
      <w:pPr>
        <w:spacing w:after="0" w:line="191" w:lineRule="exact"/>
        <w:rPr>
          <w:rFonts w:ascii="Arial" w:cs="Arial" w:eastAsia="Arial" w:hAnsi="Arial"/>
          <w:sz w:val="20"/>
          <w:szCs w:val="20"/>
          <w:color w:val="auto"/>
        </w:rPr>
      </w:pPr>
    </w:p>
    <w:p>
      <w:pPr>
        <w:ind w:left="1300" w:hanging="644"/>
        <w:spacing w:after="0" w:line="260" w:lineRule="auto"/>
        <w:tabs>
          <w:tab w:leader="none" w:pos="1288" w:val="left"/>
        </w:tabs>
        <w:numPr>
          <w:ilvl w:val="1"/>
          <w:numId w:val="86"/>
        </w:numPr>
        <w:rPr>
          <w:rFonts w:ascii="Arial" w:cs="Arial" w:eastAsia="Arial" w:hAnsi="Arial"/>
          <w:sz w:val="20"/>
          <w:szCs w:val="20"/>
          <w:color w:val="auto"/>
        </w:rPr>
      </w:pPr>
      <w:r>
        <w:rPr>
          <w:rFonts w:ascii="Arial" w:cs="Arial" w:eastAsia="Arial" w:hAnsi="Arial"/>
          <w:sz w:val="20"/>
          <w:szCs w:val="20"/>
          <w:color w:val="auto"/>
        </w:rPr>
        <w:t>This Option and any Shares subject to the Option, and the income from and value of the same, are not intended to replace pension rights (if any) or compensation.</w:t>
      </w:r>
    </w:p>
    <w:p>
      <w:pPr>
        <w:spacing w:after="0" w:line="176" w:lineRule="exact"/>
        <w:rPr>
          <w:rFonts w:ascii="Arial" w:cs="Arial" w:eastAsia="Arial" w:hAnsi="Arial"/>
          <w:sz w:val="20"/>
          <w:szCs w:val="20"/>
          <w:color w:val="auto"/>
        </w:rPr>
      </w:pPr>
    </w:p>
    <w:p>
      <w:pPr>
        <w:jc w:val="both"/>
        <w:ind w:left="1300" w:hanging="644"/>
        <w:spacing w:after="0" w:line="250" w:lineRule="auto"/>
        <w:tabs>
          <w:tab w:leader="none" w:pos="1288" w:val="left"/>
        </w:tabs>
        <w:numPr>
          <w:ilvl w:val="1"/>
          <w:numId w:val="86"/>
        </w:numPr>
        <w:rPr>
          <w:rFonts w:ascii="Arial" w:cs="Arial" w:eastAsia="Arial" w:hAnsi="Arial"/>
          <w:sz w:val="20"/>
          <w:szCs w:val="20"/>
          <w:color w:val="auto"/>
        </w:rPr>
      </w:pPr>
      <w:r>
        <w:rPr>
          <w:rFonts w:ascii="Arial" w:cs="Arial" w:eastAsia="Arial" w:hAnsi="Arial"/>
          <w:sz w:val="20"/>
          <w:szCs w:val="20"/>
          <w:color w:val="auto"/>
        </w:rPr>
        <w:t>Unless otherwise agreed with the Company, this Option and the Shares subject to the Option, and the income from and value of the same, are not granted as consideration for, or in connection with, the services you may provide as a member of the board of directors or as a legal representative of an Affiliate.</w:t>
      </w:r>
    </w:p>
    <w:p>
      <w:pPr>
        <w:spacing w:after="0" w:line="185" w:lineRule="exact"/>
        <w:rPr>
          <w:rFonts w:ascii="Arial" w:cs="Arial" w:eastAsia="Arial" w:hAnsi="Arial"/>
          <w:sz w:val="20"/>
          <w:szCs w:val="20"/>
          <w:color w:val="auto"/>
        </w:rPr>
      </w:pPr>
    </w:p>
    <w:p>
      <w:pPr>
        <w:jc w:val="both"/>
        <w:ind w:left="1300" w:hanging="644"/>
        <w:spacing w:after="0" w:line="250" w:lineRule="auto"/>
        <w:tabs>
          <w:tab w:leader="none" w:pos="1298" w:val="left"/>
        </w:tabs>
        <w:numPr>
          <w:ilvl w:val="1"/>
          <w:numId w:val="86"/>
        </w:numPr>
        <w:rPr>
          <w:rFonts w:ascii="Arial" w:cs="Arial" w:eastAsia="Arial" w:hAnsi="Arial"/>
          <w:sz w:val="20"/>
          <w:szCs w:val="20"/>
          <w:color w:val="auto"/>
        </w:rPr>
      </w:pPr>
      <w:r>
        <w:rPr>
          <w:rFonts w:ascii="Arial" w:cs="Arial" w:eastAsia="Arial" w:hAnsi="Arial"/>
          <w:sz w:val="20"/>
          <w:szCs w:val="20"/>
          <w:color w:val="auto"/>
        </w:rPr>
        <w:t>In the event that the Employer is not the Company, the grant of the Option will not be interpreted to form an employment contract or relationship with the Company and, furthermore, the grant of this Option will not be interpreted to form an employment contract with any Affiliate (including, as applicable, the Employer).</w:t>
      </w:r>
    </w:p>
    <w:p>
      <w:pPr>
        <w:spacing w:after="0" w:line="185" w:lineRule="exact"/>
        <w:rPr>
          <w:rFonts w:ascii="Arial" w:cs="Arial" w:eastAsia="Arial" w:hAnsi="Arial"/>
          <w:sz w:val="20"/>
          <w:szCs w:val="20"/>
          <w:color w:val="auto"/>
        </w:rPr>
      </w:pPr>
    </w:p>
    <w:p>
      <w:pPr>
        <w:ind w:left="1300" w:hanging="644"/>
        <w:spacing w:after="0" w:line="260" w:lineRule="auto"/>
        <w:tabs>
          <w:tab w:leader="none" w:pos="1298" w:val="left"/>
        </w:tabs>
        <w:numPr>
          <w:ilvl w:val="1"/>
          <w:numId w:val="86"/>
        </w:numPr>
        <w:rPr>
          <w:rFonts w:ascii="Arial" w:cs="Arial" w:eastAsia="Arial" w:hAnsi="Arial"/>
          <w:sz w:val="20"/>
          <w:szCs w:val="20"/>
          <w:color w:val="auto"/>
        </w:rPr>
      </w:pPr>
      <w:r>
        <w:rPr>
          <w:rFonts w:ascii="Arial" w:cs="Arial" w:eastAsia="Arial" w:hAnsi="Arial"/>
          <w:sz w:val="20"/>
          <w:szCs w:val="20"/>
          <w:color w:val="auto"/>
        </w:rPr>
        <w:t>This Option and Agreement do not give you a right to continued Service with the Company or any Affiliate (including the Employer) and the Employer may terminate your Service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014" w:right="339" w:bottom="1440" w:gutter="0" w:footer="0" w:header="0"/>
        </w:sectPr>
      </w:pPr>
    </w:p>
    <w:bookmarkStart w:id="86" w:name="page87"/>
    <w:bookmarkEnd w:id="86"/>
    <w:p>
      <w:pPr>
        <w:ind w:left="1300"/>
        <w:spacing w:after="0" w:line="260" w:lineRule="auto"/>
        <w:rPr>
          <w:sz w:val="20"/>
          <w:szCs w:val="20"/>
          <w:color w:val="auto"/>
        </w:rPr>
      </w:pPr>
      <w:r>
        <w:rPr>
          <w:rFonts w:ascii="Arial" w:cs="Arial" w:eastAsia="Arial" w:hAnsi="Arial"/>
          <w:sz w:val="20"/>
          <w:szCs w:val="20"/>
          <w:color w:val="auto"/>
        </w:rPr>
        <w:t>any time subject to local law and the terms of your employment agreement, if any, and otherwise deal with you without regard to the effect it may have upon you under this Agreement.</w:t>
      </w:r>
    </w:p>
    <w:p>
      <w:pPr>
        <w:spacing w:after="0" w:line="177" w:lineRule="exact"/>
        <w:rPr>
          <w:sz w:val="20"/>
          <w:szCs w:val="20"/>
          <w:color w:val="auto"/>
        </w:rPr>
      </w:pPr>
    </w:p>
    <w:p>
      <w:pPr>
        <w:jc w:val="both"/>
        <w:ind w:left="1300" w:hanging="644"/>
        <w:spacing w:after="0" w:line="250" w:lineRule="auto"/>
        <w:tabs>
          <w:tab w:leader="none" w:pos="1288" w:val="left"/>
        </w:tabs>
        <w:numPr>
          <w:ilvl w:val="1"/>
          <w:numId w:val="87"/>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indeterminable and cannot be predicted with certainty; if the underlying Shares do not increase in value, the Option will have no value; if you exercise your Option and acquire Shares, the value of such Shares may increase or decrease, even below the exercise price.</w:t>
      </w:r>
    </w:p>
    <w:p>
      <w:pPr>
        <w:spacing w:after="0" w:line="185" w:lineRule="exact"/>
        <w:rPr>
          <w:rFonts w:ascii="Arial" w:cs="Arial" w:eastAsia="Arial" w:hAnsi="Arial"/>
          <w:sz w:val="20"/>
          <w:szCs w:val="20"/>
          <w:color w:val="auto"/>
        </w:rPr>
      </w:pPr>
    </w:p>
    <w:p>
      <w:pPr>
        <w:jc w:val="both"/>
        <w:ind w:left="1300" w:hanging="644"/>
        <w:spacing w:after="0" w:line="269" w:lineRule="auto"/>
        <w:tabs>
          <w:tab w:leader="none" w:pos="1298" w:val="left"/>
        </w:tabs>
        <w:numPr>
          <w:ilvl w:val="1"/>
          <w:numId w:val="87"/>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this Option resulting from the termination of your Service (for any reason whatsoever, whether or not later found to be invalid or in breach of employment laws in the jurisdiction where you are employed or the terms of your employment agreement, if any).</w:t>
      </w:r>
    </w:p>
    <w:p>
      <w:pPr>
        <w:spacing w:after="0" w:line="169" w:lineRule="exact"/>
        <w:rPr>
          <w:rFonts w:ascii="Arial" w:cs="Arial" w:eastAsia="Arial" w:hAnsi="Arial"/>
          <w:sz w:val="19"/>
          <w:szCs w:val="19"/>
          <w:color w:val="auto"/>
        </w:rPr>
      </w:pPr>
    </w:p>
    <w:p>
      <w:pPr>
        <w:jc w:val="both"/>
        <w:ind w:left="1300" w:hanging="644"/>
        <w:spacing w:after="0" w:line="250" w:lineRule="auto"/>
        <w:tabs>
          <w:tab w:leader="none" w:pos="1289" w:val="left"/>
        </w:tabs>
        <w:numPr>
          <w:ilvl w:val="1"/>
          <w:numId w:val="87"/>
        </w:numPr>
        <w:rPr>
          <w:rFonts w:ascii="Arial" w:cs="Arial" w:eastAsia="Arial" w:hAnsi="Arial"/>
          <w:sz w:val="20"/>
          <w:szCs w:val="20"/>
          <w:color w:val="auto"/>
        </w:rPr>
      </w:pPr>
      <w:r>
        <w:rPr>
          <w:rFonts w:ascii="Arial" w:cs="Arial" w:eastAsia="Arial" w:hAnsi="Arial"/>
          <w:sz w:val="20"/>
          <w:szCs w:val="20"/>
          <w:color w:val="auto"/>
        </w:rPr>
        <w:t>Neither the Company, the Employer nor any Affiliate shall be liable for any foreign exchange rate fluctuation between your local currency and the U.S. Dollar that may affect the value of the Option or of any amounts due to you pursuant to the exercise of the Option or the subsequent sale of any Shares acquired upon exercise.</w:t>
      </w:r>
    </w:p>
    <w:p>
      <w:pPr>
        <w:spacing w:after="0" w:line="179" w:lineRule="exact"/>
        <w:rPr>
          <w:rFonts w:ascii="Arial" w:cs="Arial" w:eastAsia="Arial" w:hAnsi="Arial"/>
          <w:sz w:val="20"/>
          <w:szCs w:val="20"/>
          <w:color w:val="auto"/>
        </w:rPr>
      </w:pPr>
    </w:p>
    <w:p>
      <w:pPr>
        <w:ind w:left="660" w:hanging="652"/>
        <w:spacing w:after="0" w:line="294" w:lineRule="auto"/>
        <w:tabs>
          <w:tab w:leader="none" w:pos="457"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shall be subject to the Data Privacy Terms attached hereto as Addendum A. Moreover, if you relocate into or</w:t>
      </w:r>
      <w:r>
        <w:rPr>
          <w:rFonts w:ascii="Arial" w:cs="Arial" w:eastAsia="Arial" w:hAnsi="Arial"/>
          <w:sz w:val="18"/>
          <w:szCs w:val="18"/>
          <w:b w:val="1"/>
          <w:bCs w:val="1"/>
          <w:color w:val="auto"/>
        </w:rPr>
        <w:t xml:space="preserve"> </w:t>
      </w:r>
      <w:r>
        <w:rPr>
          <w:rFonts w:ascii="Arial" w:cs="Arial" w:eastAsia="Arial" w:hAnsi="Arial"/>
          <w:sz w:val="18"/>
          <w:szCs w:val="18"/>
          <w:color w:val="auto"/>
        </w:rPr>
        <w:t>out of the European Union, European Economic Area, or the United Kingdom, the Company will determine the application of the Data Privacy Terms as necessary or advisable for legal or administrative reasons. Addendum A constitutes part of this Agreement.</w:t>
      </w:r>
    </w:p>
    <w:p>
      <w:pPr>
        <w:spacing w:after="0" w:line="143" w:lineRule="exact"/>
        <w:rPr>
          <w:rFonts w:ascii="Arial" w:cs="Arial" w:eastAsia="Arial" w:hAnsi="Arial"/>
          <w:sz w:val="18"/>
          <w:szCs w:val="18"/>
          <w:color w:val="auto"/>
        </w:rPr>
      </w:pPr>
    </w:p>
    <w:p>
      <w:pPr>
        <w:ind w:left="660" w:hanging="652"/>
        <w:spacing w:after="0" w:line="248" w:lineRule="auto"/>
        <w:tabs>
          <w:tab w:leader="none" w:pos="552" w:val="left"/>
        </w:tabs>
        <w:numPr>
          <w:ilvl w:val="0"/>
          <w:numId w:val="88"/>
        </w:numPr>
        <w:rPr>
          <w:rFonts w:ascii="Arial" w:cs="Arial" w:eastAsia="Arial" w:hAnsi="Arial"/>
          <w:sz w:val="20"/>
          <w:szCs w:val="20"/>
          <w:color w:val="auto"/>
        </w:rPr>
      </w:pPr>
      <w:r>
        <w:rPr>
          <w:rFonts w:ascii="Arial" w:cs="Arial" w:eastAsia="Arial" w:hAnsi="Arial"/>
          <w:sz w:val="20"/>
          <w:szCs w:val="20"/>
          <w:b w:val="1"/>
          <w:bCs w:val="1"/>
          <w:u w:val="single" w:color="auto"/>
          <w:color w:val="auto"/>
        </w:rPr>
        <w:t>No Advice Regarding Grant</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is not providing any tax, legal or financial advice, nor is the Company making any</w:t>
      </w:r>
      <w:r>
        <w:rPr>
          <w:rFonts w:ascii="Arial" w:cs="Arial" w:eastAsia="Arial" w:hAnsi="Arial"/>
          <w:sz w:val="20"/>
          <w:szCs w:val="20"/>
          <w:b w:val="1"/>
          <w:bCs w:val="1"/>
          <w:color w:val="auto"/>
        </w:rPr>
        <w:t xml:space="preserve"> </w:t>
      </w:r>
      <w:r>
        <w:rPr>
          <w:rFonts w:ascii="Arial" w:cs="Arial" w:eastAsia="Arial" w:hAnsi="Arial"/>
          <w:sz w:val="20"/>
          <w:szCs w:val="20"/>
          <w:color w:val="auto"/>
        </w:rPr>
        <w:t>recommendations regarding your participation in the Plan, or your acquisition or sale of the underlying Shares. You understand and agree that you should consult with your own personal tax, legal and financial advisors regarding your participation in the Plan before taking any action related to the Plan.</w:t>
      </w:r>
    </w:p>
    <w:p>
      <w:pPr>
        <w:spacing w:after="0" w:line="183" w:lineRule="exact"/>
        <w:rPr>
          <w:rFonts w:ascii="Arial" w:cs="Arial" w:eastAsia="Arial" w:hAnsi="Arial"/>
          <w:sz w:val="20"/>
          <w:szCs w:val="20"/>
          <w:color w:val="auto"/>
        </w:rPr>
      </w:pPr>
    </w:p>
    <w:p>
      <w:pPr>
        <w:ind w:left="660" w:hanging="652"/>
        <w:spacing w:after="0" w:line="272" w:lineRule="auto"/>
        <w:tabs>
          <w:tab w:leader="none" w:pos="498" w:val="left"/>
        </w:tabs>
        <w:numPr>
          <w:ilvl w:val="0"/>
          <w:numId w:val="88"/>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Plan Document</w:t>
      </w:r>
      <w:r>
        <w:rPr>
          <w:rFonts w:ascii="Arial" w:cs="Arial" w:eastAsia="Arial" w:hAnsi="Arial"/>
          <w:sz w:val="19"/>
          <w:szCs w:val="19"/>
          <w:color w:val="auto"/>
        </w:rPr>
        <w:t>. This Agreement and Option are subject to all the provisions of the Plan, and to all interpretations, rules</w:t>
      </w:r>
      <w:r>
        <w:rPr>
          <w:rFonts w:ascii="Arial" w:cs="Arial" w:eastAsia="Arial" w:hAnsi="Arial"/>
          <w:sz w:val="19"/>
          <w:szCs w:val="19"/>
          <w:b w:val="1"/>
          <w:bCs w:val="1"/>
          <w:color w:val="auto"/>
        </w:rPr>
        <w:t xml:space="preserve"> </w:t>
      </w:r>
      <w:r>
        <w:rPr>
          <w:rFonts w:ascii="Arial" w:cs="Arial" w:eastAsia="Arial" w:hAnsi="Arial"/>
          <w:sz w:val="19"/>
          <w:szCs w:val="19"/>
          <w:color w:val="auto"/>
        </w:rPr>
        <w:t>and regulations which may, from time to time, be adopted and promulgated by the Committee pursuant to the Plan. If there is any conflict between the provisions of this Agreement and the Plan, the provisions of the Plan will govern.</w:t>
      </w:r>
    </w:p>
    <w:p>
      <w:pPr>
        <w:spacing w:after="0" w:line="161" w:lineRule="exact"/>
        <w:rPr>
          <w:rFonts w:ascii="Arial" w:cs="Arial" w:eastAsia="Arial" w:hAnsi="Arial"/>
          <w:sz w:val="19"/>
          <w:szCs w:val="19"/>
          <w:color w:val="auto"/>
        </w:rPr>
      </w:pPr>
    </w:p>
    <w:p>
      <w:pPr>
        <w:ind w:left="660" w:hanging="652"/>
        <w:spacing w:after="0" w:line="262" w:lineRule="auto"/>
        <w:tabs>
          <w:tab w:leader="none" w:pos="457" w:val="left"/>
        </w:tabs>
        <w:numPr>
          <w:ilvl w:val="0"/>
          <w:numId w:val="88"/>
        </w:numPr>
        <w:rPr>
          <w:rFonts w:ascii="Arial" w:cs="Arial" w:eastAsia="Arial" w:hAnsi="Arial"/>
          <w:sz w:val="19"/>
          <w:szCs w:val="19"/>
          <w:color w:val="auto"/>
        </w:rPr>
      </w:pPr>
      <w:r>
        <w:rPr>
          <w:rFonts w:ascii="Arial" w:cs="Arial" w:eastAsia="Arial" w:hAnsi="Arial"/>
          <w:sz w:val="19"/>
          <w:szCs w:val="19"/>
          <w:b w:val="1"/>
          <w:bCs w:val="1"/>
          <w:u w:val="single" w:color="auto"/>
          <w:color w:val="auto"/>
        </w:rPr>
        <w:t>Choice of Law and Venue</w:t>
      </w:r>
      <w:r>
        <w:rPr>
          <w:rFonts w:ascii="Arial" w:cs="Arial" w:eastAsia="Arial" w:hAnsi="Arial"/>
          <w:sz w:val="19"/>
          <w:szCs w:val="19"/>
          <w:color w:val="auto"/>
        </w:rPr>
        <w:t>. This Option and Agreement will be interpreted and construed in accordance with and governed by the laws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State of Minnesota, and all Participants agree to the exclusive venue and jurisdiction of the State and Federal Courts located in Hennepin County, Minnesota and waive any objection based on lack of jurisdiction or inconvenient forum. Any action relating to or arising out of this Plan must be commenced within one year after the cause of action accrued. This provision will not apply to Participants who relocate and primarily reside and work in California.</w:t>
      </w:r>
    </w:p>
    <w:p>
      <w:pPr>
        <w:spacing w:after="0" w:line="170" w:lineRule="exact"/>
        <w:rPr>
          <w:rFonts w:ascii="Arial" w:cs="Arial" w:eastAsia="Arial" w:hAnsi="Arial"/>
          <w:sz w:val="19"/>
          <w:szCs w:val="19"/>
          <w:color w:val="auto"/>
        </w:rPr>
      </w:pPr>
    </w:p>
    <w:p>
      <w:pPr>
        <w:ind w:left="660" w:right="20" w:hanging="652"/>
        <w:spacing w:after="0" w:line="267" w:lineRule="auto"/>
        <w:tabs>
          <w:tab w:leader="none" w:pos="552" w:val="left"/>
        </w:tabs>
        <w:numPr>
          <w:ilvl w:val="0"/>
          <w:numId w:val="88"/>
        </w:numPr>
        <w:rPr>
          <w:rFonts w:ascii="Arial" w:cs="Arial" w:eastAsia="Arial" w:hAnsi="Arial"/>
          <w:sz w:val="20"/>
          <w:szCs w:val="20"/>
          <w:color w:val="auto"/>
        </w:rPr>
      </w:pPr>
      <w:r>
        <w:rPr>
          <w:rFonts w:ascii="Arial" w:cs="Arial" w:eastAsia="Arial" w:hAnsi="Arial"/>
          <w:sz w:val="20"/>
          <w:szCs w:val="20"/>
          <w:b w:val="1"/>
          <w:bCs w:val="1"/>
          <w:u w:val="single" w:color="auto"/>
          <w:color w:val="auto"/>
        </w:rPr>
        <w:t>Binding Effect</w:t>
      </w:r>
      <w:r>
        <w:rPr>
          <w:rFonts w:ascii="Arial" w:cs="Arial" w:eastAsia="Arial" w:hAnsi="Arial"/>
          <w:sz w:val="20"/>
          <w:szCs w:val="20"/>
          <w:color w:val="auto"/>
        </w:rPr>
        <w:t>. This Agreement will be binding in all respects on your heirs, representatives, successors and assigns, and on the</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and assigns of the Company.</w:t>
      </w:r>
    </w:p>
    <w:p>
      <w:pPr>
        <w:spacing w:after="0" w:line="163" w:lineRule="exact"/>
        <w:rPr>
          <w:rFonts w:ascii="Arial" w:cs="Arial" w:eastAsia="Arial" w:hAnsi="Arial"/>
          <w:sz w:val="20"/>
          <w:szCs w:val="20"/>
          <w:color w:val="auto"/>
        </w:rPr>
      </w:pPr>
    </w:p>
    <w:p>
      <w:pPr>
        <w:ind w:left="660" w:hanging="652"/>
        <w:spacing w:after="0" w:line="265" w:lineRule="auto"/>
        <w:tabs>
          <w:tab w:leader="none" w:pos="525" w:val="left"/>
        </w:tabs>
        <w:numPr>
          <w:ilvl w:val="0"/>
          <w:numId w:val="88"/>
        </w:numPr>
        <w:rPr>
          <w:rFonts w:ascii="Arial" w:cs="Arial" w:eastAsia="Arial" w:hAnsi="Arial"/>
          <w:sz w:val="19"/>
          <w:szCs w:val="19"/>
          <w:color w:val="auto"/>
        </w:rPr>
      </w:pPr>
      <w:r>
        <w:rPr>
          <w:rFonts w:ascii="Arial" w:cs="Arial" w:eastAsia="Arial" w:hAnsi="Arial"/>
          <w:sz w:val="19"/>
          <w:szCs w:val="19"/>
          <w:b w:val="1"/>
          <w:bCs w:val="1"/>
          <w:u w:val="single" w:color="auto"/>
          <w:color w:val="auto"/>
        </w:rPr>
        <w:t>Compliance with Law</w:t>
      </w:r>
      <w:r>
        <w:rPr>
          <w:rFonts w:ascii="Arial" w:cs="Arial" w:eastAsia="Arial" w:hAnsi="Arial"/>
          <w:sz w:val="19"/>
          <w:szCs w:val="19"/>
          <w:color w:val="auto"/>
        </w:rPr>
        <w:t>. Notwithstanding any other provision of the Plan or this Agreement, unless there is an exemption from any</w:t>
      </w:r>
      <w:r>
        <w:rPr>
          <w:rFonts w:ascii="Arial" w:cs="Arial" w:eastAsia="Arial" w:hAnsi="Arial"/>
          <w:sz w:val="19"/>
          <w:szCs w:val="19"/>
          <w:b w:val="1"/>
          <w:bCs w:val="1"/>
          <w:color w:val="auto"/>
        </w:rPr>
        <w:t xml:space="preserve"> </w:t>
      </w:r>
      <w:r>
        <w:rPr>
          <w:rFonts w:ascii="Arial" w:cs="Arial" w:eastAsia="Arial" w:hAnsi="Arial"/>
          <w:sz w:val="19"/>
          <w:szCs w:val="19"/>
          <w:color w:val="auto"/>
        </w:rPr>
        <w:t>registration, qualification or other legal requirement applicable to the Shares, the Company shall not be required to deliver any Shares issuable upon exercise of the Options prior to the completion of any registration or qualification of the Shares under any U.S. federal, state or foreign securities or exchange control law or under rulings or regulations of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014" w:right="339" w:bottom="1440" w:gutter="0" w:footer="0" w:header="0"/>
        </w:sectPr>
      </w:pPr>
    </w:p>
    <w:bookmarkStart w:id="87" w:name="page88"/>
    <w:bookmarkEnd w:id="87"/>
    <w:p>
      <w:pPr>
        <w:jc w:val="both"/>
        <w:ind w:left="660"/>
        <w:spacing w:after="0" w:line="243" w:lineRule="auto"/>
        <w:rPr>
          <w:sz w:val="20"/>
          <w:szCs w:val="20"/>
          <w:color w:val="auto"/>
        </w:rPr>
      </w:pPr>
      <w:r>
        <w:rPr>
          <w:rFonts w:ascii="Arial" w:cs="Arial" w:eastAsia="Arial" w:hAnsi="Arial"/>
          <w:sz w:val="20"/>
          <w:szCs w:val="20"/>
          <w:color w:val="auto"/>
        </w:rPr>
        <w:t>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You understand that the Company is under no obligation to register or qualify the Shares with the SEC or any state or foreign securities commission or to seek approval or clearance from any governmental authority for the issuance or sale of the Shares. Further, you agree that the Company shall have unilateral authority to amend the Agreement without your consent to the extent necessary to comply with securities or other laws applicable to the issuance of the Shares.</w:t>
      </w:r>
    </w:p>
    <w:p>
      <w:pPr>
        <w:spacing w:after="0" w:line="187" w:lineRule="exact"/>
        <w:rPr>
          <w:sz w:val="20"/>
          <w:szCs w:val="20"/>
          <w:color w:val="auto"/>
        </w:rPr>
      </w:pPr>
    </w:p>
    <w:p>
      <w:pPr>
        <w:ind w:left="660" w:hanging="652"/>
        <w:spacing w:after="0" w:line="277" w:lineRule="auto"/>
        <w:tabs>
          <w:tab w:leader="none" w:pos="579"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Recovery Policy</w:t>
      </w:r>
      <w:r>
        <w:rPr>
          <w:rFonts w:ascii="Arial" w:cs="Arial" w:eastAsia="Arial" w:hAnsi="Arial"/>
          <w:sz w:val="18"/>
          <w:szCs w:val="18"/>
          <w:color w:val="auto"/>
        </w:rPr>
        <w:t>. To the extent that any compensation paid or payable pursuant to this Agreement is considered</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“incentive-based compensation” within the meaning and subject to the requirements of Section 10D of the Exchange Act, such compensation shall be subject to potential forfeiture or recovery by the Company in accordance with any compensation recovery policy adopted by the Board or any committee thereof in response to the requirements of Section 10D of the Exchange Act and any implementing rules and regulations thereunder adopted by the SEC or any national securities exchange on which the Stock is then listed. This Agreement may be unilaterally amended by the Company to comply with any such compensation recovery policy.</w:t>
      </w:r>
    </w:p>
    <w:p>
      <w:pPr>
        <w:spacing w:after="0" w:line="159" w:lineRule="exact"/>
        <w:rPr>
          <w:rFonts w:ascii="Arial" w:cs="Arial" w:eastAsia="Arial" w:hAnsi="Arial"/>
          <w:sz w:val="18"/>
          <w:szCs w:val="18"/>
          <w:color w:val="auto"/>
        </w:rPr>
      </w:pPr>
    </w:p>
    <w:p>
      <w:pPr>
        <w:ind w:left="660" w:hanging="652"/>
        <w:spacing w:after="0" w:line="275" w:lineRule="auto"/>
        <w:tabs>
          <w:tab w:leader="none" w:pos="457"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Insider Trading/Market Abuse Restrictions</w:t>
      </w:r>
      <w:r>
        <w:rPr>
          <w:rFonts w:ascii="Arial" w:cs="Arial" w:eastAsia="Arial" w:hAnsi="Arial"/>
          <w:sz w:val="18"/>
          <w:szCs w:val="18"/>
          <w:color w:val="auto"/>
        </w:rPr>
        <w:t>. You may be subject to insider trading restrictions and/or market abuse laws in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jurisdictions including, but not limited to, the United States and your country of residence, which may affect your ability to accept, acquire, sell or otherwise dispose of Shares or rights to Shares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Options) or rights linked to the value of Shares during such times as you are considered to have “inside information” regarding the Company (as defined by the laws in your country). Any restrictions under these laws or regulations are separate from and in addition to any restrictions that may be imposed under the Company’s insider trading policy as set forth in the “Statement of Company Policy as to Trades in the Company’s Securities By Company Personnel and Confidential Information.” You are responsible for ensuring compliance with any applicable restrictions.</w:t>
      </w:r>
    </w:p>
    <w:p>
      <w:pPr>
        <w:spacing w:after="0" w:line="162" w:lineRule="exact"/>
        <w:rPr>
          <w:rFonts w:ascii="Arial" w:cs="Arial" w:eastAsia="Arial" w:hAnsi="Arial"/>
          <w:sz w:val="18"/>
          <w:szCs w:val="18"/>
          <w:color w:val="auto"/>
        </w:rPr>
      </w:pPr>
    </w:p>
    <w:p>
      <w:pPr>
        <w:ind w:left="660" w:hanging="652"/>
        <w:spacing w:after="0" w:line="248" w:lineRule="auto"/>
        <w:tabs>
          <w:tab w:leader="none" w:pos="457" w:val="left"/>
        </w:tabs>
        <w:numPr>
          <w:ilvl w:val="0"/>
          <w:numId w:val="89"/>
        </w:numPr>
        <w:rPr>
          <w:rFonts w:ascii="Arial" w:cs="Arial" w:eastAsia="Arial" w:hAnsi="Arial"/>
          <w:sz w:val="20"/>
          <w:szCs w:val="20"/>
          <w:color w:val="auto"/>
        </w:rPr>
      </w:pPr>
      <w:r>
        <w:rPr>
          <w:rFonts w:ascii="Arial" w:cs="Arial" w:eastAsia="Arial" w:hAnsi="Arial"/>
          <w:sz w:val="20"/>
          <w:szCs w:val="20"/>
          <w:b w:val="1"/>
          <w:bCs w:val="1"/>
          <w:u w:val="single" w:color="auto"/>
          <w:color w:val="auto"/>
        </w:rPr>
        <w:t>Country-Specific Terms</w:t>
      </w:r>
      <w:r>
        <w:rPr>
          <w:rFonts w:ascii="Arial" w:cs="Arial" w:eastAsia="Arial" w:hAnsi="Arial"/>
          <w:sz w:val="20"/>
          <w:szCs w:val="20"/>
          <w:color w:val="auto"/>
        </w:rPr>
        <w:t>. The Option shall be subject to the Country-Specific Terms attached hereto as Addendum B. Moreover, if you</w:t>
      </w:r>
      <w:r>
        <w:rPr>
          <w:rFonts w:ascii="Arial" w:cs="Arial" w:eastAsia="Arial" w:hAnsi="Arial"/>
          <w:sz w:val="20"/>
          <w:szCs w:val="20"/>
          <w:b w:val="1"/>
          <w:bCs w:val="1"/>
          <w:color w:val="auto"/>
        </w:rPr>
        <w:t xml:space="preserve"> </w:t>
      </w:r>
      <w:r>
        <w:rPr>
          <w:rFonts w:ascii="Arial" w:cs="Arial" w:eastAsia="Arial" w:hAnsi="Arial"/>
          <w:sz w:val="20"/>
          <w:szCs w:val="20"/>
          <w:color w:val="auto"/>
        </w:rPr>
        <w:t>relocate to one of the countries included in Addendum B, the country-specific terms will apply to you, to the extent the Company determines that the application of such terms is necessary or advisable for legal or administrative reasons. Addendum B constitutes part of this Agreement.</w:t>
      </w:r>
    </w:p>
    <w:p>
      <w:pPr>
        <w:spacing w:after="0" w:line="183" w:lineRule="exact"/>
        <w:rPr>
          <w:rFonts w:ascii="Arial" w:cs="Arial" w:eastAsia="Arial" w:hAnsi="Arial"/>
          <w:sz w:val="20"/>
          <w:szCs w:val="20"/>
          <w:color w:val="auto"/>
        </w:rPr>
      </w:pPr>
    </w:p>
    <w:p>
      <w:pPr>
        <w:ind w:left="660" w:hanging="652"/>
        <w:spacing w:after="0" w:line="248" w:lineRule="auto"/>
        <w:tabs>
          <w:tab w:leader="none" w:pos="484" w:val="left"/>
        </w:tabs>
        <w:numPr>
          <w:ilvl w:val="0"/>
          <w:numId w:val="89"/>
        </w:numPr>
        <w:rPr>
          <w:rFonts w:ascii="Arial" w:cs="Arial" w:eastAsia="Arial" w:hAnsi="Arial"/>
          <w:sz w:val="20"/>
          <w:szCs w:val="20"/>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your participation in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on the Option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83" w:lineRule="exact"/>
        <w:rPr>
          <w:rFonts w:ascii="Arial" w:cs="Arial" w:eastAsia="Arial" w:hAnsi="Arial"/>
          <w:sz w:val="20"/>
          <w:szCs w:val="20"/>
          <w:color w:val="auto"/>
        </w:rPr>
      </w:pPr>
    </w:p>
    <w:p>
      <w:pPr>
        <w:ind w:left="660" w:hanging="652"/>
        <w:spacing w:after="0" w:line="248" w:lineRule="auto"/>
        <w:tabs>
          <w:tab w:leader="none" w:pos="511" w:val="left"/>
        </w:tabs>
        <w:numPr>
          <w:ilvl w:val="0"/>
          <w:numId w:val="89"/>
        </w:numPr>
        <w:rPr>
          <w:rFonts w:ascii="Arial" w:cs="Arial" w:eastAsia="Arial" w:hAnsi="Arial"/>
          <w:sz w:val="20"/>
          <w:szCs w:val="20"/>
          <w:color w:val="auto"/>
        </w:rPr>
      </w:pPr>
      <w:r>
        <w:rPr>
          <w:rFonts w:ascii="Arial" w:cs="Arial" w:eastAsia="Arial" w:hAnsi="Arial"/>
          <w:sz w:val="20"/>
          <w:szCs w:val="20"/>
          <w:b w:val="1"/>
          <w:bCs w:val="1"/>
          <w:u w:val="single" w:color="auto"/>
          <w:color w:val="auto"/>
        </w:rPr>
        <w:t>Language</w:t>
      </w:r>
      <w:r>
        <w:rPr>
          <w:rFonts w:ascii="Arial" w:cs="Arial" w:eastAsia="Arial" w:hAnsi="Arial"/>
          <w:sz w:val="20"/>
          <w:szCs w:val="20"/>
          <w:color w:val="auto"/>
        </w:rPr>
        <w:t>. You acknowledge that you are proficient in the English language, or have consulted with an advisor who is proficient in</w:t>
      </w:r>
      <w:r>
        <w:rPr>
          <w:rFonts w:ascii="Arial" w:cs="Arial" w:eastAsia="Arial" w:hAnsi="Arial"/>
          <w:sz w:val="20"/>
          <w:szCs w:val="20"/>
          <w:b w:val="1"/>
          <w:bCs w:val="1"/>
          <w:color w:val="auto"/>
        </w:rPr>
        <w:t xml:space="preserve"> </w:t>
      </w:r>
      <w:r>
        <w:rPr>
          <w:rFonts w:ascii="Arial" w:cs="Arial" w:eastAsia="Arial" w:hAnsi="Arial"/>
          <w:sz w:val="20"/>
          <w:szCs w:val="20"/>
          <w:color w:val="auto"/>
        </w:rPr>
        <w:t>English, and understand the provisions in this Agreement and the Plan. Further, if you have received this Agreement or any other document related to the Plan translated into a language other than English and if the meaning of the translated version is different than the English version, the English version will control.</w:t>
      </w:r>
    </w:p>
    <w:p>
      <w:pPr>
        <w:spacing w:after="0" w:line="183" w:lineRule="exact"/>
        <w:rPr>
          <w:rFonts w:ascii="Arial" w:cs="Arial" w:eastAsia="Arial" w:hAnsi="Arial"/>
          <w:sz w:val="20"/>
          <w:szCs w:val="20"/>
          <w:color w:val="auto"/>
        </w:rPr>
      </w:pPr>
    </w:p>
    <w:p>
      <w:pPr>
        <w:ind w:left="660" w:hanging="652"/>
        <w:spacing w:after="0" w:line="253" w:lineRule="auto"/>
        <w:tabs>
          <w:tab w:leader="none" w:pos="457" w:val="left"/>
        </w:tabs>
        <w:numPr>
          <w:ilvl w:val="0"/>
          <w:numId w:val="89"/>
        </w:numPr>
        <w:rPr>
          <w:rFonts w:ascii="Arial" w:cs="Arial" w:eastAsia="Arial" w:hAnsi="Arial"/>
          <w:sz w:val="20"/>
          <w:szCs w:val="20"/>
          <w:color w:val="auto"/>
        </w:rPr>
      </w:pPr>
      <w:r>
        <w:rPr>
          <w:rFonts w:ascii="Arial" w:cs="Arial" w:eastAsia="Arial" w:hAnsi="Arial"/>
          <w:sz w:val="20"/>
          <w:szCs w:val="20"/>
          <w:b w:val="1"/>
          <w:bCs w:val="1"/>
          <w:u w:val="single" w:color="auto"/>
          <w:color w:val="auto"/>
        </w:rPr>
        <w:t>Electronic Delivery and Participation</w:t>
      </w:r>
      <w:r>
        <w:rPr>
          <w:rFonts w:ascii="Arial" w:cs="Arial" w:eastAsia="Arial" w:hAnsi="Arial"/>
          <w:sz w:val="20"/>
          <w:szCs w:val="20"/>
          <w:color w:val="auto"/>
        </w:rPr>
        <w:t>. The Company may, in its sole discretion, decide to deliver any documents related to current or</w:t>
      </w:r>
      <w:r>
        <w:rPr>
          <w:rFonts w:ascii="Arial" w:cs="Arial" w:eastAsia="Arial" w:hAnsi="Arial"/>
          <w:sz w:val="20"/>
          <w:szCs w:val="20"/>
          <w:b w:val="1"/>
          <w:bCs w:val="1"/>
          <w:color w:val="auto"/>
        </w:rPr>
        <w:t xml:space="preserve"> </w:t>
      </w:r>
      <w:r>
        <w:rPr>
          <w:rFonts w:ascii="Arial" w:cs="Arial" w:eastAsia="Arial" w:hAnsi="Arial"/>
          <w:sz w:val="20"/>
          <w:szCs w:val="20"/>
          <w:color w:val="auto"/>
        </w:rPr>
        <w:t>future participation in the Plan by electronic means. You hereby consent to receive such documents by electronic delivery and agree to participate in the Plan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014" w:right="339" w:bottom="1440" w:gutter="0" w:footer="0" w:header="0"/>
        </w:sectPr>
      </w:pPr>
    </w:p>
    <w:bookmarkStart w:id="88" w:name="page89"/>
    <w:bookmarkEnd w:id="88"/>
    <w:p>
      <w:pPr>
        <w:ind w:left="660"/>
        <w:spacing w:after="0"/>
        <w:rPr>
          <w:sz w:val="20"/>
          <w:szCs w:val="20"/>
          <w:color w:val="auto"/>
        </w:rPr>
      </w:pPr>
      <w:r>
        <w:rPr>
          <w:rFonts w:ascii="Arial" w:cs="Arial" w:eastAsia="Arial" w:hAnsi="Arial"/>
          <w:sz w:val="19"/>
          <w:szCs w:val="19"/>
          <w:color w:val="auto"/>
        </w:rPr>
        <w:t>an on-line or electronic system established and maintained by the Company or a third party designated by the Company.</w:t>
      </w:r>
    </w:p>
    <w:p>
      <w:pPr>
        <w:spacing w:after="0" w:line="221" w:lineRule="exact"/>
        <w:rPr>
          <w:sz w:val="20"/>
          <w:szCs w:val="20"/>
          <w:color w:val="auto"/>
        </w:rPr>
      </w:pPr>
    </w:p>
    <w:p>
      <w:pPr>
        <w:ind w:left="660" w:right="20" w:hanging="652"/>
        <w:spacing w:after="0" w:line="293" w:lineRule="auto"/>
        <w:tabs>
          <w:tab w:leader="none" w:pos="579" w:val="left"/>
        </w:tabs>
        <w:numPr>
          <w:ilvl w:val="0"/>
          <w:numId w:val="90"/>
        </w:numPr>
        <w:rPr>
          <w:rFonts w:ascii="Arial" w:cs="Arial" w:eastAsia="Arial" w:hAnsi="Arial"/>
          <w:sz w:val="19"/>
          <w:szCs w:val="19"/>
          <w:color w:val="auto"/>
        </w:rPr>
      </w:pPr>
      <w:r>
        <w:rPr>
          <w:rFonts w:ascii="Arial" w:cs="Arial" w:eastAsia="Arial" w:hAnsi="Arial"/>
          <w:sz w:val="19"/>
          <w:szCs w:val="19"/>
          <w:b w:val="1"/>
          <w:bCs w:val="1"/>
          <w:u w:val="single" w:color="auto"/>
          <w:color w:val="auto"/>
        </w:rPr>
        <w:t>Waiver</w:t>
      </w:r>
      <w:r>
        <w:rPr>
          <w:rFonts w:ascii="Arial" w:cs="Arial" w:eastAsia="Arial" w:hAnsi="Arial"/>
          <w:sz w:val="19"/>
          <w:szCs w:val="19"/>
          <w:color w:val="auto"/>
        </w:rPr>
        <w:t>. You acknowledge that a waiver by the Company of breach of any provision of this Agreement shall not operate or be</w:t>
      </w:r>
      <w:r>
        <w:rPr>
          <w:rFonts w:ascii="Arial" w:cs="Arial" w:eastAsia="Arial" w:hAnsi="Arial"/>
          <w:sz w:val="19"/>
          <w:szCs w:val="19"/>
          <w:b w:val="1"/>
          <w:bCs w:val="1"/>
          <w:color w:val="auto"/>
        </w:rPr>
        <w:t xml:space="preserve"> </w:t>
      </w:r>
      <w:r>
        <w:rPr>
          <w:rFonts w:ascii="Arial" w:cs="Arial" w:eastAsia="Arial" w:hAnsi="Arial"/>
          <w:sz w:val="19"/>
          <w:szCs w:val="19"/>
          <w:color w:val="auto"/>
        </w:rPr>
        <w:t>construed as a waiver of any other provision of this Agreement, or of any subsequent breach by you or any other Participant.</w:t>
      </w:r>
    </w:p>
    <w:p>
      <w:pPr>
        <w:spacing w:after="0" w:line="141" w:lineRule="exact"/>
        <w:rPr>
          <w:rFonts w:ascii="Arial" w:cs="Arial" w:eastAsia="Arial" w:hAnsi="Arial"/>
          <w:sz w:val="19"/>
          <w:szCs w:val="19"/>
          <w:color w:val="auto"/>
        </w:rPr>
      </w:pPr>
    </w:p>
    <w:p>
      <w:pPr>
        <w:ind w:left="660" w:right="20" w:hanging="652"/>
        <w:spacing w:after="0" w:line="293" w:lineRule="auto"/>
        <w:tabs>
          <w:tab w:leader="none" w:pos="579" w:val="left"/>
        </w:tabs>
        <w:numPr>
          <w:ilvl w:val="0"/>
          <w:numId w:val="90"/>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The provisions of this Agreement are severable and if any one or more provisions are determined to be illegal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unenforceable, in whole or in part, the remaining provisions shall nevertheless be binding and enforceable.</w:t>
      </w:r>
    </w:p>
    <w:p>
      <w:pPr>
        <w:spacing w:after="0" w:line="141" w:lineRule="exact"/>
        <w:rPr>
          <w:rFonts w:ascii="Arial" w:cs="Arial" w:eastAsia="Arial" w:hAnsi="Arial"/>
          <w:sz w:val="19"/>
          <w:szCs w:val="19"/>
          <w:color w:val="auto"/>
        </w:rPr>
      </w:pPr>
    </w:p>
    <w:p>
      <w:pPr>
        <w:jc w:val="both"/>
        <w:ind w:left="660" w:hanging="652"/>
        <w:spacing w:after="0" w:line="244" w:lineRule="auto"/>
        <w:tabs>
          <w:tab w:leader="none" w:pos="633" w:val="left"/>
        </w:tabs>
        <w:numPr>
          <w:ilvl w:val="0"/>
          <w:numId w:val="90"/>
        </w:numPr>
        <w:rPr>
          <w:rFonts w:ascii="Arial" w:cs="Arial" w:eastAsia="Arial" w:hAnsi="Arial"/>
          <w:sz w:val="20"/>
          <w:szCs w:val="20"/>
          <w:color w:val="auto"/>
        </w:rPr>
      </w:pPr>
      <w:r>
        <w:rPr>
          <w:rFonts w:ascii="Arial" w:cs="Arial" w:eastAsia="Arial" w:hAnsi="Arial"/>
          <w:sz w:val="20"/>
          <w:szCs w:val="20"/>
          <w:b w:val="1"/>
          <w:bCs w:val="1"/>
          <w:u w:val="single" w:color="auto"/>
          <w:color w:val="auto"/>
        </w:rPr>
        <w:t>Foreign Asset/Account Reporting, Exchange Control Requirements</w:t>
      </w:r>
      <w:r>
        <w:rPr>
          <w:rFonts w:ascii="Arial" w:cs="Arial" w:eastAsia="Arial" w:hAnsi="Arial"/>
          <w:sz w:val="20"/>
          <w:szCs w:val="20"/>
          <w:color w:val="auto"/>
        </w:rPr>
        <w:t>. Certain foreign asset and/or foreign account reporting</w:t>
      </w:r>
      <w:r>
        <w:rPr>
          <w:rFonts w:ascii="Arial" w:cs="Arial" w:eastAsia="Arial" w:hAnsi="Arial"/>
          <w:sz w:val="20"/>
          <w:szCs w:val="20"/>
          <w:b w:val="1"/>
          <w:bCs w:val="1"/>
          <w:color w:val="auto"/>
        </w:rPr>
        <w:t xml:space="preserve"> </w:t>
      </w:r>
      <w:r>
        <w:rPr>
          <w:rFonts w:ascii="Arial" w:cs="Arial" w:eastAsia="Arial" w:hAnsi="Arial"/>
          <w:sz w:val="20"/>
          <w:szCs w:val="20"/>
          <w:color w:val="auto"/>
        </w:rPr>
        <w:t>requirements and exchange controls may affect your ability to acquire or hold Shares under the Plan or cash received from participating in the Plan in a brokerage or bank account outside your country. You may be required to report such accounts, assets or transactions to the tax or other authorities in your country. You may also be required to repatriate sale proceeds or other funds received as a result of your participation in the Plan to your country through a designated bank or broker and/or within a certain time after receipt. You are responsible for complying with any applicable regulations and should consult your personal legal and tax advisors for any details.</w:t>
      </w:r>
    </w:p>
    <w:p>
      <w:pPr>
        <w:spacing w:after="0" w:line="192"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i w:val="1"/>
          <w:iCs w:val="1"/>
          <w:color w:val="auto"/>
        </w:rPr>
        <w:t>By accepting this Option in the manner prescribed by the Company, you agree to all the terms and conditions described in this Agreement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014"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Lansing, certify that:</w:t>
      </w:r>
    </w:p>
    <w:p>
      <w:pPr>
        <w:spacing w:after="0" w:line="131"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Fair Isaac Corporation;</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right="420" w:hanging="328"/>
        <w:spacing w:after="0" w:line="263" w:lineRule="auto"/>
        <w:tabs>
          <w:tab w:leader="none" w:pos="651"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860" w:hanging="328"/>
        <w:spacing w:after="0" w:line="342" w:lineRule="auto"/>
        <w:tabs>
          <w:tab w:leader="none" w:pos="651" w:val="left"/>
        </w:tabs>
        <w:numPr>
          <w:ilvl w:val="1"/>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48"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340" w:hanging="328"/>
        <w:spacing w:after="0" w:line="308" w:lineRule="auto"/>
        <w:tabs>
          <w:tab w:leader="none" w:pos="651" w:val="left"/>
        </w:tabs>
        <w:numPr>
          <w:ilvl w:val="1"/>
          <w:numId w:val="9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320" w:hanging="328"/>
        <w:spacing w:after="0" w:line="277" w:lineRule="auto"/>
        <w:tabs>
          <w:tab w:leader="none" w:pos="648"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657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J. Lansing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I. McLaughlin, certify that:</w:t>
      </w:r>
    </w:p>
    <w:p>
      <w:pPr>
        <w:spacing w:after="0" w:line="252"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Fair Isaac Corporation;</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right="420" w:hanging="328"/>
        <w:spacing w:after="0" w:line="263" w:lineRule="auto"/>
        <w:tabs>
          <w:tab w:leader="none" w:pos="651"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860" w:hanging="328"/>
        <w:spacing w:after="0" w:line="342" w:lineRule="auto"/>
        <w:tabs>
          <w:tab w:leader="none" w:pos="651"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48"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340" w:hanging="328"/>
        <w:spacing w:after="0" w:line="308" w:lineRule="auto"/>
        <w:tabs>
          <w:tab w:leader="none" w:pos="651" w:val="left"/>
        </w:tabs>
        <w:numPr>
          <w:ilvl w:val="1"/>
          <w:numId w:val="9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320" w:hanging="328"/>
        <w:spacing w:after="0" w:line="277" w:lineRule="auto"/>
        <w:tabs>
          <w:tab w:leader="none" w:pos="648"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I.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657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I. McLaughlin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12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Date:   May 5, 2021</w:t>
            </w:r>
          </w:p>
        </w:tc>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J. LANSING</w:t>
            </w:r>
          </w:p>
        </w:tc>
      </w:tr>
      <w:tr>
        <w:trPr>
          <w:trHeight w:val="222"/>
        </w:trPr>
        <w:tc>
          <w:tcPr>
            <w:tcW w:w="502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William J. Lansing</w:t>
            </w:r>
          </w:p>
        </w:tc>
      </w:tr>
      <w:tr>
        <w:trPr>
          <w:trHeight w:val="230"/>
        </w:trPr>
        <w:tc>
          <w:tcPr>
            <w:tcW w:w="502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May 5, 2021</w:t>
            </w:r>
          </w:p>
        </w:tc>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I. MCLAUGHLIN</w:t>
            </w:r>
          </w:p>
        </w:tc>
      </w:tr>
      <w:tr>
        <w:trPr>
          <w:trHeight w:val="222"/>
        </w:trPr>
        <w:tc>
          <w:tcPr>
            <w:tcW w:w="496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Michael I. McLaughlin</w:t>
            </w:r>
          </w:p>
        </w:tc>
      </w:tr>
      <w:tr>
        <w:trPr>
          <w:trHeight w:val="230"/>
        </w:trPr>
        <w:tc>
          <w:tcPr>
            <w:tcW w:w="496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1)"/>
      <w:numFmt w:val="decimal"/>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1)"/>
      <w:numFmt w:val="decimal"/>
      <w:start w:val="1"/>
    </w:lvl>
  </w:abstractNum>
  <w:abstractNum w:abstractNumId="11">
    <w:nsid w:val="75C6C33A"/>
    <w:multiLevelType w:val="hybridMultilevel"/>
    <w:lvl w:ilvl="0">
      <w:lvlJc w:val="left"/>
      <w:lvlText w:val="(%1)"/>
      <w:numFmt w:val="lowerLetter"/>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1)"/>
      <w:numFmt w:val="decimal"/>
      <w:start w:val="1"/>
    </w:lvl>
  </w:abstractNum>
  <w:abstractNum w:abstractNumId="25">
    <w:nsid w:val="354FE9F9"/>
    <w:multiLevelType w:val="hybridMultilevel"/>
    <w:lvl w:ilvl="0">
      <w:lvlJc w:val="left"/>
      <w:lvlText w:val="%1."/>
      <w:numFmt w:val="decimal"/>
      <w:start w:val="1"/>
    </w:lvl>
    <w:lvl w:ilvl="1">
      <w:lvlJc w:val="left"/>
      <w:lvlText w:val="(%2)"/>
      <w:numFmt w:val="lowerLetter"/>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1."/>
      <w:numFmt w:val="decimal"/>
      <w:start w:val="5"/>
    </w:lvl>
  </w:abstractNum>
  <w:abstractNum w:abstractNumId="28">
    <w:nsid w:val="D34B6A8"/>
    <w:multiLevelType w:val="hybridMultilevel"/>
    <w:lvl w:ilvl="0">
      <w:lvlJc w:val="left"/>
      <w:lvlText w:val="%1."/>
      <w:numFmt w:val="decimal"/>
      <w:start w:val="13"/>
    </w:lvl>
  </w:abstractNum>
  <w:abstractNum w:abstractNumId="29">
    <w:nsid w:val="10233C99"/>
    <w:multiLevelType w:val="hybridMultilevel"/>
    <w:lvl w:ilvl="0">
      <w:lvlJc w:val="left"/>
      <w:lvlText w:val="%1"/>
      <w:numFmt w:val="decimal"/>
      <w:start w:val="14"/>
    </w:lvl>
  </w:abstractNum>
  <w:abstractNum w:abstractNumId="30">
    <w:nsid w:val="3F6AB60F"/>
    <w:multiLevelType w:val="hybridMultilevel"/>
    <w:lvl w:ilvl="0">
      <w:lvlJc w:val="left"/>
      <w:lvlText w:val="%1."/>
      <w:numFmt w:val="decimal"/>
      <w:start w:val="15"/>
    </w:lvl>
  </w:abstractNum>
  <w:abstractNum w:abstractNumId="31">
    <w:nsid w:val="61574095"/>
    <w:multiLevelType w:val="hybridMultilevel"/>
    <w:lvl w:ilvl="0">
      <w:lvlJc w:val="left"/>
      <w:lvlText w:val="%1"/>
      <w:numFmt w:val="decimal"/>
      <w:start w:val="19"/>
    </w:lvl>
  </w:abstractNum>
  <w:abstractNum w:abstractNumId="32">
    <w:nsid w:val="7E0C57B1"/>
    <w:multiLevelType w:val="hybridMultilevel"/>
    <w:lvl w:ilvl="0">
      <w:lvlJc w:val="left"/>
      <w:lvlText w:val="%1."/>
      <w:numFmt w:val="decimal"/>
      <w:start w:val="1"/>
    </w:lvl>
  </w:abstractNum>
  <w:abstractNum w:abstractNumId="33">
    <w:nsid w:val="77AE35EB"/>
    <w:multiLevelType w:val="hybridMultilevel"/>
    <w:lvl w:ilvl="0">
      <w:lvlJc w:val="left"/>
      <w:lvlText w:val="%1."/>
      <w:numFmt w:val="decimal"/>
      <w:start w:val="4"/>
    </w:lvl>
    <w:lvl w:ilvl="1">
      <w:lvlJc w:val="left"/>
      <w:lvlText w:val="(%2)"/>
      <w:numFmt w:val="lowerLetter"/>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2"/>
    </w:lvl>
    <w:lvl w:ilvl="3">
      <w:lvlJc w:val="left"/>
      <w:lvlText w:val="(%4)"/>
      <w:numFmt w:val="lowerLetter"/>
      <w:start w:val="3"/>
    </w:lvl>
    <w:lvl w:ilvl="4">
      <w:lvlJc w:val="left"/>
      <w:lvlText w:val="(%5)"/>
      <w:numFmt w:val="lowerLetter"/>
      <w:start w:val="4"/>
    </w:lvl>
  </w:abstractNum>
  <w:abstractNum w:abstractNumId="36">
    <w:nsid w:val="5FF87E05"/>
    <w:multiLevelType w:val="hybridMultilevel"/>
    <w:lvl w:ilvl="0">
      <w:lvlJc w:val="left"/>
      <w:lvlText w:val="%1."/>
      <w:numFmt w:val="decimal"/>
      <w:start w:val="8"/>
    </w:lvl>
  </w:abstractNum>
  <w:abstractNum w:abstractNumId="37">
    <w:nsid w:val="2F305DEF"/>
    <w:multiLevelType w:val="hybridMultilevel"/>
    <w:lvl w:ilvl="0">
      <w:lvlJc w:val="left"/>
      <w:lvlText w:val="%1."/>
      <w:numFmt w:val="decimal"/>
      <w:start w:val="11"/>
    </w:lvl>
  </w:abstractNum>
  <w:abstractNum w:abstractNumId="38">
    <w:nsid w:val="25A70BF7"/>
    <w:multiLevelType w:val="hybridMultilevel"/>
    <w:lvl w:ilvl="0">
      <w:lvlJc w:val="left"/>
      <w:lvlText w:val="%1"/>
      <w:numFmt w:val="decimal"/>
      <w:start w:val="1"/>
    </w:lvl>
    <w:lvl w:ilvl="1">
      <w:lvlJc w:val="left"/>
      <w:lvlText w:val="%2."/>
      <w:numFmt w:val="decimal"/>
      <w:start w:val="18"/>
    </w:lvl>
  </w:abstractNum>
  <w:abstractNum w:abstractNumId="39">
    <w:nsid w:val="1DBABF00"/>
    <w:multiLevelType w:val="hybridMultilevel"/>
    <w:lvl w:ilvl="0">
      <w:lvlJc w:val="left"/>
      <w:lvlText w:val="%1."/>
      <w:numFmt w:val="decimal"/>
      <w:start w:val="20"/>
    </w:lvl>
    <w:lvl w:ilvl="1">
      <w:lvlJc w:val="left"/>
      <w:lvlText w:val="%2"/>
      <w:numFmt w:val="decimal"/>
      <w:start w:val="1"/>
    </w:lvl>
  </w:abstractNum>
  <w:abstractNum w:abstractNumId="40">
    <w:nsid w:val="4AD084E9"/>
    <w:multiLevelType w:val="hybridMultilevel"/>
    <w:lvl w:ilvl="0">
      <w:lvlJc w:val="left"/>
      <w:lvlText w:val="%1."/>
      <w:numFmt w:val="decimal"/>
      <w:start w:val="1"/>
    </w:lvl>
    <w:lvl w:ilvl="1">
      <w:lvlJc w:val="left"/>
      <w:lvlText w:val="(%2)"/>
      <w:numFmt w:val="lowerLetter"/>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1"/>
      <w:numFmt w:val="decimal"/>
      <w:start w:val="1"/>
    </w:lvl>
    <w:lvl w:ilvl="1">
      <w:lvlJc w:val="left"/>
      <w:lvlText w:val="(%2)"/>
      <w:numFmt w:val="lowerLetter"/>
      <w:start w:val="3"/>
    </w:lvl>
  </w:abstractNum>
  <w:abstractNum w:abstractNumId="43">
    <w:nsid w:val="5DB70AE5"/>
    <w:multiLevelType w:val="hybridMultilevel"/>
    <w:lvl w:ilvl="0">
      <w:lvlJc w:val="left"/>
      <w:lvlText w:val="%1."/>
      <w:numFmt w:val="decimal"/>
      <w:start w:val="4"/>
    </w:lvl>
    <w:lvl w:ilvl="1">
      <w:lvlJc w:val="left"/>
      <w:lvlText w:val="%2"/>
      <w:numFmt w:val="lowerLetter"/>
      <w:start w:val="1"/>
    </w:lvl>
  </w:abstractNum>
  <w:abstractNum w:abstractNumId="44">
    <w:nsid w:val="100F8FC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5">
    <w:nsid w:val="6590700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46">
    <w:nsid w:val="15014ACB"/>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47">
    <w:nsid w:val="5F5E7FD0"/>
    <w:multiLevelType w:val="hybridMultilevel"/>
    <w:lvl w:ilvl="0">
      <w:lvlJc w:val="left"/>
      <w:lvlText w:val="%1."/>
      <w:numFmt w:val="decimal"/>
      <w:start w:val="8"/>
    </w:lvl>
  </w:abstractNum>
  <w:abstractNum w:abstractNumId="48">
    <w:nsid w:val="98A3148"/>
    <w:multiLevelType w:val="hybridMultilevel"/>
    <w:lvl w:ilvl="0">
      <w:lvlJc w:val="left"/>
      <w:lvlText w:val="%1."/>
      <w:numFmt w:val="decimal"/>
      <w:start w:val="9"/>
    </w:lvl>
  </w:abstractNum>
  <w:abstractNum w:abstractNumId="49">
    <w:nsid w:val="799D0247"/>
    <w:multiLevelType w:val="hybridMultilevel"/>
    <w:lvl w:ilvl="0">
      <w:lvlJc w:val="left"/>
      <w:lvlText w:val="%1."/>
      <w:numFmt w:val="decimal"/>
      <w:start w:val="16"/>
    </w:lvl>
  </w:abstractNum>
  <w:abstractNum w:abstractNumId="50">
    <w:nsid w:val="6B94764"/>
    <w:multiLevelType w:val="hybridMultilevel"/>
    <w:lvl w:ilvl="0">
      <w:lvlJc w:val="left"/>
      <w:lvlText w:val="%1."/>
      <w:numFmt w:val="decimal"/>
      <w:start w:val="1"/>
    </w:lvl>
  </w:abstractNum>
  <w:abstractNum w:abstractNumId="51">
    <w:nsid w:val="42C296BD"/>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52">
    <w:nsid w:val="168E121F"/>
    <w:multiLevelType w:val="hybridMultilevel"/>
    <w:lvl w:ilvl="0">
      <w:lvlJc w:val="left"/>
      <w:lvlText w:val="%1"/>
      <w:numFmt w:val="decimal"/>
      <w:start w:val="1"/>
    </w:lvl>
    <w:lvl w:ilvl="1">
      <w:lvlJc w:val="left"/>
      <w:lvlText w:val="(%2)"/>
      <w:numFmt w:val="lowerLetter"/>
      <w:start w:val="4"/>
    </w:lvl>
  </w:abstractNum>
  <w:abstractNum w:abstractNumId="53">
    <w:nsid w:val="1EBA5D23"/>
    <w:multiLevelType w:val="hybridMultilevel"/>
    <w:lvl w:ilvl="0">
      <w:lvlJc w:val="left"/>
      <w:lvlText w:val="%1."/>
      <w:numFmt w:val="decimal"/>
      <w:start w:val="5"/>
    </w:lvl>
    <w:lvl w:ilvl="1">
      <w:lvlJc w:val="left"/>
      <w:lvlText w:val="%2"/>
      <w:numFmt w:val="lowerLetter"/>
      <w:start w:val="1"/>
    </w:lvl>
  </w:abstractNum>
  <w:abstractNum w:abstractNumId="54">
    <w:nsid w:val="661E3F1E"/>
    <w:multiLevelType w:val="hybridMultilevel"/>
    <w:lvl w:ilvl="0">
      <w:lvlJc w:val="left"/>
      <w:lvlText w:val="%1."/>
      <w:numFmt w:val="decimal"/>
      <w:start w:val="7"/>
    </w:lvl>
  </w:abstractNum>
  <w:abstractNum w:abstractNumId="55">
    <w:nsid w:val="5DC79EA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9"/>
    </w:lvl>
  </w:abstractNum>
  <w:abstractNum w:abstractNumId="56">
    <w:nsid w:val="540A471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lvl w:ilvl="3">
      <w:lvlJc w:val="left"/>
      <w:lvlText w:val="%4"/>
      <w:numFmt w:val="decimal"/>
      <w:start w:val="1"/>
    </w:lvl>
  </w:abstractNum>
  <w:abstractNum w:abstractNumId="57">
    <w:nsid w:val="7BD3EE7B"/>
    <w:multiLevelType w:val="hybridMultilevel"/>
    <w:lvl w:ilvl="0">
      <w:lvlJc w:val="left"/>
      <w:lvlText w:val="(%1)"/>
      <w:numFmt w:val="lowerLetter"/>
      <w:start w:val="4"/>
    </w:lvl>
  </w:abstractNum>
  <w:abstractNum w:abstractNumId="58">
    <w:nsid w:val="51D9C564"/>
    <w:multiLevelType w:val="hybridMultilevel"/>
    <w:lvl w:ilvl="0">
      <w:lvlJc w:val="left"/>
      <w:lvlText w:val="%1."/>
      <w:numFmt w:val="decimal"/>
      <w:start w:val="10"/>
    </w:lvl>
  </w:abstractNum>
  <w:abstractNum w:abstractNumId="59">
    <w:nsid w:val="613EFDC5"/>
    <w:multiLevelType w:val="hybridMultilevel"/>
    <w:lvl w:ilvl="0">
      <w:lvlJc w:val="left"/>
      <w:lvlText w:val="(%1)"/>
      <w:numFmt w:val="lowerRoman"/>
      <w:start w:val="1"/>
    </w:lvl>
  </w:abstractNum>
  <w:abstractNum w:abstractNumId="60">
    <w:nsid w:val="BF72B14"/>
    <w:multiLevelType w:val="hybridMultilevel"/>
    <w:lvl w:ilvl="0">
      <w:lvlJc w:val="left"/>
      <w:lvlText w:val="%1."/>
      <w:numFmt w:val="decimal"/>
      <w:start w:val="11"/>
    </w:lvl>
  </w:abstractNum>
  <w:abstractNum w:abstractNumId="61">
    <w:nsid w:val="11447B73"/>
    <w:multiLevelType w:val="hybridMultilevel"/>
    <w:lvl w:ilvl="0">
      <w:lvlJc w:val="left"/>
      <w:lvlText w:val="%1."/>
      <w:numFmt w:val="decimal"/>
      <w:start w:val="14"/>
    </w:lvl>
  </w:abstractNum>
  <w:abstractNum w:abstractNumId="62">
    <w:nsid w:val="42963E5A"/>
    <w:multiLevelType w:val="hybridMultilevel"/>
    <w:lvl w:ilvl="0">
      <w:lvlJc w:val="left"/>
      <w:lvlText w:val="%1."/>
      <w:numFmt w:val="decimal"/>
      <w:start w:val="21"/>
    </w:lvl>
  </w:abstractNum>
  <w:abstractNum w:abstractNumId="63">
    <w:nsid w:val="A0382C5"/>
    <w:multiLevelType w:val="hybridMultilevel"/>
    <w:lvl w:ilvl="0">
      <w:lvlJc w:val="left"/>
      <w:lvlText w:val="%1."/>
      <w:numFmt w:val="decimal"/>
      <w:start w:val="1"/>
    </w:lvl>
    <w:lvl w:ilvl="1">
      <w:lvlJc w:val="left"/>
      <w:lvlText w:val="(%2)"/>
      <w:numFmt w:val="lowerLetter"/>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1."/>
      <w:numFmt w:val="decimal"/>
      <w:start w:val="6"/>
    </w:lvl>
  </w:abstractNum>
  <w:abstractNum w:abstractNumId="66">
    <w:nsid w:val="3B0FD379"/>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abstractNum>
  <w:abstractNum w:abstractNumId="67">
    <w:nsid w:val="68EB2F63"/>
    <w:multiLevelType w:val="hybridMultilevel"/>
    <w:lvl w:ilvl="0">
      <w:lvlJc w:val="left"/>
      <w:lvlText w:val="%1."/>
      <w:numFmt w:val="decimal"/>
      <w:start w:val="8"/>
    </w:lvl>
    <w:lvl w:ilvl="1">
      <w:lvlJc w:val="left"/>
      <w:lvlText w:val="(%2)"/>
      <w:numFmt w:val="lowerLetter"/>
      <w:start w:val="2"/>
    </w:lvl>
    <w:lvl w:ilvl="2">
      <w:lvlJc w:val="left"/>
      <w:lvlText w:val="(%3)"/>
      <w:numFmt w:val="lowerLetter"/>
      <w:start w:val="1"/>
    </w:lvl>
    <w:lvl w:ilvl="3">
      <w:lvlJc w:val="left"/>
      <w:lvlText w:val="(%4)"/>
      <w:numFmt w:val="lowerLetter"/>
      <w:start w:val="1"/>
    </w:lvl>
  </w:abstractNum>
  <w:abstractNum w:abstractNumId="68">
    <w:nsid w:val="496281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5"/>
    </w:lvl>
  </w:abstractNum>
  <w:abstractNum w:abstractNumId="69">
    <w:nsid w:val="60B6DF70"/>
    <w:multiLevelType w:val="hybridMultilevel"/>
    <w:lvl w:ilvl="0">
      <w:lvlJc w:val="left"/>
      <w:lvlText w:val="(%1)"/>
      <w:numFmt w:val="lowerLetter"/>
      <w:start w:val="6"/>
    </w:lvl>
    <w:lvl w:ilvl="1">
      <w:lvlJc w:val="left"/>
      <w:lvlText w:val="(%2)"/>
      <w:numFmt w:val="lowerLetter"/>
      <w:start w:val="7"/>
    </w:lvl>
  </w:abstractNum>
  <w:abstractNum w:abstractNumId="70">
    <w:nsid w:val="6A5EE64"/>
    <w:multiLevelType w:val="hybridMultilevel"/>
    <w:lvl w:ilvl="0">
      <w:lvlJc w:val="left"/>
      <w:lvlText w:val="%1"/>
      <w:numFmt w:val="lowerLetter"/>
      <w:start w:val="1"/>
    </w:lvl>
    <w:lvl w:ilvl="1">
      <w:lvlJc w:val="left"/>
      <w:lvlText w:val="(%2)"/>
      <w:numFmt w:val="lowerLetter"/>
      <w:start w:val="8"/>
    </w:lvl>
  </w:abstractNum>
  <w:abstractNum w:abstractNumId="71">
    <w:nsid w:val="14330624"/>
    <w:multiLevelType w:val="hybridMultilevel"/>
    <w:lvl w:ilvl="0">
      <w:lvlJc w:val="left"/>
      <w:lvlText w:val="(%1)"/>
      <w:numFmt w:val="lowerLetter"/>
      <w:start w:val="9"/>
    </w:lvl>
    <w:lvl w:ilvl="1">
      <w:lvlJc w:val="left"/>
      <w:lvlText w:val="%2"/>
      <w:numFmt w:val="lowerLetter"/>
      <w:start w:val="1"/>
    </w:lvl>
  </w:abstractNum>
  <w:abstractNum w:abstractNumId="72">
    <w:nsid w:val="7FFFCA11"/>
    <w:multiLevelType w:val="hybridMultilevel"/>
    <w:lvl w:ilvl="0">
      <w:lvlJc w:val="left"/>
      <w:lvlText w:val="%1"/>
      <w:numFmt w:val="decimal"/>
      <w:start w:val="1"/>
    </w:lvl>
    <w:lvl w:ilvl="1">
      <w:lvlJc w:val="left"/>
      <w:lvlText w:val="(%2)"/>
      <w:numFmt w:val="lowerLetter"/>
      <w:start w:val="11"/>
    </w:lvl>
    <w:lvl w:ilvl="2">
      <w:lvlJc w:val="left"/>
      <w:lvlText w:val="(%3)"/>
      <w:numFmt w:val="lowerLetter"/>
      <w:start w:val="13"/>
    </w:lvl>
  </w:abstractNum>
  <w:abstractNum w:abstractNumId="73">
    <w:nsid w:val="1A27709E"/>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74">
    <w:nsid w:val="71EA1109"/>
    <w:multiLevelType w:val="hybridMultilevel"/>
    <w:lvl w:ilvl="0">
      <w:lvlJc w:val="left"/>
      <w:lvlText w:val="%1."/>
      <w:numFmt w:val="decimal"/>
      <w:start w:val="13"/>
    </w:lvl>
  </w:abstractNum>
  <w:abstractNum w:abstractNumId="75">
    <w:nsid w:val="100F59DC"/>
    <w:multiLevelType w:val="hybridMultilevel"/>
    <w:lvl w:ilvl="0">
      <w:lvlJc w:val="left"/>
      <w:lvlText w:val="%1."/>
      <w:numFmt w:val="decimal"/>
      <w:start w:val="19"/>
    </w:lvl>
  </w:abstractNum>
  <w:abstractNum w:abstractNumId="76">
    <w:nsid w:val="7FB7E0AA"/>
    <w:multiLevelType w:val="hybridMultilevel"/>
    <w:lvl w:ilvl="0">
      <w:lvlJc w:val="left"/>
      <w:lvlText w:val="%1."/>
      <w:numFmt w:val="decimal"/>
      <w:start w:val="1"/>
    </w:lvl>
  </w:abstractNum>
  <w:abstractNum w:abstractNumId="77">
    <w:nsid w:val="6EB5BD4"/>
    <w:multiLevelType w:val="hybridMultilevel"/>
    <w:lvl w:ilvl="0">
      <w:lvlJc w:val="left"/>
      <w:lvlText w:val="%1."/>
      <w:numFmt w:val="decimal"/>
      <w:start w:val="4"/>
    </w:lvl>
    <w:lvl w:ilvl="1">
      <w:lvlJc w:val="left"/>
      <w:lvlText w:val="(%2)"/>
      <w:numFmt w:val="lowerLetter"/>
      <w:start w:val="1"/>
    </w:lvl>
  </w:abstractNum>
  <w:abstractNum w:abstractNumId="78">
    <w:nsid w:val="6F6DD9AC"/>
    <w:multiLevelType w:val="hybridMultilevel"/>
    <w:lvl w:ilvl="0">
      <w:lvlJc w:val="left"/>
      <w:lvlText w:val="*"/>
      <w:numFmt w:val="bullet"/>
      <w:start w:val="1"/>
    </w:lvl>
  </w:abstractNum>
  <w:abstractNum w:abstractNumId="79">
    <w:nsid w:val="94211F2"/>
    <w:multiLevelType w:val="hybridMultilevel"/>
    <w:lvl w:ilvl="0">
      <w:lvlJc w:val="left"/>
      <w:lvlText w:val="%1."/>
      <w:numFmt w:val="decimal"/>
      <w:start w:val="5"/>
    </w:lvl>
    <w:lvl w:ilvl="1">
      <w:lvlJc w:val="left"/>
      <w:lvlText w:val="(%2)"/>
      <w:numFmt w:val="lowerLetter"/>
      <w:start w:val="1"/>
    </w:lvl>
  </w:abstractNum>
  <w:abstractNum w:abstractNumId="80">
    <w:nsid w:val="885E1B"/>
    <w:multiLevelType w:val="hybridMultilevel"/>
    <w:lvl w:ilvl="0">
      <w:lvlJc w:val="left"/>
      <w:lvlText w:val="%1"/>
      <w:numFmt w:val="lowerLetter"/>
      <w:start w:val="1"/>
    </w:lvl>
    <w:lvl w:ilvl="1">
      <w:lvlJc w:val="left"/>
      <w:lvlText w:val="(%2)"/>
      <w:numFmt w:val="lowerLetter"/>
      <w:start w:val="2"/>
    </w:lvl>
  </w:abstractNum>
  <w:abstractNum w:abstractNumId="81">
    <w:nsid w:val="76272110"/>
    <w:multiLevelType w:val="hybridMultilevel"/>
    <w:lvl w:ilvl="0">
      <w:lvlJc w:val="left"/>
      <w:lvlText w:val="(%1)"/>
      <w:numFmt w:val="lowerLetter"/>
      <w:start w:val="3"/>
    </w:lvl>
    <w:lvl w:ilvl="1">
      <w:lvlJc w:val="left"/>
      <w:lvlText w:val="%2"/>
      <w:numFmt w:val="lowerLetter"/>
      <w:start w:val="1"/>
    </w:lvl>
  </w:abstractNum>
  <w:abstractNum w:abstractNumId="82">
    <w:nsid w:val="4C04A8AF"/>
    <w:multiLevelType w:val="hybridMultilevel"/>
    <w:lvl w:ilvl="0">
      <w:lvlJc w:val="left"/>
      <w:lvlText w:val="%1."/>
      <w:numFmt w:val="decimal"/>
      <w:start w:val="9"/>
    </w:lvl>
  </w:abstractNum>
  <w:abstractNum w:abstractNumId="83">
    <w:nsid w:val="1716703B"/>
    <w:multiLevelType w:val="hybridMultilevel"/>
    <w:lvl w:ilvl="0">
      <w:lvlJc w:val="left"/>
      <w:lvlText w:val="(%1)"/>
      <w:numFmt w:val="lowerRoman"/>
      <w:start w:val="1"/>
    </w:lvl>
  </w:abstractNum>
  <w:abstractNum w:abstractNumId="84">
    <w:nsid w:val="14E17E33"/>
    <w:multiLevelType w:val="hybridMultilevel"/>
    <w:lvl w:ilvl="0">
      <w:lvlJc w:val="left"/>
      <w:lvlText w:val="%1."/>
      <w:numFmt w:val="decimal"/>
      <w:start w:val="10"/>
    </w:lvl>
  </w:abstractNum>
  <w:abstractNum w:abstractNumId="85">
    <w:nsid w:val="3222E7CD"/>
    <w:multiLevelType w:val="hybridMultilevel"/>
    <w:lvl w:ilvl="0">
      <w:lvlJc w:val="left"/>
      <w:lvlText w:val="%1."/>
      <w:numFmt w:val="decimal"/>
      <w:start w:val="12"/>
    </w:lvl>
    <w:lvl w:ilvl="1">
      <w:lvlJc w:val="left"/>
      <w:lvlText w:val="(%2)"/>
      <w:numFmt w:val="lowerLetter"/>
      <w:start w:val="1"/>
    </w:lvl>
  </w:abstractNum>
  <w:abstractNum w:abstractNumId="86">
    <w:nsid w:val="74DE0EE3"/>
    <w:multiLevelType w:val="hybridMultilevel"/>
    <w:lvl w:ilvl="0">
      <w:lvlJc w:val="left"/>
      <w:lvlText w:val="%1"/>
      <w:numFmt w:val="decimal"/>
      <w:start w:val="1"/>
    </w:lvl>
    <w:lvl w:ilvl="1">
      <w:lvlJc w:val="left"/>
      <w:lvlText w:val="(%2)"/>
      <w:numFmt w:val="lowerLetter"/>
      <w:start w:val="11"/>
    </w:lvl>
  </w:abstractNum>
  <w:abstractNum w:abstractNumId="87">
    <w:nsid w:val="68EBC550"/>
    <w:multiLevelType w:val="hybridMultilevel"/>
    <w:lvl w:ilvl="0">
      <w:lvlJc w:val="left"/>
      <w:lvlText w:val="%1."/>
      <w:numFmt w:val="decimal"/>
      <w:start w:val="14"/>
    </w:lvl>
    <w:lvl w:ilvl="1">
      <w:lvlJc w:val="left"/>
      <w:lvlText w:val="%2"/>
      <w:numFmt w:val="lowerLetter"/>
      <w:start w:val="1"/>
    </w:lvl>
  </w:abstractNum>
  <w:abstractNum w:abstractNumId="88">
    <w:nsid w:val="2DF6D648"/>
    <w:multiLevelType w:val="hybridMultilevel"/>
    <w:lvl w:ilvl="0">
      <w:lvlJc w:val="left"/>
      <w:lvlText w:val="%1."/>
      <w:numFmt w:val="decimal"/>
      <w:start w:val="20"/>
    </w:lvl>
  </w:abstractNum>
  <w:abstractNum w:abstractNumId="89">
    <w:nsid w:val="46B7D447"/>
    <w:multiLevelType w:val="hybridMultilevel"/>
    <w:lvl w:ilvl="0">
      <w:lvlJc w:val="left"/>
      <w:lvlText w:val="%1."/>
      <w:numFmt w:val="decimal"/>
      <w:start w:val="26"/>
    </w:lvl>
  </w:abstractNum>
  <w:abstractNum w:abstractNumId="90">
    <w:nsid w:val="4A2AC315"/>
    <w:multiLevelType w:val="hybridMultilevel"/>
    <w:lvl w:ilvl="0">
      <w:lvlJc w:val="left"/>
      <w:lvlText w:val="%1."/>
      <w:numFmt w:val="decimal"/>
      <w:start w:val="1"/>
    </w:lvl>
    <w:lvl w:ilvl="1">
      <w:lvlJc w:val="left"/>
      <w:lvlText w:val="%2)"/>
      <w:numFmt w:val="lowerLetter"/>
      <w:start w:val="1"/>
    </w:lvl>
  </w:abstractNum>
  <w:abstractNum w:abstractNumId="91">
    <w:nsid w:val="39EE01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85" Type="http://schemas.openxmlformats.org/officeDocument/2006/relationships/hyperlink" Target="http://www.sec.gov/Archives/edgar/data/814547/000095012310009970/c56194exv3w2.htm" TargetMode="External"/><Relationship Id="rId86" Type="http://schemas.openxmlformats.org/officeDocument/2006/relationships/hyperlink" Target="http://www.sec.gov/Archives/edgar/data/814547/000095012310009970/c56194exv3w1.htm" TargetMode="External"/><Relationship Id="rId87" Type="http://schemas.openxmlformats.org/officeDocument/2006/relationships/hyperlink" Target="http://www.sec.gov/Archives/edgar/data/814547/000119312521067573/d14732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2021-05-05T16:04:30Z</dcterms:created>
  <dcterms:modified xsi:type="dcterms:W3CDTF">2021-05-05T16:04:30Z</dcterms:modified>
</cp:coreProperties>
</file>