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December 31, 2023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January 17, 2024 was 24,852,057 (excluding 64,004,726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0">
              <w:r>
                <w:rPr>
                  <w:rStyle w:val="InternetLink"/>
                  <w:rFonts w:ascii="Times New Roman;sans-serif" w:hAnsi="Times New Roman;sans-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79">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09">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09">
              <w:r>
                <w:rPr>
                  <w:rStyle w:val="InternetLink"/>
                  <w:rFonts w:ascii="Times New Roman;sans-serif" w:hAnsi="Times New Roman;sans-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12">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12">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15">
              <w:r>
                <w:rPr>
                  <w:rStyle w:val="InternetLink"/>
                  <w:rFonts w:ascii="Times New Roman;sans-serif" w:hAnsi="Times New Roman;sans-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18">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18">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21">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21">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24">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24">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27">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27">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30">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30">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33">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33">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36">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36">
              <w:r>
                <w:rPr>
                  <w:rStyle w:val="InternetLink"/>
                  <w:rFonts w:ascii="Times New Roman;sans-serif" w:hAnsi="Times New Roman;sans-serif"/>
                  <w:b w:val="false"/>
                  <w:color w:val="0000FF"/>
                  <w:sz w:val="20"/>
                  <w:u w:val="single"/>
                </w:rPr>
                <w:t>32</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bb7838ab0a442b79d115e510a43032f_139">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7838ab0a442b79d115e510a43032f_139">
              <w:r>
                <w:rPr>
                  <w:rStyle w:val="InternetLink"/>
                  <w:rFonts w:ascii="Times New Roman;sans-serif" w:hAnsi="Times New Roman;sans-serif"/>
                  <w:b w:val="false"/>
                  <w:color w:val="0000FF"/>
                  <w:sz w:val="20"/>
                  <w:u w:val="single"/>
                </w:rPr>
                <w:t>33</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8"/>
        <w:gridCol w:w="2202"/>
        <w:gridCol w:w="2153"/>
        <w:gridCol w:w="224"/>
        <w:gridCol w:w="1039"/>
        <w:gridCol w:w="116"/>
        <w:gridCol w:w="109"/>
        <w:gridCol w:w="109"/>
        <w:gridCol w:w="109"/>
        <w:gridCol w:w="227"/>
        <w:gridCol w:w="1050"/>
        <w:gridCol w:w="169"/>
      </w:tblGrid>
      <w:tr>
        <w:trPr/>
        <w:tc>
          <w:tcPr>
            <w:tcW w:w="2698"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7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31,723</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565,263 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556,448</w:t>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w:t>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1,593,518 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2,319,283 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2,263,271 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24,879 and 24,770 shares outstanding at December 31, 2023 and September 30, 2023, respectively)</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(63,978 and 64,087 shares at December 31, 2023 and September 30, 2023, respectively)</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(5,380,827)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(5,324,865)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3,509,124 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(725,765)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(687,990)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1,593,518 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7033" w:type="dxa"/>
        <w:jc w:val="center"/>
        <w:tblInd w:w="0" w:type="dxa"/>
        <w:tblLayout w:type="fixed"/>
        <w:tblCellMar>
          <w:top w:w="28" w:type="dxa"/>
          <w:left w:w="28" w:type="dxa"/>
          <w:bottom w:w="28" w:type="dxa"/>
          <w:right w:w="28" w:type="dxa"/>
        </w:tblCellMar>
      </w:tblPr>
      <w:tblGrid>
        <w:gridCol w:w="1364"/>
        <w:gridCol w:w="1193"/>
        <w:gridCol w:w="1207"/>
        <w:gridCol w:w="224"/>
        <w:gridCol w:w="880"/>
        <w:gridCol w:w="116"/>
        <w:gridCol w:w="116"/>
        <w:gridCol w:w="116"/>
        <w:gridCol w:w="116"/>
        <w:gridCol w:w="224"/>
        <w:gridCol w:w="880"/>
        <w:gridCol w:w="116"/>
        <w:gridCol w:w="109"/>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25,443 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79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1,239,131 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1,244,271 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(4,996,624)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(802,095)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2" w:type="dxa"/>
            <w:gridSpan w:val="15"/>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2" w:type="dxa"/>
            <w:gridSpan w:val="15"/>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0"/>
        <w:gridCol w:w="2367"/>
        <w:gridCol w:w="2382"/>
        <w:gridCol w:w="211"/>
        <w:gridCol w:w="826"/>
        <w:gridCol w:w="109"/>
        <w:gridCol w:w="109"/>
        <w:gridCol w:w="109"/>
        <w:gridCol w:w="109"/>
        <w:gridCol w:w="211"/>
        <w:gridCol w:w="826"/>
        <w:gridCol w:w="156"/>
      </w:tblGrid>
      <w:tr>
        <w:trPr/>
        <w:tc>
          <w:tcPr>
            <w:tcW w:w="279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transferred, net of proceeds, from product line asset 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$10 and $8 during the quarters ended December 31, 2023 and 2022,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leading applied analytics company. 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2023.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18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October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w:t>
      </w:r>
      <w:r>
        <w:rPr>
          <w:rFonts w:ascii="Times New Roman;sans-serif" w:hAnsi="Times New Roman;sans-serif"/>
          <w:b w:val="false"/>
          <w:color w:val="000000"/>
          <w:sz w:val="20"/>
        </w:rPr>
        <w:t xml:space="preserve">(“ASU 2021-08”). ASU 2021-08 requires an acquirer in a business combination to recognize and measure contract assets and contract liabilities from acquired contracts using the revenue recognition guidance under 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in order to align the recognition of a contract liability with the definition of a performance obligation. We adopted ASU 2021-08 in the first quarter of fiscal 2024 and the adoption did not have a significant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November 2023, the FASB issued ASU No. 2023-07, “</w:t>
      </w:r>
      <w:r>
        <w:rPr>
          <w:rFonts w:ascii="Times New Roman;sans-serif" w:hAnsi="Times New Roman;sans-serif"/>
          <w:b w:val="false"/>
          <w:i/>
          <w:color w:val="000000"/>
          <w:sz w:val="20"/>
        </w:rPr>
        <w:t>Segment Reporting (Topic 280): Improvements to Reportable Segment Disclosures</w:t>
      </w:r>
      <w:r>
        <w:rPr>
          <w:color w:val="000000"/>
        </w:rPr>
        <w:t>” </w:t>
      </w:r>
      <w:r>
        <w:rPr>
          <w:rFonts w:ascii="Times New Roman;sans-serif" w:hAnsi="Times New Roman;sans-serif"/>
          <w:b w:val="false"/>
          <w:color w:val="000000"/>
          <w:sz w:val="20"/>
        </w:rPr>
        <w:t>(“ASU 2023-07”). ASU 2023-07 expands annual and interim disclosure 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In December 2023, the FASB issued ASU No. 2023-09, “</w:t>
      </w:r>
      <w:r>
        <w:rPr>
          <w:rFonts w:ascii="Times New Roman;sans-serif" w:hAnsi="Times New Roman;sans-serif"/>
          <w:b w:val="false"/>
          <w:i/>
          <w:color w:val="000000"/>
          <w:sz w:val="20"/>
        </w:rPr>
        <w:t>Income Taxes (Topic 740): Improvements to Income Tax Disclosures</w:t>
      </w:r>
      <w:r>
        <w:rPr>
          <w:color w:val="000000"/>
        </w:rPr>
        <w:t>” </w:t>
      </w:r>
      <w:r>
        <w:rPr>
          <w:rFonts w:ascii="Times New Roman;sans-serif" w:hAnsi="Times New Roman;sans-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December 31, 2023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December 31, 2023 and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December 31, 2023 and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December 31, 2023 and September 30, 2023:</w:t>
      </w:r>
    </w:p>
    <w:tbl>
      <w:tblPr>
        <w:tblW w:w="6837" w:type="dxa"/>
        <w:jc w:val="left"/>
        <w:tblInd w:w="0" w:type="dxa"/>
        <w:tblLayout w:type="fixed"/>
        <w:tblCellMar>
          <w:top w:w="28" w:type="dxa"/>
          <w:left w:w="28" w:type="dxa"/>
          <w:bottom w:w="28" w:type="dxa"/>
          <w:right w:w="28" w:type="dxa"/>
        </w:tblCellMar>
      </w:tblPr>
      <w:tblGrid>
        <w:gridCol w:w="748"/>
        <w:gridCol w:w="660"/>
        <w:gridCol w:w="661"/>
        <w:gridCol w:w="331"/>
        <w:gridCol w:w="1133"/>
        <w:gridCol w:w="172"/>
        <w:gridCol w:w="109"/>
        <w:gridCol w:w="109"/>
        <w:gridCol w:w="109"/>
        <w:gridCol w:w="543"/>
        <w:gridCol w:w="1863"/>
        <w:gridCol w:w="399"/>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December 31,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77,208 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2023</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56,635 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December 31, 2023 and September 30, 2023. Not included in these tables are cash deposits of $120.2 million and $113.2 million at December 31, 2023 and September 30, 2023,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December 31, 2023 and September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December 31, 2023 and September 30, 2023:</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December 31, 2023 and September 30, 2023; therefore, their fair value was $0 on each of these dates.</w:t>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on derivative financial instruments were recorded in our condensed consolidated statements of income and comprehensive income as a component of other income, net, and consisted of the following: </w:t>
      </w:r>
    </w:p>
    <w:tbl>
      <w:tblPr>
        <w:tblW w:w="6370" w:type="dxa"/>
        <w:jc w:val="left"/>
        <w:tblInd w:w="0" w:type="dxa"/>
        <w:tblLayout w:type="fixed"/>
        <w:tblCellMar>
          <w:top w:w="28" w:type="dxa"/>
          <w:left w:w="28" w:type="dxa"/>
          <w:bottom w:w="28" w:type="dxa"/>
          <w:right w:w="28" w:type="dxa"/>
        </w:tblCellMar>
      </w:tblPr>
      <w:tblGrid>
        <w:gridCol w:w="1325"/>
        <w:gridCol w:w="1163"/>
        <w:gridCol w:w="1171"/>
        <w:gridCol w:w="230"/>
        <w:gridCol w:w="508"/>
        <w:gridCol w:w="118"/>
        <w:gridCol w:w="118"/>
        <w:gridCol w:w="118"/>
        <w:gridCol w:w="118"/>
        <w:gridCol w:w="230"/>
        <w:gridCol w:w="672"/>
        <w:gridCol w:w="118"/>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on foreign currency forward contracts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4. 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goodwill during the quarter ended December 31, 2023, both in total and as allocated to our segments. As of December 31, 2023,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and other accrued liabilities at December 31, 2023 and September 30, 2023:</w:t>
      </w:r>
    </w:p>
    <w:tbl>
      <w:tblPr>
        <w:tblW w:w="7137" w:type="dxa"/>
        <w:jc w:val="left"/>
        <w:tblInd w:w="0" w:type="dxa"/>
        <w:tblLayout w:type="fixed"/>
        <w:tblCellMar>
          <w:top w:w="28" w:type="dxa"/>
          <w:left w:w="28" w:type="dxa"/>
          <w:bottom w:w="28" w:type="dxa"/>
          <w:right w:w="28" w:type="dxa"/>
        </w:tblCellMar>
      </w:tblPr>
      <w:tblGrid>
        <w:gridCol w:w="1642"/>
        <w:gridCol w:w="1440"/>
        <w:gridCol w:w="1448"/>
        <w:gridCol w:w="222"/>
        <w:gridCol w:w="759"/>
        <w:gridCol w:w="114"/>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debt at carrying value at December 31, 2023 and September 30, 2023:</w:t>
      </w:r>
    </w:p>
    <w:tbl>
      <w:tblPr>
        <w:tblW w:w="7433" w:type="dxa"/>
        <w:jc w:val="left"/>
        <w:tblInd w:w="0" w:type="dxa"/>
        <w:tblLayout w:type="fixed"/>
        <w:tblCellMar>
          <w:top w:w="28" w:type="dxa"/>
          <w:left w:w="28" w:type="dxa"/>
          <w:bottom w:w="28" w:type="dxa"/>
          <w:right w:w="28" w:type="dxa"/>
        </w:tblCellMar>
      </w:tblPr>
      <w:tblGrid>
        <w:gridCol w:w="1619"/>
        <w:gridCol w:w="1421"/>
        <w:gridCol w:w="1429"/>
        <w:gridCol w:w="211"/>
        <w:gridCol w:w="976"/>
        <w:gridCol w:w="109"/>
        <w:gridCol w:w="109"/>
        <w:gridCol w:w="109"/>
        <w:gridCol w:w="109"/>
        <w:gridCol w:w="211"/>
        <w:gridCol w:w="97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on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2018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2019 Senior Notes and the 2021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Interest rates on amounts borrowed under the revolving line of credit and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$403.0 million in borrowings outstanding under the revolving line of credit at a weighted-average interest rate of 6.708%, and $270.0 million in outstanding balance of the term loan at an interest rate of 6.713%. We were in compliance with all financial covenants under this credit agreement as of December 31, 2023.</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December 31,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December 31, 2023 and September 30, 2023:</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7. Revenue from Contracts with Customers</w:t>
      </w:r>
    </w:p>
    <w:p>
      <w:pPr>
        <w:pStyle w:val="TextBody"/>
        <w:bidi w:val="0"/>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 2022</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deployment method:</w:t>
      </w:r>
    </w:p>
    <w:tbl>
      <w:tblPr>
        <w:tblW w:w="9057" w:type="dxa"/>
        <w:jc w:val="left"/>
        <w:tblInd w:w="0" w:type="dxa"/>
        <w:tblLayout w:type="fixed"/>
        <w:tblCellMar>
          <w:top w:w="28" w:type="dxa"/>
          <w:left w:w="28" w:type="dxa"/>
          <w:bottom w:w="28" w:type="dxa"/>
          <w:right w:w="28" w:type="dxa"/>
        </w:tblCellMar>
      </w:tblPr>
      <w:tblGrid>
        <w:gridCol w:w="1114"/>
        <w:gridCol w:w="977"/>
        <w:gridCol w:w="984"/>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product features:</w:t>
      </w:r>
    </w:p>
    <w:tbl>
      <w:tblPr>
        <w:tblW w:w="9056" w:type="dxa"/>
        <w:jc w:val="left"/>
        <w:tblInd w:w="0" w:type="dxa"/>
        <w:tblLayout w:type="fixed"/>
        <w:tblCellMar>
          <w:top w:w="28" w:type="dxa"/>
          <w:left w:w="28" w:type="dxa"/>
          <w:bottom w:w="28" w:type="dxa"/>
          <w:right w:w="28" w:type="dxa"/>
        </w:tblCellMar>
      </w:tblPr>
      <w:tblGrid>
        <w:gridCol w:w="1115"/>
        <w:gridCol w:w="979"/>
        <w:gridCol w:w="980"/>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timing of revenue recognition:</w:t>
      </w:r>
    </w:p>
    <w:tbl>
      <w:tblPr>
        <w:tblW w:w="9491" w:type="dxa"/>
        <w:jc w:val="left"/>
        <w:tblInd w:w="0" w:type="dxa"/>
        <w:tblLayout w:type="fixed"/>
        <w:tblCellMar>
          <w:top w:w="28" w:type="dxa"/>
          <w:left w:w="28" w:type="dxa"/>
          <w:bottom w:w="28" w:type="dxa"/>
          <w:right w:w="28" w:type="dxa"/>
        </w:tblCellMar>
      </w:tblPr>
      <w:tblGrid>
        <w:gridCol w:w="1272"/>
        <w:gridCol w:w="1117"/>
        <w:gridCol w:w="1120"/>
        <w:gridCol w:w="211"/>
        <w:gridCol w:w="826"/>
        <w:gridCol w:w="109"/>
        <w:gridCol w:w="109"/>
        <w:gridCol w:w="109"/>
        <w:gridCol w:w="109"/>
        <w:gridCol w:w="211"/>
        <w:gridCol w:w="826"/>
        <w:gridCol w:w="109"/>
        <w:gridCol w:w="109"/>
        <w:gridCol w:w="109"/>
        <w:gridCol w:w="109"/>
        <w:gridCol w:w="267"/>
        <w:gridCol w:w="199"/>
        <w:gridCol w:w="370"/>
        <w:gridCol w:w="149"/>
        <w:gridCol w:w="149"/>
        <w:gridCol w:w="149"/>
        <w:gridCol w:w="267"/>
        <w:gridCol w:w="199"/>
        <w:gridCol w:w="370"/>
        <w:gridCol w:w="109"/>
        <w:gridCol w:w="109"/>
        <w:gridCol w:w="109"/>
        <w:gridCol w:w="109"/>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8456" w:type="dxa"/>
        <w:jc w:val="left"/>
        <w:tblInd w:w="0" w:type="dxa"/>
        <w:tblLayout w:type="fixed"/>
        <w:tblCellMar>
          <w:top w:w="28" w:type="dxa"/>
          <w:left w:w="28" w:type="dxa"/>
          <w:bottom w:w="28" w:type="dxa"/>
          <w:right w:w="28" w:type="dxa"/>
        </w:tblCellMar>
      </w:tblPr>
      <w:tblGrid>
        <w:gridCol w:w="896"/>
        <w:gridCol w:w="787"/>
        <w:gridCol w:w="791"/>
        <w:gridCol w:w="211"/>
        <w:gridCol w:w="826"/>
        <w:gridCol w:w="109"/>
        <w:gridCol w:w="109"/>
        <w:gridCol w:w="109"/>
        <w:gridCol w:w="109"/>
        <w:gridCol w:w="211"/>
        <w:gridCol w:w="826"/>
        <w:gridCol w:w="109"/>
        <w:gridCol w:w="109"/>
        <w:gridCol w:w="109"/>
        <w:gridCol w:w="109"/>
        <w:gridCol w:w="232"/>
        <w:gridCol w:w="234"/>
        <w:gridCol w:w="370"/>
        <w:gridCol w:w="149"/>
        <w:gridCol w:w="149"/>
        <w:gridCol w:w="149"/>
        <w:gridCol w:w="232"/>
        <w:gridCol w:w="234"/>
        <w:gridCol w:w="370"/>
        <w:gridCol w:w="109"/>
        <w:gridCol w:w="109"/>
        <w:gridCol w:w="109"/>
        <w:gridCol w:w="109"/>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39% and 36% of our total revenues in the quarters ended December 31, 2023 and 2022, respectively, with three and two consumer reporting agencies each contributing more than 10% of our total revenues in the quarters ended December 31, 2023 and 2022, respectively. At December 31, 2023 and September 30, 2023, one individual customer accounted for 10% or more of total consolidated receivables.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TextBody"/>
        <w:bidi w:val="0"/>
        <w:spacing w:lineRule="auto" w:line="288" w:before="180" w:after="200"/>
        <w:ind w:left="0" w:right="0" w:firstLine="450"/>
        <w:jc w:val="both"/>
        <w:rPr/>
      </w:pPr>
      <w:r>
        <w:rPr>
          <w:rFonts w:ascii="Times New Roman;sans-serif" w:hAnsi="Times New Roman;sans-serif"/>
          <w:b w:val="false"/>
          <w:color w:val="000000"/>
          <w:sz w:val="20"/>
        </w:rPr>
        <w:t>Receivables at December 31, 2023 and September 30, 2023 consisted of the following:</w:t>
      </w:r>
      <w:r>
        <w:rPr>
          <w:color w:val="000000"/>
        </w:rPr>
        <w:t> </w:t>
      </w:r>
    </w:p>
    <w:tbl>
      <w:tblPr>
        <w:tblW w:w="6609" w:type="dxa"/>
        <w:jc w:val="left"/>
        <w:tblInd w:w="0" w:type="dxa"/>
        <w:tblLayout w:type="fixed"/>
        <w:tblCellMar>
          <w:top w:w="28" w:type="dxa"/>
          <w:left w:w="28" w:type="dxa"/>
          <w:bottom w:w="28" w:type="dxa"/>
          <w:right w:w="28" w:type="dxa"/>
        </w:tblCellMar>
      </w:tblPr>
      <w:tblGrid>
        <w:gridCol w:w="1151"/>
        <w:gridCol w:w="1014"/>
        <w:gridCol w:w="1029"/>
        <w:gridCol w:w="276"/>
        <w:gridCol w:w="1081"/>
        <w:gridCol w:w="142"/>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234,745 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415,377 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433,663 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367,478 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387,947 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20"/>
        <w:gridCol w:w="2653"/>
        <w:gridCol w:w="2662"/>
        <w:gridCol w:w="109"/>
        <w:gridCol w:w="109"/>
        <w:gridCol w:w="109"/>
        <w:gridCol w:w="272"/>
        <w:gridCol w:w="1070"/>
        <w:gridCol w:w="201"/>
      </w:tblGrid>
      <w:tr>
        <w:trPr/>
        <w:tc>
          <w:tcPr>
            <w:tcW w:w="302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December 31, 2023</w:t>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December 31, 2023 included current portion of $146.8 million and long-term portion of $6.6 million that were recorded in deferred revenue and other liabilities, respectively, within the condensed consolidated balance sheets. Deferred revenues at September 30, 2023 included current portion of $136.7 million and long-term portion of $6.5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$470.8 million as of December 31, 2023, approximately 50% of which we expect to recognize over the next 16 months and the remainder thereafter. Revenue allocated to remaining performance obligations was $470.5 million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7.3% and 17.2% during the quarters ended December 31,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provision enacted as part of the 2022 Inflation Reduction Act imposes a 15% corporate minimum tax. The provision is effective for tax years beginning after December 31, 2022, which means that it was effective for our fiscal year beginning October 1, 2023. We do not expect any impact to our fiscal 2024 effective tax rate from the corporate minimum tax provision.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$14.8 million and $13.8 million at December 31, 2023 and September 30, 2023, respectively. We recognize interest expense related to unrecognized tax benefits and penalties as part of the provision for income taxes in our condensed consolidated statements of income and comprehensive income. We accrued interest of $1.2 million and $0.9 million related to unrecognized tax benefits as of December 31, 2023 and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9. Share-Based Employee Benefit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2021 Long-Term Incentive Plan (the “2021 Plan”) under which we grant equity awards, including stock options, stock appreciation rights, restricted stock awards, stock unit awards and other share-based awards. All employees, consultants and advisors of FICO or any subsidiary, as well as all non-employee directors, are eligible to receive awards under the 2021 Plan. Stock option awards have a maximum term of ten years. In general, stock option awards and stock unit awards not subject to market or performance conditions vest annually over four years. Stock unit awards subject to market or performance conditions generally vest annually over three years based on the achievement of specified criteria.</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the 2019 Employee Stock Purchase Plan (the “2019 Purchase Plan”) under which we are authorized to issue up to 1,000,000 shares of our common stock to eligible employees. Eligible employees may elect to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the approximately six-month periods commencing (a) on the first trading day on or after September 1 and terminating on the last trading day in the following February, and (b) on the first trading day on or after March 1 and terminating on the last trading day in the following August. No shares were purchased under the 2019 Purchase Plan during the quarter ended December 31, 2023.</w:t>
      </w:r>
    </w:p>
    <w:p>
      <w:pPr>
        <w:pStyle w:val="TextBody"/>
        <w:bidi w:val="0"/>
        <w:spacing w:lineRule="auto" w:line="288" w:before="240" w:after="283"/>
        <w:ind w:left="0" w:right="0" w:firstLine="270"/>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 during the quarter ended December 31, 2023:</w:t>
      </w:r>
    </w:p>
    <w:tbl>
      <w:tblPr>
        <w:tblW w:w="7721"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616"/>
        <w:gridCol w:w="2110"/>
        <w:gridCol w:w="453"/>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September 30, 2023</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color w:val="000000"/>
          <w:sz w:val="20"/>
        </w:rPr>
      </w:pPr>
      <w:r>
        <w:rPr>
          <w:rFonts w:ascii="Times New Roman;sans-serif" w:hAnsi="Times New Roman;sans-serif"/>
          <w:b/>
          <w:color w:val="000000"/>
          <w:sz w:val="20"/>
        </w:rPr>
        <w:t>Performance Share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activity during the quarter ended December 31, 2023:</w:t>
      </w:r>
    </w:p>
    <w:tbl>
      <w:tblPr>
        <w:tblW w:w="7721"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616"/>
        <w:gridCol w:w="2110"/>
        <w:gridCol w:w="453"/>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September 30, 2023</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1,134.39 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Market Share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market share unit activity during the quarter ended December 31, 2023:</w:t>
      </w:r>
    </w:p>
    <w:tbl>
      <w:tblPr>
        <w:tblW w:w="7722" w:type="dxa"/>
        <w:jc w:val="left"/>
        <w:tblInd w:w="0" w:type="dxa"/>
        <w:tblLayout w:type="fixed"/>
        <w:tblCellMar>
          <w:top w:w="28" w:type="dxa"/>
          <w:left w:w="28" w:type="dxa"/>
          <w:bottom w:w="28" w:type="dxa"/>
          <w:right w:w="28" w:type="dxa"/>
        </w:tblCellMar>
      </w:tblPr>
      <w:tblGrid>
        <w:gridCol w:w="1113"/>
        <w:gridCol w:w="980"/>
        <w:gridCol w:w="982"/>
        <w:gridCol w:w="378"/>
        <w:gridCol w:w="378"/>
        <w:gridCol w:w="384"/>
        <w:gridCol w:w="109"/>
        <w:gridCol w:w="109"/>
        <w:gridCol w:w="109"/>
        <w:gridCol w:w="541"/>
        <w:gridCol w:w="2241"/>
        <w:gridCol w:w="398"/>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September 30, 2023</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844.24 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Released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845.67 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1,161.62 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7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 during the quarter ended December 31, 2023:</w:t>
      </w:r>
    </w:p>
    <w:tbl>
      <w:tblPr>
        <w:tblW w:w="10205" w:type="dxa"/>
        <w:jc w:val="left"/>
        <w:tblInd w:w="0" w:type="dxa"/>
        <w:tblLayout w:type="fixed"/>
        <w:tblCellMar>
          <w:top w:w="28" w:type="dxa"/>
          <w:left w:w="28" w:type="dxa"/>
          <w:bottom w:w="28" w:type="dxa"/>
          <w:right w:w="28" w:type="dxa"/>
        </w:tblCellMar>
      </w:tblPr>
      <w:tblGrid>
        <w:gridCol w:w="911"/>
        <w:gridCol w:w="794"/>
        <w:gridCol w:w="796"/>
        <w:gridCol w:w="317"/>
        <w:gridCol w:w="317"/>
        <w:gridCol w:w="321"/>
        <w:gridCol w:w="109"/>
        <w:gridCol w:w="109"/>
        <w:gridCol w:w="109"/>
        <w:gridCol w:w="381"/>
        <w:gridCol w:w="1303"/>
        <w:gridCol w:w="196"/>
        <w:gridCol w:w="109"/>
        <w:gridCol w:w="109"/>
        <w:gridCol w:w="109"/>
        <w:gridCol w:w="781"/>
        <w:gridCol w:w="781"/>
        <w:gridCol w:w="783"/>
        <w:gridCol w:w="109"/>
        <w:gridCol w:w="109"/>
        <w:gridCol w:w="109"/>
        <w:gridCol w:w="271"/>
        <w:gridCol w:w="1065"/>
        <w:gridCol w:w="207"/>
      </w:tblGrid>
      <w:tr>
        <w:trPr/>
        <w:tc>
          <w:tcPr>
            <w:tcW w:w="9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September 30, 2023</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Exercised</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Exercisable at December 31, 2023</w:t>
            </w:r>
          </w:p>
        </w:tc>
        <w:tc>
          <w:tcPr>
            <w:tcW w:w="63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117,720 </w:t>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Vested or expected to vest at December 31, 2023</w:t>
            </w:r>
          </w:p>
        </w:tc>
        <w:tc>
          <w:tcPr>
            <w:tcW w:w="6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143,106 </w:t>
            </w:r>
          </w:p>
        </w:tc>
        <w:tc>
          <w:tcPr>
            <w:tcW w:w="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ended December 31, 2023 and 2022:</w:t>
      </w:r>
      <w:r>
        <w:rPr>
          <w:color w:val="000000"/>
        </w:rPr>
        <w:t> </w:t>
      </w:r>
    </w:p>
    <w:tbl>
      <w:tblPr>
        <w:tblW w:w="7512" w:type="dxa"/>
        <w:jc w:val="left"/>
        <w:tblInd w:w="0" w:type="dxa"/>
        <w:tblLayout w:type="fixed"/>
        <w:tblCellMar>
          <w:top w:w="28" w:type="dxa"/>
          <w:left w:w="28" w:type="dxa"/>
          <w:bottom w:w="28" w:type="dxa"/>
          <w:right w:w="28" w:type="dxa"/>
        </w:tblCellMar>
      </w:tblPr>
      <w:tblGrid>
        <w:gridCol w:w="1535"/>
        <w:gridCol w:w="1352"/>
        <w:gridCol w:w="1357"/>
        <w:gridCol w:w="234"/>
        <w:gridCol w:w="916"/>
        <w:gridCol w:w="120"/>
        <w:gridCol w:w="120"/>
        <w:gridCol w:w="120"/>
        <w:gridCol w:w="120"/>
        <w:gridCol w:w="234"/>
        <w:gridCol w:w="800"/>
        <w:gridCol w:w="123"/>
        <w:gridCol w:w="109"/>
        <w:gridCol w:w="109"/>
        <w:gridCol w:w="109"/>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11. Segment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amounts are allocated to the segments from their internal cost centers as described above.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ended December 31, 2023 and 2022:</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 2023</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 2022</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our Board of Directors approved a new stock repurchase program, which replaced the previous stock repurchase program. The new program is open-ended and authorizes repurchases of shares of our common stock from time to time, up to an aggregate cost of $500.0 million in the open market or in negotiated transactions. The new stock repurchase program became effective on January 23, 2024, and will remain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2023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center"/>
        <w:rPr/>
      </w:pPr>
      <w:r>
        <w:rPr/>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100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ended December 31, 2023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was $382.1 million during the quarter ended December 31, 2023, an 11% increase from the quarter ended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revenue for our Scores segment was $192.1 million during the quarter ended December 31, 2023, an 8% increase from the quarter ended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December 31, 2023 was $687.7 million, an 18% increase from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114% during the quarter ended December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$151.4 million during the quarter ended December 31, 2023, an 8% increase from the quarter ended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$121.1 million during the quarter ended December 31, 2023, a 24% increase from the quarter ended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Diluted EPS was $4.80 during the quarter ended December 31, 2023, a 25% increase from the quarter ended December 31, 2022.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$122.1 million during the quarter ended December 31, 2023, compared with $92.4 million during the quarter ended December 31, 2022.</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$160.4 million as of December 31, 2023, compared with $136.8 million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$2.0 billion as of December 31, 2023, compared with $1.9 billion as of September 30,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December 31, 2023 were $71.7 million, compared with $75.0 million during the quarter ended December 31, 2022.</w:t>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bidi w:val="0"/>
        <w:spacing w:lineRule="auto" w:line="288" w:before="12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they are not comparable to, nor are they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more meaningful measure of our business as it includes estimated revenues and future billings excluded from Note 7, such as usage-based fees and guaranteed minimums derived from our on-premises software licenses, among others.</w:t>
      </w:r>
    </w:p>
    <w:p>
      <w:pPr>
        <w:pStyle w:val="TextBody"/>
        <w:bidi w:val="0"/>
        <w:spacing w:lineRule="auto" w:line="288" w:before="18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5788" w:type="dxa"/>
        <w:jc w:val="left"/>
        <w:tblInd w:w="0" w:type="dxa"/>
        <w:tblLayout w:type="fixed"/>
        <w:tblCellMar>
          <w:top w:w="28" w:type="dxa"/>
          <w:left w:w="28" w:type="dxa"/>
          <w:bottom w:w="28" w:type="dxa"/>
          <w:right w:w="28" w:type="dxa"/>
        </w:tblCellMar>
      </w:tblPr>
      <w:tblGrid>
        <w:gridCol w:w="1114"/>
        <w:gridCol w:w="979"/>
        <w:gridCol w:w="982"/>
        <w:gridCol w:w="237"/>
        <w:gridCol w:w="574"/>
        <w:gridCol w:w="122"/>
        <w:gridCol w:w="122"/>
        <w:gridCol w:w="122"/>
        <w:gridCol w:w="122"/>
        <w:gridCol w:w="237"/>
        <w:gridCol w:w="574"/>
        <w:gridCol w:w="122"/>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2022 </w:t>
            </w:r>
            <w:r>
              <w:rPr>
                <w:rFonts w:ascii="Times New Roman;sans-serif" w:hAnsi="Times New Roman;sans-serif"/>
                <w:b/>
                <w:color w:val="000000"/>
                <w:sz w:val="10"/>
              </w:rPr>
              <w:t>(</w:t>
            </w:r>
            <w:r>
              <w:rPr>
                <w:rFonts w:ascii="Times New Roman;sans-serif" w:hAnsi="Times New Roman;sans-serif"/>
                <w:b/>
                <w:color w:val="000000"/>
                <w:sz w:val="16"/>
              </w:rPr>
              <w:t>*</w:t>
            </w:r>
            <w:r>
              <w:rPr>
                <w:rFonts w:ascii="Times New Roman;sans-serif" w:hAnsi="Times New Roman;sans-serif"/>
                <w:b/>
                <w:color w:val="000000"/>
                <w:sz w:val="1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and the amount above excludes this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396"/>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20" w:after="283"/>
        <w:ind w:left="0" w:right="0" w:firstLine="495"/>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at each of the dates presented:</w:t>
      </w:r>
    </w:p>
    <w:tbl>
      <w:tblPr>
        <w:tblW w:w="10454" w:type="dxa"/>
        <w:jc w:val="left"/>
        <w:tblInd w:w="0" w:type="dxa"/>
        <w:tblLayout w:type="fixed"/>
        <w:tblCellMar>
          <w:top w:w="28" w:type="dxa"/>
          <w:left w:w="28" w:type="dxa"/>
          <w:bottom w:w="28" w:type="dxa"/>
          <w:right w:w="28" w:type="dxa"/>
        </w:tblCellMar>
      </w:tblPr>
      <w:tblGrid>
        <w:gridCol w:w="460"/>
        <w:gridCol w:w="404"/>
        <w:gridCol w:w="412"/>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234"/>
        <w:gridCol w:w="232"/>
        <w:gridCol w:w="339"/>
        <w:gridCol w:w="109"/>
        <w:gridCol w:w="109"/>
        <w:gridCol w:w="109"/>
        <w:gridCol w:w="262"/>
        <w:gridCol w:w="204"/>
        <w:gridCol w:w="408"/>
        <w:gridCol w:w="109"/>
        <w:gridCol w:w="109"/>
        <w:gridCol w:w="109"/>
        <w:gridCol w:w="310"/>
        <w:gridCol w:w="170"/>
        <w:gridCol w:w="401"/>
        <w:gridCol w:w="109"/>
        <w:gridCol w:w="109"/>
        <w:gridCol w:w="109"/>
        <w:gridCol w:w="288"/>
        <w:gridCol w:w="182"/>
        <w:gridCol w:w="434"/>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ARR </w:t>
            </w:r>
            <w:r>
              <w:rPr>
                <w:rFonts w:ascii="Times New Roman;sans-serif" w:hAnsi="Times New Roman;sans-serif"/>
                <w:b/>
                <w:color w:val="000000"/>
                <w:sz w:val="13"/>
              </w:rPr>
              <w:t>(*)</w:t>
            </w:r>
          </w:p>
        </w:tc>
        <w:tc>
          <w:tcPr>
            <w:tcW w:w="9178"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amounts and percentages above exclude this product line at all dates presented.</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for each of the periods presented:</w:t>
      </w:r>
    </w:p>
    <w:tbl>
      <w:tblPr>
        <w:tblW w:w="10428" w:type="dxa"/>
        <w:jc w:val="left"/>
        <w:tblInd w:w="0" w:type="dxa"/>
        <w:tblLayout w:type="fixed"/>
        <w:tblCellMar>
          <w:top w:w="28" w:type="dxa"/>
          <w:left w:w="28" w:type="dxa"/>
          <w:bottom w:w="28" w:type="dxa"/>
          <w:right w:w="28" w:type="dxa"/>
        </w:tblCellMar>
      </w:tblPr>
      <w:tblGrid>
        <w:gridCol w:w="522"/>
        <w:gridCol w:w="385"/>
        <w:gridCol w:w="369"/>
        <w:gridCol w:w="279"/>
        <w:gridCol w:w="187"/>
        <w:gridCol w:w="326"/>
        <w:gridCol w:w="109"/>
        <w:gridCol w:w="109"/>
        <w:gridCol w:w="109"/>
        <w:gridCol w:w="233"/>
        <w:gridCol w:w="233"/>
        <w:gridCol w:w="271"/>
        <w:gridCol w:w="109"/>
        <w:gridCol w:w="109"/>
        <w:gridCol w:w="109"/>
        <w:gridCol w:w="272"/>
        <w:gridCol w:w="194"/>
        <w:gridCol w:w="483"/>
        <w:gridCol w:w="109"/>
        <w:gridCol w:w="109"/>
        <w:gridCol w:w="109"/>
        <w:gridCol w:w="282"/>
        <w:gridCol w:w="184"/>
        <w:gridCol w:w="458"/>
        <w:gridCol w:w="109"/>
        <w:gridCol w:w="109"/>
        <w:gridCol w:w="109"/>
        <w:gridCol w:w="279"/>
        <w:gridCol w:w="187"/>
        <w:gridCol w:w="326"/>
        <w:gridCol w:w="109"/>
        <w:gridCol w:w="109"/>
        <w:gridCol w:w="109"/>
        <w:gridCol w:w="233"/>
        <w:gridCol w:w="233"/>
        <w:gridCol w:w="271"/>
        <w:gridCol w:w="109"/>
        <w:gridCol w:w="109"/>
        <w:gridCol w:w="109"/>
        <w:gridCol w:w="272"/>
        <w:gridCol w:w="194"/>
        <w:gridCol w:w="483"/>
        <w:gridCol w:w="109"/>
        <w:gridCol w:w="109"/>
        <w:gridCol w:w="109"/>
        <w:gridCol w:w="241"/>
        <w:gridCol w:w="225"/>
        <w:gridCol w:w="517"/>
      </w:tblGrid>
      <w:tr>
        <w:trPr/>
        <w:tc>
          <w:tcPr>
            <w:tcW w:w="5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i/>
                <w:color w:val="000000"/>
                <w:sz w:val="20"/>
              </w:rPr>
              <w:t xml:space="preserve">DBNRR </w:t>
            </w:r>
            <w:r>
              <w:rPr>
                <w:rFonts w:ascii="Times New Roman;sans-serif" w:hAnsi="Times New Roman;sans-serif"/>
                <w:b/>
                <w:color w:val="000000"/>
                <w:sz w:val="13"/>
              </w:rPr>
              <w:t>(*)</w:t>
            </w:r>
          </w:p>
        </w:tc>
        <w:tc>
          <w:tcPr>
            <w:tcW w:w="656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During the quarter ended December 31, 2022, we sold certain assets related to our Siron compliance business. The percentages above exclude this product line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7 and Note 11 to the accompanying condensed consolidated financial statements.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ended December 31, 2023 and 2022:</w:t>
      </w:r>
    </w:p>
    <w:tbl>
      <w:tblPr>
        <w:tblW w:w="10075" w:type="dxa"/>
        <w:jc w:val="left"/>
        <w:tblInd w:w="0" w:type="dxa"/>
        <w:tblLayout w:type="fixed"/>
        <w:tblCellMar>
          <w:top w:w="28" w:type="dxa"/>
          <w:left w:w="28" w:type="dxa"/>
          <w:bottom w:w="28" w:type="dxa"/>
          <w:right w:w="28" w:type="dxa"/>
        </w:tblCellMar>
      </w:tblPr>
      <w:tblGrid>
        <w:gridCol w:w="298"/>
        <w:gridCol w:w="262"/>
        <w:gridCol w:w="266"/>
        <w:gridCol w:w="211"/>
        <w:gridCol w:w="826"/>
        <w:gridCol w:w="109"/>
        <w:gridCol w:w="109"/>
        <w:gridCol w:w="109"/>
        <w:gridCol w:w="109"/>
        <w:gridCol w:w="211"/>
        <w:gridCol w:w="826"/>
        <w:gridCol w:w="109"/>
        <w:gridCol w:w="109"/>
        <w:gridCol w:w="109"/>
        <w:gridCol w:w="109"/>
        <w:gridCol w:w="232"/>
        <w:gridCol w:w="234"/>
        <w:gridCol w:w="380"/>
        <w:gridCol w:w="152"/>
        <w:gridCol w:w="152"/>
        <w:gridCol w:w="152"/>
        <w:gridCol w:w="232"/>
        <w:gridCol w:w="234"/>
        <w:gridCol w:w="387"/>
        <w:gridCol w:w="109"/>
        <w:gridCol w:w="109"/>
        <w:gridCol w:w="109"/>
        <w:gridCol w:w="391"/>
        <w:gridCol w:w="1340"/>
        <w:gridCol w:w="204"/>
        <w:gridCol w:w="109"/>
        <w:gridCol w:w="109"/>
        <w:gridCol w:w="109"/>
        <w:gridCol w:w="317"/>
        <w:gridCol w:w="317"/>
        <w:gridCol w:w="92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148" w:type="dxa"/>
            <w:gridSpan w:val="12"/>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4148" w:type="dxa"/>
            <w:gridSpan w:val="12"/>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1886" w:type="dxa"/>
            <w:gridSpan w:val="6"/>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1886" w:type="dxa"/>
            <w:gridSpan w:val="6"/>
            <w:tcBorders/>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$14.1 million due to an increase of $15.5 million in our business-to-business scores revenue, partially offset by a decrease of $1.4 million in our business-to-consumer revenue. The increase in business-to-business scores revenue was primarily attributable to a higher unit price. The decrease in business-to-consumer revenue was primarily attributable to a decrease in direct sales generated from the myFICO.com website.</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$23.1 million due to a $24.1 million increase in our on-premises and SaaS software revenue, partially offset by a $1.0 million decrease in services revenue. The increase in our on-premises and SaaS software revenue was primarily attributable to an increase in over-time recognition largely driven by SaaS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bidi w:val="0"/>
        <w:spacing w:lineRule="auto" w:line="288" w:before="12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ended December 31, 2023 and 2022:</w:t>
      </w:r>
    </w:p>
    <w:tbl>
      <w:tblPr>
        <w:tblW w:w="10205" w:type="dxa"/>
        <w:jc w:val="left"/>
        <w:tblInd w:w="0" w:type="dxa"/>
        <w:tblLayout w:type="fixed"/>
        <w:tblCellMar>
          <w:top w:w="28" w:type="dxa"/>
          <w:left w:w="28" w:type="dxa"/>
          <w:bottom w:w="28" w:type="dxa"/>
          <w:right w:w="28" w:type="dxa"/>
        </w:tblCellMar>
      </w:tblPr>
      <w:tblGrid>
        <w:gridCol w:w="804"/>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5"/>
        <w:gridCol w:w="157"/>
        <w:gridCol w:w="109"/>
        <w:gridCol w:w="109"/>
        <w:gridCol w:w="109"/>
        <w:gridCol w:w="293"/>
        <w:gridCol w:w="228"/>
        <w:gridCol w:w="668"/>
      </w:tblGrid>
      <w:tr>
        <w:trPr/>
        <w:tc>
          <w:tcPr>
            <w:tcW w:w="8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The quarter-over-prior year quarter increase in cost of revenues of $6.9 million was primarily attributable to a $3.9 million increase in personnel and labor costs, a $1.4 million increase in infrastructure and facilities costs, and a $0.9 million increase in direct materials costs. The increase in personnel and labor costs was primarily attributable to increased headcount and increased share-based compensation expense. The increase in infrastructure and facilities costs was primarily attributable to increased third-party data center hosting fees. The increase in direct materials costs was primarily attributable to increased telecommunications expenses to support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Customer Communications Services revenue, partially offset by decreased software royalty fees. Cost of revenues as a percentage of revenues remained consistent at 22% during the quarters ended December 31, 2023 and 2022. </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$6.0 million was primarily attributable to an increase in personnel and labor costs as a result of increased headcount, increased employee time allocated to research and development activities, and increased share-based compensation expense. Research and development expenses as a percentage of revenues remained consistent at 11% during the quarters ended December 31, 2023 and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$11.3 million was primarily attributable to a $7.4 million increase in personnel and labor costs, a $1.8 million increase in infrastructure and facilities costs, a $1.1 million increase in travel costs, and a $0.8 million increase in marketing and business development costs. The increase in personnel and labor costs was primarily attributable to increased headcount, increased fringe benefit costs related to our supplemental retirement and savings plan, and increased commission expense. The increase in infrastructure and facilities costs was primarily attributable to the impact of a favorable adjustment in the prior year quarter from the termination of an office lease. The increases in travel, marketing and business development costs were primarily attributable to increased advertising and other promotional expenses and increased corporate event costs. Selling, general and administrative expenses as a percentage of revenues remained consistent at 27% during the quarters ended December 31, 2023 and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 Assets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consists of expense related to intangible assets recorded in connection with our acquisitions. Our finite-lived intangible assets, consisting primarily of completed technology and customer contracts and relationships, are amortized using the straight-line method over five years.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$0.3 million during each of the quarters ended December 31, 2023 and 2022.</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Gain on Product Line Asset Sale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gain on product line asset sale during the quarter ended December 31, 2022 was attributable to the sale of certain assets related to our Siron compliance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$1.4 million was primarily attributable to a higher average interest rate on our revolving line of credit and term loan, and a higher average outstanding balance on our revolving line of credit during the quarter ended December 31, 2023.</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primarily of unrealized investment gains/losses and realized gains/losses on certain investments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quarter-over-prior year quarter increase in other income, net of $3.0 million was primarily attributable to an increase in net realized and unrealized gains on investments classified as trading securities in our supplemental retirement and savings plan, and a decrease in foreign currency exchange losses. </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was 7.3% and 17.2% during the quarters ended December 31, 2023 and 2022,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quarter ended December 31, 2023 was favorably impacted by the excess tax benefit relating to stock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ended December 31, 2023 and 2022.</w:t>
      </w:r>
    </w:p>
    <w:tbl>
      <w:tblPr>
        <w:tblW w:w="10205" w:type="dxa"/>
        <w:jc w:val="left"/>
        <w:tblInd w:w="0" w:type="dxa"/>
        <w:tblLayout w:type="fixed"/>
        <w:tblCellMar>
          <w:top w:w="28" w:type="dxa"/>
          <w:left w:w="28" w:type="dxa"/>
          <w:bottom w:w="28" w:type="dxa"/>
          <w:right w:w="28" w:type="dxa"/>
        </w:tblCellMar>
      </w:tblPr>
      <w:tblGrid>
        <w:gridCol w:w="1257"/>
        <w:gridCol w:w="1099"/>
        <w:gridCol w:w="1122"/>
        <w:gridCol w:w="211"/>
        <w:gridCol w:w="826"/>
        <w:gridCol w:w="109"/>
        <w:gridCol w:w="109"/>
        <w:gridCol w:w="109"/>
        <w:gridCol w:w="109"/>
        <w:gridCol w:w="211"/>
        <w:gridCol w:w="826"/>
        <w:gridCol w:w="109"/>
        <w:gridCol w:w="109"/>
        <w:gridCol w:w="109"/>
        <w:gridCol w:w="109"/>
        <w:gridCol w:w="384"/>
        <w:gridCol w:w="1318"/>
        <w:gridCol w:w="200"/>
        <w:gridCol w:w="109"/>
        <w:gridCol w:w="109"/>
        <w:gridCol w:w="109"/>
        <w:gridCol w:w="315"/>
        <w:gridCol w:w="315"/>
        <w:gridCol w:w="922"/>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gain on product line asset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$11.0 million was attributable to a $37.2 million increase in segment revenues, partially offset by a $15.9 million increase in segment operating expenses, a $6.5 million increase in corporate expenses, a $1.9 million decrease in gain on product line asset sale, and a $1.9 million increase in share-based compensation cost.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$14.8 million was the result of a $12.0 million increase in our Scores segment operating income and a $9.4 million increase in our Software segment operating income, partially offset by a $6.5 million increase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$12.0 million was due to a $14.1 million increase in segment revenue, partially offset by a $2.1 million increase in segment operating expenses. Segment operating income as a percentage of segment revenue for Scores for the quarter ended December 31, 2023 was 88%, consistent with the quarter ended December 31,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Software segment operating income of $9.4 million was due to a $23.1 million increase in segment revenue, partially offset by a $13.7 million increase in segment operating expenses. Segment operating income as a percentage of segment revenue for Software increased to 29% from 27%, primarily attributable to an increase in higher-margin license revenue recognized at a point in time and a decrease in sales of our lower-margin professional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$160.4 million in cash and cash equivalents, which included $114.5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our term loan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ind w:left="0" w:right="0" w:firstLine="225"/>
        <w:jc w:val="left"/>
        <w:rPr/>
      </w:pPr>
      <w:r>
        <w:rPr>
          <w:rFonts w:ascii="Times New Roman;sans-serif" w:hAnsi="Times New Roman;sans-serif"/>
          <w:b/>
          <w:i/>
          <w:color w:val="000000"/>
          <w:sz w:val="20"/>
        </w:rPr>
        <w:t>Summary of Cash Flows</w:t>
      </w:r>
      <w:r>
        <w:rPr>
          <w:color w:val="000000"/>
        </w:rPr>
        <w:t> </w:t>
      </w:r>
    </w:p>
    <w:tbl>
      <w:tblPr>
        <w:tblW w:w="8164"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721"/>
        <w:gridCol w:w="109"/>
        <w:gridCol w:w="109"/>
        <w:gridCol w:w="109"/>
        <w:gridCol w:w="109"/>
        <w:gridCol w:w="384"/>
        <w:gridCol w:w="1313"/>
        <w:gridCol w:w="282"/>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29,680 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16,989 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increased to $122.1 million during the quarter ended December 31, 2023 from $92.4 million during the quarter ended December 31, 2022. The $29.7 million increase was attributable to a $23.4 million increase in net income, a $3.4 million increase in non-cash items, and a $2.9 million increase due to the timing of receipts and payments in our ordinary course of business.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to $2.4 million for the quarter ended December 31, 2023 from $10.6 million for the quarter ended December 31, 2022. The $8.2 million decrease was primarily attributable to a $7.6 million decrease in cash transferred, net of proceeds, from the product line asset sale.</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to $99.9 million for the quarter ended December 31, 2023 from $79.6 million for the quarter ended December 31, 2022. The $20.2 million increase was primarily attributable to a $59.0 million increase in taxes paid related to net share settlement of equity awards, partially offset by a $32.0 million decrease in payments on our revolving line of credit and term loan.</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our Board of Directors approved a new stock repurchase program replacing our previously authorized program. This program was open-ended and authorized repurchases of shares of our common stock up to an aggregate cost of $500.0 million in the open market or in negotiated transactions. As of December 31, 2023, we had $48.8 million remaining under our then current stock repurchase program. During the quarters ended December 31, 2023 and 2022, we expended $71.7 million and $75.0 million, respectively, under our then current and previously authorized stock repurchase programs.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our Board of Directors approved a new stock repurchase program, replacing the October 2022 stock repurchase program which was terminated. The new program is open-ended and authorizes repurchases of shares of our common stock from time to time, up to an aggregate cost of $500.0 million in the open market or in negotiated transactions. The new stock repurchase program became effective on January 23, 2024, and will remain in effect until the total authorized amount is expended or until further action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$600 million unsecured revolving line of credit and a $300 million unsecured term loan with a syndicate of banks that mature on August 19, 2026. Borrowings under the revolving line of credit and term loan can be used for working capital and general corporate purposes and may also be used for the refinancing of existing debt, acquisitions, and the repurchase of our common stock. The term loan requires principal payments in consecutive quarterly installments of $3.75 million on the last business day of each quarter. Interest rates on amounts borrowed under the revolving line of credit and term loan are based on (i) an adjusted base rate, which is the greatest of (a) the prime rate, (b) the Federal Funds rate plus 0.5%, and (c) one-month adjusted term Secured Overnight Financing Rate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term loan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$403.0 million in borrowings outstanding under the revolving line of credit at a weighted-average interest rate of 6.708%, and $270.0 million in outstanding balance of the term loan at an interest rate of 6.713%. We were in compliance with all financial covenants under this credit agreement as of December 31, 2023.</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December 31, 2023, the carrying value of the Senior Notes was $1.3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2023 (“Annual Report on Form 10-K”). There have been no significant changes from the critical accounting estimates disclosed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recently adopted and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December 31, 2023 and September 30, 2023: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2023 and September 30, 2023:</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 Interest rates on amounts borrowed under the revolving line of credit and term loan are based on (i) an adjusted base rate, which is the greatest of (a) the prime rate, (b) the Federal Funds rate plus 0.5%, and (c) one-month adjusted term SOFR rate plus 1%, plus, in each case, an applicable margin, or (ii) an adjusted term SOFR rate plus an applicable margin.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December 31, 2023, we had $403.0 million in borrowings outstanding under the revolving line of credit at a weighted-average interest rate of 6.708%, and $270.0 million in outstanding balance of the term loan at an interest rate of 6.713%.</w:t>
      </w:r>
    </w:p>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December 31, 2023 and September 30, 2023:</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December 31, 2023 and September 30, 2023;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December 31, 2023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2023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120" w:after="283"/>
        <w:jc w:val="left"/>
        <w:rPr/>
      </w:pPr>
      <w:r>
        <w:rPr>
          <w:rFonts w:ascii="Times New Roman;sans-serif" w:hAnsi="Times New Roman;sans-serif"/>
          <w:b/>
          <w:color w:val="000000"/>
          <w:sz w:val="20"/>
        </w:rPr>
        <w:t>Issuer Purchases of Equity Securities</w:t>
      </w:r>
      <w:r>
        <w:rPr>
          <w:color w:val="000000"/>
        </w:rPr>
        <w:t> </w:t>
      </w:r>
    </w:p>
    <w:tbl>
      <w:tblPr>
        <w:tblW w:w="10205" w:type="dxa"/>
        <w:jc w:val="left"/>
        <w:tblInd w:w="0" w:type="dxa"/>
        <w:tblLayout w:type="fixed"/>
        <w:tblCellMar>
          <w:top w:w="28" w:type="dxa"/>
          <w:left w:w="28" w:type="dxa"/>
          <w:bottom w:w="28" w:type="dxa"/>
          <w:right w:w="28" w:type="dxa"/>
        </w:tblCellMar>
      </w:tblPr>
      <w:tblGrid>
        <w:gridCol w:w="1426"/>
        <w:gridCol w:w="1255"/>
        <w:gridCol w:w="1276"/>
        <w:gridCol w:w="412"/>
        <w:gridCol w:w="414"/>
        <w:gridCol w:w="345"/>
        <w:gridCol w:w="109"/>
        <w:gridCol w:w="109"/>
        <w:gridCol w:w="109"/>
        <w:gridCol w:w="211"/>
        <w:gridCol w:w="871"/>
        <w:gridCol w:w="109"/>
        <w:gridCol w:w="109"/>
        <w:gridCol w:w="109"/>
        <w:gridCol w:w="109"/>
        <w:gridCol w:w="485"/>
        <w:gridCol w:w="485"/>
        <w:gridCol w:w="486"/>
        <w:gridCol w:w="109"/>
        <w:gridCol w:w="109"/>
        <w:gridCol w:w="109"/>
        <w:gridCol w:w="211"/>
        <w:gridCol w:w="1081"/>
        <w:gridCol w:w="157"/>
      </w:tblGrid>
      <w:tr>
        <w:trPr/>
        <w:tc>
          <w:tcPr>
            <w:tcW w:w="142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through October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64,039 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63,365 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65,186,375 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through November 30, 2023</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52,190,244 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through December 31, 2023</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194,836 </w:t>
            </w:r>
          </w:p>
        </w:tc>
        <w:tc>
          <w:tcPr>
            <w:tcW w:w="3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78,365 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48,845,152 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116,471 shares delivered in satisfaction of the tax withholding obligations resulting from the vesting of restricted stock units held by employees during the quarter ended December 31, 2023.</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October 2022, our Board of Directors approved a stock repurchase program replacing our previously authorized program. This program was open-ended and authorized repurchases of shares of our common stock up to an aggregate cost of $500.0 million in the open market or in negotiated transactions. In January 2024, our Board of Directors approved a new stock repurchase program, replacing the October 2022 stock repurchase program which was terminated. The new program is open-ended and authorizes repurchases of shares of our common stock from time to time, up to an aggregate cost of $500.0 million in the open market or in negotiated transactions. The new stock repurchase program became effective on January 23, 2024, and will remain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William Lansing, our Chief Executive Officer and a member of our Board of Directors, entered into a pre-arranged trading plan that is intended to satisfy the affirmative defense of Rule 10b5-1(c) of the Securities Exchange Act of 1934, as amended. This plan provides for the sale of up to 24,000 shares of our common stock in the aggregate, and terminates on the earlier of the close of business on August 15, 2024 or the date all shares are sold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16"/>
        <w:gridCol w:w="279"/>
        <w:gridCol w:w="281"/>
        <w:gridCol w:w="109"/>
        <w:gridCol w:w="109"/>
        <w:gridCol w:w="109"/>
        <w:gridCol w:w="2626"/>
        <w:gridCol w:w="2626"/>
        <w:gridCol w:w="3750"/>
      </w:tblGrid>
      <w:tr>
        <w:trPr/>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Letter Agreement, dated November 2, 2023, between Stephanie Covert and the Company. (Incorporated by reference to Exhibit 10.1 to the Company’s Form 8-K filed on November 8, 2023).</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12024.htm">
              <w:r>
                <w:rPr>
                  <w:rStyle w:val="InternetLink"/>
                  <w:rFonts w:ascii="Times New Roman;sans-serif" w:hAnsi="Times New Roman;sans-serif"/>
                  <w:b w:val="false"/>
                  <w:color w:val="0000FF"/>
                  <w:sz w:val="20"/>
                  <w:u w:val="single"/>
                </w:rPr>
                <w:t>Rule 13a-14(a)/15d-14(a) Certifications of CEO.</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12024.htm">
              <w:r>
                <w:rPr>
                  <w:rStyle w:val="InternetLink"/>
                  <w:rFonts w:ascii="Times New Roman;sans-serif" w:hAnsi="Times New Roman;sans-serif"/>
                  <w:b w:val="false"/>
                  <w:color w:val="0000FF"/>
                  <w:sz w:val="20"/>
                  <w:u w:val="single"/>
                </w:rPr>
                <w:t>Rule 13a-14(a)/15d-14(a) Certifications of CFO.</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12024.htm">
              <w:r>
                <w:rPr>
                  <w:rStyle w:val="InternetLink"/>
                  <w:rFonts w:ascii="Times New Roman;sans-serif" w:hAnsi="Times New Roman;sans-serif"/>
                  <w:b w:val="false"/>
                  <w:color w:val="0000FF"/>
                  <w:sz w:val="20"/>
                  <w:u w:val="single"/>
                </w:rPr>
                <w:t>Section 1350 Certification of CEO.</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12024.htm">
              <w:r>
                <w:rPr>
                  <w:rStyle w:val="InternetLink"/>
                  <w:rFonts w:ascii="Times New Roman;sans-serif" w:hAnsi="Times New Roman;sans-serif"/>
                  <w:b w:val="false"/>
                  <w:color w:val="0000FF"/>
                  <w:sz w:val="20"/>
                  <w:u w:val="single"/>
                </w:rPr>
                <w:t>Section 1350 Certification of CFO.</w:t>
              </w:r>
            </w:hyperlink>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707" w:type="dxa"/>
        <w:jc w:val="left"/>
        <w:tblInd w:w="0" w:type="dxa"/>
        <w:tblLayout w:type="fixed"/>
        <w:tblCellMar>
          <w:top w:w="28" w:type="dxa"/>
          <w:left w:w="28" w:type="dxa"/>
          <w:bottom w:w="28" w:type="dxa"/>
          <w:right w:w="28" w:type="dxa"/>
        </w:tblCellMar>
      </w:tblPr>
      <w:tblGrid>
        <w:gridCol w:w="124"/>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bb7838ab0a442b79d115e510a43032f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906" w:type="dxa"/>
        <w:jc w:val="left"/>
        <w:tblInd w:w="0" w:type="dxa"/>
        <w:tblLayout w:type="fixed"/>
        <w:tblCellMar>
          <w:top w:w="28" w:type="dxa"/>
          <w:left w:w="28" w:type="dxa"/>
          <w:bottom w:w="28" w:type="dxa"/>
          <w:right w:w="28" w:type="dxa"/>
        </w:tblCellMar>
      </w:tblPr>
      <w:tblGrid>
        <w:gridCol w:w="249"/>
        <w:gridCol w:w="220"/>
        <w:gridCol w:w="221"/>
        <w:gridCol w:w="499"/>
        <w:gridCol w:w="499"/>
        <w:gridCol w:w="501"/>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25, 2024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January 25, 2024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334"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554" w:type="dxa"/>
        <w:jc w:val="left"/>
        <w:tblInd w:w="0" w:type="dxa"/>
        <w:tblLayout w:type="fixed"/>
        <w:tblCellMar>
          <w:top w:w="28" w:type="dxa"/>
          <w:left w:w="28" w:type="dxa"/>
          <w:bottom w:w="28" w:type="dxa"/>
          <w:right w:w="28" w:type="dxa"/>
        </w:tblCellMar>
      </w:tblPr>
      <w:tblGrid>
        <w:gridCol w:w="200"/>
        <w:gridCol w:w="177"/>
        <w:gridCol w:w="178"/>
        <w:gridCol w:w="499"/>
        <w:gridCol w:w="499"/>
        <w:gridCol w:w="501"/>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25, 2024</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14547/000095012310009970/c56194exv3w2.htm" TargetMode="External"/><Relationship Id="rId3" Type="http://schemas.openxmlformats.org/officeDocument/2006/relationships/hyperlink" Target="http://www.sec.gov/Archives/edgar/data/814547/000095012310009970/c56194exv3w1.htm" TargetMode="External"/><Relationship Id="rId4" Type="http://schemas.openxmlformats.org/officeDocument/2006/relationships/hyperlink" Target="http://www.sec.gov/Archives/edgar/data/814547/000119312523273555/d927604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15470</Words>
  <Characters>86030</Characters>
  <CharactersWithSpaces>100327</CharactersWithSpaces>
  <Paragraphs>2559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