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bed2e1db0b514eea8067dbdd2fa15abc_7">
        <w:r>
          <w:rPr>
            <w:rStyle w:val="InternetLink"/>
            <w:rFonts w:ascii="Times New Roman;sans-serif" w:hAnsi="Times New Roman;sans-serif"/>
            <w:b w:val="false"/>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pPr>
      <w:r>
        <w:rPr>
          <w:rFonts w:ascii="Times New Roman;sans-serif" w:hAnsi="Times New Roman;sans-serif"/>
          <w:b/>
          <w:color w:val="000000"/>
          <w:sz w:val="24"/>
        </w:rPr>
        <w:t>Washington, D.C. 20549</w:t>
      </w:r>
      <w:r>
        <w:rPr>
          <w:color w:val="000000"/>
        </w:rPr>
        <w:t xml:space="preserve">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10-Q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color w:val="000000"/>
        </w:rPr>
        <w:t> </w:t>
      </w:r>
      <w:r>
        <w:rPr>
          <w:rFonts w:ascii="Times New Roman;sans-serif" w:hAnsi="Times New Roman;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March 31, 2024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bidi w:val="0"/>
        <w:spacing w:lineRule="auto" w:line="288" w:before="80" w:after="283"/>
        <w:jc w:val="center"/>
        <w:rPr/>
      </w:pPr>
      <w:r>
        <w:rPr>
          <w:rFonts w:ascii="Times New Roman;sans-serif" w:hAnsi="Times New Roman;sans-serif"/>
          <w:b/>
          <w:color w:val="000000"/>
          <w:sz w:val="20"/>
        </w:rPr>
        <w:t xml:space="preserve">For the transition period from </w:t>
      </w:r>
      <w:r>
        <w:rPr>
          <w:color w:val="000000"/>
          <w:u w:val="single"/>
        </w:rPr>
        <w:t>                    </w:t>
      </w:r>
      <w:r>
        <w:rPr>
          <w:color w:val="000000"/>
        </w:rPr>
        <w:t xml:space="preserve"> </w:t>
      </w:r>
      <w:r>
        <w:rPr>
          <w:rFonts w:ascii="Times New Roman;sans-serif" w:hAnsi="Times New Roman;sans-serif"/>
          <w:b/>
          <w:color w:val="000000"/>
          <w:sz w:val="20"/>
        </w:rPr>
        <w:t xml:space="preserve">to </w:t>
      </w:r>
      <w:r>
        <w:rPr>
          <w:color w:val="000000"/>
          <w:u w:val="single"/>
        </w:rPr>
        <w:t>                    </w:t>
      </w:r>
    </w:p>
    <w:p>
      <w:pPr>
        <w:pStyle w:val="TextBody"/>
        <w:bidi w:val="0"/>
        <w:spacing w:lineRule="auto" w:line="288" w:before="120" w:after="283"/>
        <w:jc w:val="center"/>
        <w:rPr/>
      </w:pPr>
      <w:r>
        <w:rPr>
          <w:rFonts w:ascii="Times New Roman;sans-serif" w:hAnsi="Times New Roman;sans-serif"/>
          <w:b/>
          <w:color w:val="000000"/>
          <w:sz w:val="20"/>
        </w:rPr>
        <w:t>Commission File Number 1-11689</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48"/>
        </w:rPr>
      </w:pPr>
      <w:r>
        <w:rPr>
          <w:rFonts w:ascii="Times New Roman;sans-serif" w:hAnsi="Times New Roman;sans-serif"/>
          <w:b/>
          <w:color w:val="000000"/>
          <w:sz w:val="48"/>
        </w:rPr>
        <w:t>Fair Isaac Corporation</w:t>
      </w:r>
    </w:p>
    <w:p>
      <w:pPr>
        <w:pStyle w:val="TextBody"/>
        <w:bidi w:val="0"/>
        <w:spacing w:lineRule="auto" w:line="288" w:before="0" w:after="0"/>
        <w:jc w:val="center"/>
        <w:rPr/>
      </w:pPr>
      <w:r>
        <w:rPr>
          <w:rFonts w:ascii="Times New Roman;sans-serif" w:hAnsi="Times New Roman;sans-serif"/>
          <w:b/>
          <w:color w:val="000000"/>
          <w:sz w:val="20"/>
        </w:rPr>
        <w:t>(Exact name of registrant as specified in its charter)</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408" w:type="dxa"/>
        <w:jc w:val="left"/>
        <w:tblInd w:w="0" w:type="dxa"/>
        <w:tblLayout w:type="fixed"/>
        <w:tblCellMar>
          <w:top w:w="28" w:type="dxa"/>
          <w:left w:w="28" w:type="dxa"/>
          <w:bottom w:w="28" w:type="dxa"/>
          <w:right w:w="28" w:type="dxa"/>
        </w:tblCellMar>
      </w:tblPr>
      <w:tblGrid>
        <w:gridCol w:w="537"/>
        <w:gridCol w:w="473"/>
        <w:gridCol w:w="473"/>
        <w:gridCol w:w="473"/>
        <w:gridCol w:w="473"/>
        <w:gridCol w:w="495"/>
        <w:gridCol w:w="433"/>
        <w:gridCol w:w="433"/>
        <w:gridCol w:w="618"/>
      </w:tblGrid>
      <w:tr>
        <w:trPr/>
        <w:tc>
          <w:tcPr>
            <w:tcW w:w="53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9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94-1499887</w:t>
            </w:r>
          </w:p>
        </w:tc>
      </w:tr>
      <w:tr>
        <w:trPr/>
        <w:tc>
          <w:tcPr>
            <w:tcW w:w="29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r>
          </w:p>
        </w:tc>
      </w:tr>
      <w:tr>
        <w:trPr/>
        <w:tc>
          <w:tcPr>
            <w:tcW w:w="29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Identification No.)</w:t>
            </w:r>
          </w:p>
        </w:tc>
      </w:tr>
      <w:tr>
        <w:trPr/>
        <w:tc>
          <w:tcPr>
            <w:tcW w:w="1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5 West Mendenhall, Suite 105</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59715</w:t>
            </w:r>
          </w:p>
        </w:tc>
      </w:tr>
      <w:tr>
        <w:trPr/>
        <w:tc>
          <w:tcPr>
            <w:tcW w:w="14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Bozeman,</w:t>
            </w:r>
          </w:p>
        </w:tc>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Montana</w:t>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88" w:before="20" w:after="283"/>
        <w:jc w:val="center"/>
        <w:rPr/>
      </w:pPr>
      <w:r>
        <w:rPr>
          <w:rFonts w:ascii="Times New Roman;sans-serif" w:hAnsi="Times New Roman;sans-serif"/>
          <w:b/>
          <w:color w:val="000000"/>
          <w:sz w:val="20"/>
        </w:rPr>
        <w:t xml:space="preserve">Registrant’s telephone number, including area code: 406-982-7276 </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9013" w:type="dxa"/>
        <w:jc w:val="center"/>
        <w:tblInd w:w="0" w:type="dxa"/>
        <w:tblLayout w:type="fixed"/>
        <w:tblCellMar>
          <w:top w:w="28" w:type="dxa"/>
          <w:left w:w="28" w:type="dxa"/>
          <w:bottom w:w="28" w:type="dxa"/>
          <w:right w:w="28" w:type="dxa"/>
        </w:tblCellMar>
      </w:tblPr>
      <w:tblGrid>
        <w:gridCol w:w="1263"/>
        <w:gridCol w:w="1109"/>
        <w:gridCol w:w="1122"/>
        <w:gridCol w:w="564"/>
        <w:gridCol w:w="564"/>
        <w:gridCol w:w="566"/>
        <w:gridCol w:w="1118"/>
        <w:gridCol w:w="1118"/>
        <w:gridCol w:w="1589"/>
      </w:tblGrid>
      <w:tr>
        <w:trPr/>
        <w:tc>
          <w:tcPr>
            <w:tcW w:w="126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Name of each exchange on which registered</w:t>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$0.01 par value per share</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FICO</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r>
    </w:tbl>
    <w:p>
      <w:pPr>
        <w:pStyle w:val="TextBody"/>
        <w:bidi w:val="0"/>
        <w:spacing w:lineRule="auto" w:line="288" w:before="20" w:after="120"/>
        <w:ind w:left="0" w:right="0" w:firstLine="495"/>
        <w:jc w:val="both"/>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120" w:after="120"/>
        <w:ind w:left="0" w:right="0" w:firstLine="495"/>
        <w:jc w:val="both"/>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29"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3"/>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120" w:after="120"/>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120" w:after="120"/>
              <w:jc w:val="center"/>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120" w:after="120"/>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120" w:after="120"/>
              <w:jc w:val="center"/>
              <w:rPr>
                <w:color w:val="000000"/>
              </w:rPr>
            </w:pPr>
            <w:r>
              <w:rPr>
                <w:color w:val="000000"/>
              </w:rPr>
              <w:t>☐</w:t>
            </w:r>
          </w:p>
        </w:tc>
      </w:tr>
    </w:tbl>
    <w:p>
      <w:pPr>
        <w:pStyle w:val="TextBody"/>
        <w:bidi w:val="0"/>
        <w:spacing w:lineRule="auto" w:line="288" w:before="80" w:after="120"/>
        <w:ind w:left="0" w:right="0" w:firstLine="495"/>
        <w:jc w:val="both"/>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bed2e1db0b514eea8067dbdd2fa15ab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shell company (as defined in Rule 12b-2 of the Exchange Act).</w:t>
      </w:r>
    </w:p>
    <w:tbl>
      <w:tblPr>
        <w:tblW w:w="1466" w:type="dxa"/>
        <w:jc w:val="left"/>
        <w:tblInd w:w="0" w:type="dxa"/>
        <w:tblLayout w:type="fixed"/>
        <w:tblCellMar>
          <w:top w:w="28" w:type="dxa"/>
          <w:left w:w="28" w:type="dxa"/>
          <w:bottom w:w="28" w:type="dxa"/>
          <w:right w:w="28" w:type="dxa"/>
        </w:tblCellMar>
      </w:tblPr>
      <w:tblGrid>
        <w:gridCol w:w="152"/>
        <w:gridCol w:w="134"/>
        <w:gridCol w:w="135"/>
        <w:gridCol w:w="109"/>
        <w:gridCol w:w="109"/>
        <w:gridCol w:w="109"/>
        <w:gridCol w:w="115"/>
        <w:gridCol w:w="115"/>
        <w:gridCol w:w="116"/>
        <w:gridCol w:w="109"/>
        <w:gridCol w:w="109"/>
        <w:gridCol w:w="15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120" w:after="120"/>
              <w:jc w:val="center"/>
              <w:rPr>
                <w:color w:val="000000"/>
              </w:rPr>
            </w:pPr>
            <w:r>
              <w:rPr>
                <w:color w:val="000000"/>
              </w:rPr>
              <w:t>☐</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w:t>
            </w:r>
          </w:p>
        </w:tc>
        <w:tc>
          <w:tcPr>
            <w:tcW w:w="372" w:type="dxa"/>
            <w:gridSpan w:val="3"/>
            <w:tcBorders/>
            <w:tcMar>
              <w:top w:w="0" w:type="dxa"/>
              <w:left w:w="0" w:type="dxa"/>
              <w:bottom w:w="0" w:type="dxa"/>
              <w:right w:w="0" w:type="dxa"/>
            </w:tcMar>
            <w:vAlign w:val="center"/>
          </w:tcPr>
          <w:p>
            <w:pPr>
              <w:pStyle w:val="TableContents"/>
              <w:bidi w:val="0"/>
              <w:spacing w:lineRule="auto" w:line="240" w:before="120" w:after="120"/>
              <w:jc w:val="center"/>
              <w:rPr>
                <w:color w:val="000000"/>
              </w:rPr>
            </w:pPr>
            <w:r>
              <w:rPr>
                <w:color w:val="000000"/>
              </w:rPr>
              <w:t>☒</w:t>
            </w:r>
          </w:p>
        </w:tc>
      </w:tr>
    </w:tbl>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number of shares of common stock outstanding on April 12, 2024 was 24,710,938 (excluding 64,145,845 shares held by us as treasury stock).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bed2e1db0b514eea8067dbdd2fa15ab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lineRule="auto" w:line="288" w:before="0" w:after="0"/>
        <w:jc w:val="left"/>
        <w:rPr>
          <w:color w:val="000000"/>
        </w:rPr>
      </w:pPr>
      <w:r>
        <w:rPr>
          <w:color w:val="000000"/>
        </w:rPr>
        <w:t> </w:t>
      </w:r>
    </w:p>
    <w:tbl>
      <w:tblPr>
        <w:tblW w:w="8547" w:type="dxa"/>
        <w:jc w:val="left"/>
        <w:tblInd w:w="0" w:type="dxa"/>
        <w:tblLayout w:type="fixed"/>
        <w:tblCellMar>
          <w:top w:w="28" w:type="dxa"/>
          <w:left w:w="28" w:type="dxa"/>
          <w:bottom w:w="28" w:type="dxa"/>
          <w:right w:w="28" w:type="dxa"/>
        </w:tblCellMar>
      </w:tblPr>
      <w:tblGrid>
        <w:gridCol w:w="293"/>
        <w:gridCol w:w="258"/>
        <w:gridCol w:w="260"/>
        <w:gridCol w:w="2453"/>
        <w:gridCol w:w="2453"/>
        <w:gridCol w:w="2458"/>
        <w:gridCol w:w="109"/>
        <w:gridCol w:w="109"/>
        <w:gridCol w:w="154"/>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ed2e1db0b514eea8067dbdd2fa15abc_10">
              <w:r>
                <w:rPr>
                  <w:rStyle w:val="InternetLink"/>
                  <w:rFonts w:ascii="Times New Roman;sans-serif" w:hAnsi="Times New Roman;sans-serif"/>
                  <w:b/>
                  <w:color w:val="0000FF"/>
                  <w:sz w:val="20"/>
                  <w:u w:val="single"/>
                </w:rPr>
                <w:t>PART I – FINANCIAL INFORMATION</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ed2e1db0b514eea8067dbdd2fa15abc_16">
              <w:r>
                <w:rPr>
                  <w:rStyle w:val="InternetLink"/>
                  <w:rFonts w:ascii="Times New Roman;sans-serif" w:hAnsi="Times New Roman;sans-serif"/>
                  <w:b w:val="false"/>
                  <w:color w:val="0000FF"/>
                  <w:sz w:val="20"/>
                  <w:u w:val="single"/>
                </w:rPr>
                <w:t>Unaudited 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ed2e1db0b514eea8067dbdd2fa15abc_13">
              <w:r>
                <w:rPr>
                  <w:rStyle w:val="InternetLink"/>
                  <w:rFonts w:ascii="Times New Roman;sans-serif" w:hAnsi="Times New Roman;sans-serif"/>
                  <w:b w:val="false"/>
                  <w:color w:val="0000FF"/>
                  <w:sz w:val="20"/>
                  <w:u w:val="single"/>
                </w:rPr>
                <w:t>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ed2e1db0b514eea8067dbdd2fa15abc_76">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ed2e1db0b514eea8067dbdd2fa15abc_76">
              <w:r>
                <w:rPr>
                  <w:rStyle w:val="InternetLink"/>
                  <w:rFonts w:ascii="Times New Roman;sans-serif" w:hAnsi="Times New Roman;sans-serif"/>
                  <w:b w:val="false"/>
                  <w:color w:val="0000FF"/>
                  <w:sz w:val="20"/>
                  <w:u w:val="single"/>
                </w:rPr>
                <w:t>17</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ed2e1db0b514eea8067dbdd2fa15abc_106">
              <w:r>
                <w:rPr>
                  <w:rStyle w:val="InternetLink"/>
                  <w:rFonts w:ascii="Times New Roman;sans-serif" w:hAnsi="Times New Roman;sans-serif"/>
                  <w:b w:val="false"/>
                  <w:color w:val="0000FF"/>
                  <w:sz w:val="20"/>
                  <w:u w:val="single"/>
                </w:rPr>
                <w:t>Quantitative and Qualitative Disclosures About Market Risk</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ed2e1db0b514eea8067dbdd2fa15abc_106">
              <w:r>
                <w:rPr>
                  <w:rStyle w:val="InternetLink"/>
                  <w:rFonts w:ascii="Times New Roman;sans-serif" w:hAnsi="Times New Roman;sans-serif"/>
                  <w:b w:val="false"/>
                  <w:color w:val="0000FF"/>
                  <w:sz w:val="20"/>
                  <w:u w:val="single"/>
                </w:rPr>
                <w:t>29</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ed2e1db0b514eea8067dbdd2fa15abc_109">
              <w:r>
                <w:rPr>
                  <w:rStyle w:val="InternetLink"/>
                  <w:rFonts w:ascii="Times New Roman;sans-serif" w:hAnsi="Times New Roman;sans-serif"/>
                  <w:b w:val="false"/>
                  <w:color w:val="0000FF"/>
                  <w:sz w:val="20"/>
                  <w:u w:val="single"/>
                </w:rPr>
                <w:t>Controls and Procedures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ed2e1db0b514eea8067dbdd2fa15abc_109">
              <w:r>
                <w:rPr>
                  <w:rStyle w:val="InternetLink"/>
                  <w:rFonts w:ascii="Times New Roman;sans-serif" w:hAnsi="Times New Roman;sans-serif"/>
                  <w:b w:val="false"/>
                  <w:color w:val="0000FF"/>
                  <w:sz w:val="20"/>
                  <w:u w:val="single"/>
                </w:rPr>
                <w:t>30</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ed2e1db0b514eea8067dbdd2fa15abc_112">
              <w:r>
                <w:rPr>
                  <w:rStyle w:val="InternetLink"/>
                  <w:rFonts w:ascii="Times New Roman;sans-serif" w:hAnsi="Times New Roman;sans-serif"/>
                  <w:b/>
                  <w:color w:val="0000FF"/>
                  <w:sz w:val="20"/>
                  <w:u w:val="single"/>
                </w:rPr>
                <w:t>PART II – OTHER INFORMATION</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ed2e1db0b514eea8067dbdd2fa15abc_115">
              <w:r>
                <w:rPr>
                  <w:rStyle w:val="InternetLink"/>
                  <w:rFonts w:ascii="Times New Roman;sans-serif" w:hAnsi="Times New Roman;sans-serif"/>
                  <w:b w:val="false"/>
                  <w:color w:val="0000FF"/>
                  <w:sz w:val="20"/>
                  <w:u w:val="single"/>
                </w:rPr>
                <w:t>Legal Proceedings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ed2e1db0b514eea8067dbdd2fa15abc_115">
              <w:r>
                <w:rPr>
                  <w:rStyle w:val="InternetLink"/>
                  <w:rFonts w:ascii="Times New Roman;sans-serif" w:hAnsi="Times New Roman;sans-serif"/>
                  <w:b w:val="false"/>
                  <w:color w:val="0000FF"/>
                  <w:sz w:val="20"/>
                  <w:u w:val="single"/>
                </w:rPr>
                <w:t>32</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ed2e1db0b514eea8067dbdd2fa15abc_118">
              <w:r>
                <w:rPr>
                  <w:rStyle w:val="InternetLink"/>
                  <w:rFonts w:ascii="Times New Roman;sans-serif" w:hAnsi="Times New Roman;sans-serif"/>
                  <w:b w:val="false"/>
                  <w:color w:val="0000FF"/>
                  <w:sz w:val="20"/>
                  <w:u w:val="single"/>
                </w:rPr>
                <w:t>Risk Factors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ed2e1db0b514eea8067dbdd2fa15abc_118">
              <w:r>
                <w:rPr>
                  <w:rStyle w:val="InternetLink"/>
                  <w:rFonts w:ascii="Times New Roman;sans-serif" w:hAnsi="Times New Roman;sans-serif"/>
                  <w:b w:val="false"/>
                  <w:color w:val="0000FF"/>
                  <w:sz w:val="20"/>
                  <w:u w:val="single"/>
                </w:rPr>
                <w:t>32</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ed2e1db0b514eea8067dbdd2fa15abc_121">
              <w:r>
                <w:rPr>
                  <w:rStyle w:val="InternetLink"/>
                  <w:rFonts w:ascii="Times New Roman;sans-serif" w:hAnsi="Times New Roman;sans-serif"/>
                  <w:b w:val="false"/>
                  <w:color w:val="0000FF"/>
                  <w:sz w:val="20"/>
                  <w:u w:val="single"/>
                </w:rPr>
                <w:t>Unregistered Sales of Equity Securities and Use of Proceeds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ed2e1db0b514eea8067dbdd2fa15abc_121">
              <w:r>
                <w:rPr>
                  <w:rStyle w:val="InternetLink"/>
                  <w:rFonts w:ascii="Times New Roman;sans-serif" w:hAnsi="Times New Roman;sans-serif"/>
                  <w:b w:val="false"/>
                  <w:color w:val="0000FF"/>
                  <w:sz w:val="20"/>
                  <w:u w:val="single"/>
                </w:rPr>
                <w:t>32</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ed2e1db0b514eea8067dbdd2fa15abc_124">
              <w:r>
                <w:rPr>
                  <w:rStyle w:val="InternetLink"/>
                  <w:rFonts w:ascii="Times New Roman;sans-serif" w:hAnsi="Times New Roman;sans-serif"/>
                  <w:b w:val="false"/>
                  <w:color w:val="0000FF"/>
                  <w:sz w:val="20"/>
                  <w:u w:val="single"/>
                </w:rPr>
                <w:t>Defaults Upon Senior Securities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ed2e1db0b514eea8067dbdd2fa15abc_124">
              <w:r>
                <w:rPr>
                  <w:rStyle w:val="InternetLink"/>
                  <w:rFonts w:ascii="Times New Roman;sans-serif" w:hAnsi="Times New Roman;sans-serif"/>
                  <w:b w:val="false"/>
                  <w:color w:val="0000FF"/>
                  <w:sz w:val="20"/>
                  <w:u w:val="single"/>
                </w:rPr>
                <w:t>32</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ed2e1db0b514eea8067dbdd2fa15abc_127">
              <w:r>
                <w:rPr>
                  <w:rStyle w:val="InternetLink"/>
                  <w:rFonts w:ascii="Times New Roman;sans-serif" w:hAnsi="Times New Roman;sans-serif"/>
                  <w:b w:val="false"/>
                  <w:color w:val="0000FF"/>
                  <w:sz w:val="20"/>
                  <w:u w:val="single"/>
                </w:rPr>
                <w:t>Mine Safety Disclosures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ed2e1db0b514eea8067dbdd2fa15abc_127">
              <w:r>
                <w:rPr>
                  <w:rStyle w:val="InternetLink"/>
                  <w:rFonts w:ascii="Times New Roman;sans-serif" w:hAnsi="Times New Roman;sans-serif"/>
                  <w:b w:val="false"/>
                  <w:color w:val="0000FF"/>
                  <w:sz w:val="20"/>
                  <w:u w:val="single"/>
                </w:rPr>
                <w:t>32</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ed2e1db0b514eea8067dbdd2fa15abc_130">
              <w:r>
                <w:rPr>
                  <w:rStyle w:val="InternetLink"/>
                  <w:rFonts w:ascii="Times New Roman;sans-serif" w:hAnsi="Times New Roman;sans-serif"/>
                  <w:b w:val="false"/>
                  <w:color w:val="0000FF"/>
                  <w:sz w:val="20"/>
                  <w:u w:val="single"/>
                </w:rPr>
                <w:t>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ed2e1db0b514eea8067dbdd2fa15abc_130">
              <w:r>
                <w:rPr>
                  <w:rStyle w:val="InternetLink"/>
                  <w:rFonts w:ascii="Times New Roman;sans-serif" w:hAnsi="Times New Roman;sans-serif"/>
                  <w:b w:val="false"/>
                  <w:color w:val="0000FF"/>
                  <w:sz w:val="20"/>
                  <w:u w:val="single"/>
                </w:rPr>
                <w:t>32</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ed2e1db0b514eea8067dbdd2fa15abc_133">
              <w:r>
                <w:rPr>
                  <w:rStyle w:val="InternetLink"/>
                  <w:rFonts w:ascii="Times New Roman;sans-serif" w:hAnsi="Times New Roman;sans-serif"/>
                  <w:b w:val="false"/>
                  <w:color w:val="0000FF"/>
                  <w:sz w:val="20"/>
                  <w:u w:val="single"/>
                </w:rPr>
                <w:t>Exhibits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ed2e1db0b514eea8067dbdd2fa15abc_133">
              <w:r>
                <w:rPr>
                  <w:rStyle w:val="InternetLink"/>
                  <w:rFonts w:ascii="Times New Roman;sans-serif" w:hAnsi="Times New Roman;sans-serif"/>
                  <w:b w:val="false"/>
                  <w:color w:val="0000FF"/>
                  <w:sz w:val="20"/>
                  <w:u w:val="single"/>
                </w:rPr>
                <w:t>33</w:t>
              </w:r>
            </w:hyperlink>
          </w:p>
        </w:tc>
      </w:tr>
      <w:tr>
        <w:trPr/>
        <w:tc>
          <w:tcPr>
            <w:tcW w:w="8175"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bed2e1db0b514eea8067dbdd2fa15abc_136">
              <w:r>
                <w:rPr>
                  <w:rStyle w:val="InternetLink"/>
                  <w:rFonts w:ascii="Times New Roman;sans-serif" w:hAnsi="Times New Roman;sans-serif"/>
                  <w:b w:val="false"/>
                  <w:color w:val="0000FF"/>
                  <w:sz w:val="20"/>
                  <w:u w:val="single"/>
                </w:rPr>
                <w:t>Signatures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ed2e1db0b514eea8067dbdd2fa15abc_136">
              <w:r>
                <w:rPr>
                  <w:rStyle w:val="InternetLink"/>
                  <w:rFonts w:ascii="Times New Roman;sans-serif" w:hAnsi="Times New Roman;sans-serif"/>
                  <w:b w:val="false"/>
                  <w:color w:val="0000FF"/>
                  <w:sz w:val="20"/>
                  <w:u w:val="single"/>
                </w:rPr>
                <w:t>34</w:t>
              </w:r>
            </w:hyperlink>
          </w:p>
        </w:tc>
      </w:tr>
    </w:tbl>
    <w:p>
      <w:pPr>
        <w:pStyle w:val="TextBody"/>
        <w:bidi w:val="0"/>
        <w:spacing w:lineRule="auto" w:line="288" w:before="0" w:after="0"/>
        <w:jc w:val="left"/>
        <w:rPr>
          <w:color w:val="000000"/>
        </w:rPr>
      </w:pPr>
      <w:r>
        <w:rPr>
          <w:color w:val="000000"/>
        </w:rPr>
        <w:t> </w:t>
      </w:r>
    </w:p>
    <w:p>
      <w:pPr>
        <w:pStyle w:val="TextBody"/>
        <w:bidi w:val="0"/>
        <w:spacing w:before="0" w:after="0"/>
        <w:jc w:val="center"/>
        <w:rPr/>
      </w:pPr>
      <w:r>
        <w:rPr/>
      </w:r>
    </w:p>
    <w:p>
      <w:pPr>
        <w:pStyle w:val="TextBody"/>
        <w:bidi w:val="0"/>
        <w:spacing w:before="340" w:after="3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w10:wrap type="none"/>
              </v:rect>
            </w:pict>
          </mc:Fallback>
        </mc:AlternateContent>
      </w:r>
    </w:p>
    <w:p>
      <w:pPr>
        <w:pStyle w:val="TextBody"/>
        <w:bidi w:val="0"/>
        <w:spacing w:lineRule="auto" w:line="288" w:before="0" w:after="0"/>
        <w:jc w:val="left"/>
        <w:rPr/>
      </w:pPr>
      <w:hyperlink w:anchor="ibed2e1db0b514eea8067dbdd2fa15ab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Item 1.</w:t>
      </w:r>
      <w:r>
        <w:rPr>
          <w:color w:val="000000"/>
        </w:rPr>
        <w:t xml:space="preserve"> </w:t>
      </w:r>
      <w:r>
        <w:rPr>
          <w:rFonts w:ascii="Times New Roman;sans-serif" w:hAnsi="Times New Roman;sans-serif"/>
          <w:b/>
          <w:i/>
          <w:color w:val="000000"/>
          <w:sz w:val="20"/>
        </w:rPr>
        <w:t>Unaudited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FAIR ISAAC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723"/>
        <w:gridCol w:w="2229"/>
        <w:gridCol w:w="2181"/>
        <w:gridCol w:w="211"/>
        <w:gridCol w:w="976"/>
        <w:gridCol w:w="109"/>
        <w:gridCol w:w="109"/>
        <w:gridCol w:w="109"/>
        <w:gridCol w:w="109"/>
        <w:gridCol w:w="227"/>
        <w:gridCol w:w="1053"/>
        <w:gridCol w:w="169"/>
      </w:tblGrid>
      <w:tr>
        <w:trPr/>
        <w:tc>
          <w:tcPr>
            <w:tcW w:w="2723"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21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7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r>
      <w:tr>
        <w:trPr/>
        <w:tc>
          <w:tcPr>
            <w:tcW w:w="713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7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par value data)</w:t>
            </w:r>
          </w:p>
        </w:tc>
      </w:tr>
      <w:tr>
        <w:trPr/>
        <w:tc>
          <w:tcPr>
            <w:tcW w:w="7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136,778 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387,947 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31,723</w:t>
            </w:r>
          </w:p>
        </w:tc>
      </w:tr>
      <w:tr>
        <w:trPr/>
        <w:tc>
          <w:tcPr>
            <w:tcW w:w="7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641,472 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556,448</w:t>
            </w:r>
          </w:p>
        </w:tc>
      </w:tr>
      <w:tr>
        <w:trPr/>
        <w:tc>
          <w:tcPr>
            <w:tcW w:w="7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33,014</w:t>
            </w:r>
          </w:p>
        </w:tc>
      </w:tr>
      <w:tr>
        <w:trPr/>
        <w:tc>
          <w:tcPr>
            <w:tcW w:w="7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25,703 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773,327 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59,136 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assets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114,547 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1,703,117 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1,575,281 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Stockholders’ Deficit</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employee benefits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102,471 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59,478 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136,730 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maturities on debt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315,120 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367,688 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Long-term debt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2,028,652 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1,811,658 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23,903 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60,022 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2,438,777 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2,263,271 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deficit:</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($0.01 par value; 1,000 shares authorized; none issued and outstanding)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($0.01 par value; 200,000 shares authorized, 88,857 shares issued and 24,753 and 24,770 shares outstanding at March 31, 2024 and September 30, 2023,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paid-in-capital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1,350,713 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at cost (64,104 and 64,087 shares at March 31, 2024 and September 30, 2023,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(5,558,809)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(5,324,865)</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3,638,923 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3,388,059 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(102,145)</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deficit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(735,660)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(687,990)</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deficit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1,703,117 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1,575,281 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bed2e1db0b514eea8067dbdd2fa15ab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FAIR ISAAC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INCOME AND COMPREHENSIVE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9374" w:type="dxa"/>
        <w:jc w:val="center"/>
        <w:tblInd w:w="0" w:type="dxa"/>
        <w:tblLayout w:type="fixed"/>
        <w:tblCellMar>
          <w:top w:w="28" w:type="dxa"/>
          <w:left w:w="28" w:type="dxa"/>
          <w:bottom w:w="28" w:type="dxa"/>
          <w:right w:w="28" w:type="dxa"/>
        </w:tblCellMar>
      </w:tblPr>
      <w:tblGrid>
        <w:gridCol w:w="1364"/>
        <w:gridCol w:w="1193"/>
        <w:gridCol w:w="1207"/>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364"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March 31,</w:t>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1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 share data)</w:t>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On-premises and SaaS software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299,144 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376,495 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433,809 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380,266 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815,868 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725,136 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product line asset sale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238,968 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220,505 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469,668 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425,036 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194,841 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159,761 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300,100 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303,324 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255,372 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250,864 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199,193 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255,410 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224,126 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share:</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used in computing earnings per share:</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3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25,154 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25,419 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25,186 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25,431 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80"/>
        <w:jc w:val="left"/>
        <w:rPr/>
      </w:pPr>
      <w:r>
        <w:rPr/>
      </w:r>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bed2e1db0b514eea8067dbdd2fa15ab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FAIR ISAAC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DEFICIT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1021" w:type="dxa"/>
        <w:jc w:val="center"/>
        <w:tblInd w:w="0" w:type="dxa"/>
        <w:tblLayout w:type="fixed"/>
        <w:tblCellMar>
          <w:top w:w="28" w:type="dxa"/>
          <w:left w:w="28" w:type="dxa"/>
          <w:bottom w:w="28" w:type="dxa"/>
          <w:right w:w="28" w:type="dxa"/>
        </w:tblCellMar>
      </w:tblPr>
      <w:tblGrid>
        <w:gridCol w:w="544"/>
        <w:gridCol w:w="268"/>
        <w:gridCol w:w="269"/>
        <w:gridCol w:w="323"/>
        <w:gridCol w:w="323"/>
        <w:gridCol w:w="196"/>
        <w:gridCol w:w="109"/>
        <w:gridCol w:w="109"/>
        <w:gridCol w:w="109"/>
        <w:gridCol w:w="227"/>
        <w:gridCol w:w="487"/>
        <w:gridCol w:w="127"/>
        <w:gridCol w:w="109"/>
        <w:gridCol w:w="109"/>
        <w:gridCol w:w="109"/>
        <w:gridCol w:w="205"/>
        <w:gridCol w:w="911"/>
        <w:gridCol w:w="115"/>
        <w:gridCol w:w="109"/>
        <w:gridCol w:w="109"/>
        <w:gridCol w:w="109"/>
        <w:gridCol w:w="196"/>
        <w:gridCol w:w="911"/>
        <w:gridCol w:w="109"/>
        <w:gridCol w:w="109"/>
        <w:gridCol w:w="109"/>
        <w:gridCol w:w="109"/>
        <w:gridCol w:w="196"/>
        <w:gridCol w:w="871"/>
        <w:gridCol w:w="109"/>
        <w:gridCol w:w="109"/>
        <w:gridCol w:w="109"/>
        <w:gridCol w:w="109"/>
        <w:gridCol w:w="284"/>
        <w:gridCol w:w="1088"/>
        <w:gridCol w:w="159"/>
        <w:gridCol w:w="109"/>
        <w:gridCol w:w="109"/>
        <w:gridCol w:w="109"/>
        <w:gridCol w:w="196"/>
        <w:gridCol w:w="791"/>
        <w:gridCol w:w="154"/>
      </w:tblGrid>
      <w:tr>
        <w:trPr/>
        <w:tc>
          <w:tcPr>
            <w:tcW w:w="54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 Deficit</w:t>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w:t>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2023</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24,879 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1,239,131 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(5,380,827)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3,509,124 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(93,442)</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(725,765)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35,448 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treasury stock under employee stock plans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6,998 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Repurchases of common stock</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(179,548)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(179,549)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129,799 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 adjustments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(4,157)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March 31, 2024</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24,753 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1,281,577 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(5,558,809)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3,638,923 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(97,599)</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(735,660)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 Deficit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w:t>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2022</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25,155 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1,244,271 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(4,996,624)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3,056,327 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(106,321)</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(802,095)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27,053 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treasury stock under employee stock plans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9,946 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Repurchases of common stock</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(116,265)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(116,267)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101,550 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 adjustments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6,552 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March 31, 2023</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25,016 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1,281,270 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(5,110,421)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3,157,877 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(99,769)</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(770,793)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 Deficit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w:t>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September 30, 2023</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24,770 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1,350,713 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(5,324,865)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3,388,059 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(102,145)</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(687,990)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67,022 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67,022 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treasury stock under employee stock plans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(136,158)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(118,849)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Repurchases of common stock</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(251,251)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(251,253)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250,864 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 adjustments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4,546 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March 31, 2024</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24,753 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1,281,577 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(5,558,809)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3,638,923 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(97,599)</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(735,660)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 Deficit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w:t>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September 30, 2022</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25,154 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1,299,588 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(4,935,769)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2,958,684 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(124,702)</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(801,947)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56,755 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56,755 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treasury stock under employee stock plans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(75,073)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(58,456)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Repurchases of common stock</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(191,267)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(191,271)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199,193 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 adjustments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24,933 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March 31, 2023</w:t>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25,016 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1,281,270 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(5,110,421)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3,157,877 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(99,769)</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(770,793)</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bed2e1db0b514eea8067dbdd2fa15ab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FAIR ISAAC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803"/>
        <w:gridCol w:w="2361"/>
        <w:gridCol w:w="2376"/>
        <w:gridCol w:w="211"/>
        <w:gridCol w:w="826"/>
        <w:gridCol w:w="109"/>
        <w:gridCol w:w="109"/>
        <w:gridCol w:w="109"/>
        <w:gridCol w:w="109"/>
        <w:gridCol w:w="211"/>
        <w:gridCol w:w="826"/>
        <w:gridCol w:w="155"/>
      </w:tblGrid>
      <w:tr>
        <w:trPr/>
        <w:tc>
          <w:tcPr>
            <w:tcW w:w="2803" w:type="dxa"/>
            <w:tcBorders/>
            <w:vAlign w:val="center"/>
          </w:tcPr>
          <w:p>
            <w:pPr>
              <w:pStyle w:val="TableContents"/>
              <w:bidi w:val="0"/>
              <w:spacing w:before="0" w:after="283"/>
              <w:jc w:val="left"/>
              <w:rPr>
                <w:sz w:val="4"/>
                <w:szCs w:val="4"/>
              </w:rPr>
            </w:pPr>
            <w:r>
              <w:rPr>
                <w:sz w:val="4"/>
                <w:szCs w:val="4"/>
              </w:rPr>
            </w:r>
          </w:p>
        </w:tc>
        <w:tc>
          <w:tcPr>
            <w:tcW w:w="2361" w:type="dxa"/>
            <w:tcBorders/>
            <w:vAlign w:val="center"/>
          </w:tcPr>
          <w:p>
            <w:pPr>
              <w:pStyle w:val="TableContents"/>
              <w:bidi w:val="0"/>
              <w:spacing w:before="0" w:after="283"/>
              <w:jc w:val="left"/>
              <w:rPr>
                <w:sz w:val="4"/>
                <w:szCs w:val="4"/>
              </w:rPr>
            </w:pPr>
            <w:r>
              <w:rPr>
                <w:sz w:val="4"/>
                <w:szCs w:val="4"/>
              </w:rPr>
            </w:r>
          </w:p>
        </w:tc>
        <w:tc>
          <w:tcPr>
            <w:tcW w:w="2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March 31,</w:t>
            </w:r>
          </w:p>
        </w:tc>
      </w:tr>
      <w:tr>
        <w:trPr/>
        <w:tc>
          <w:tcPr>
            <w:tcW w:w="75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75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199,193 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provided by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56,755 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(18,360)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 on marketable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operating lease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doubtful accounts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product line asset sale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on sales and abandonment of property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employee benefits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(32,318)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operating activities </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182,244 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internal-use software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sales of marketable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marketable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transferred, net of proceeds, from product line asset sale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(11,887)</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revolving line of credit and term loan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on revolving line of credit and term loan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(158,500)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on finance leases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treasury stock under employee stock plans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paid related to net share settlement of equity awards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(133,786)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(73,672)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Repurchases of common stock</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(243,473)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(184,290)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financing activities </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(173,245)</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Effect of exchange rate changes on cash</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cash and cash equivalents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beginning of period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133,202 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137,771 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disclosures of cash flow information:</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income taxes, net of refunds of $320 and $548 during the six-month periods ended March 31, 2024 and 2023, respectively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46,801 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disclosures of non-cash investing and financing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property and equipment included in 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Unsettled repurchases of common stock</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obligations incurred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bed2e1db0b514eea8067dbdd2fa15ab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FAIR ISAAC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 Nature of Business</w:t>
      </w:r>
    </w:p>
    <w:p>
      <w:pPr>
        <w:pStyle w:val="TextBody"/>
        <w:bidi w:val="0"/>
        <w:spacing w:lineRule="auto" w:line="288" w:before="120" w:after="283"/>
        <w:ind w:left="0" w:right="0" w:firstLine="225"/>
        <w:jc w:val="left"/>
        <w:rPr>
          <w:rFonts w:ascii="Times New Roman;sans-serif" w:hAnsi="Times New Roman;sans-serif"/>
          <w:b/>
          <w:i/>
          <w:color w:val="000000"/>
          <w:sz w:val="20"/>
        </w:rPr>
      </w:pPr>
      <w:r>
        <w:rPr>
          <w:rFonts w:ascii="Times New Roman;sans-serif" w:hAnsi="Times New Roman;sans-serif"/>
          <w:b/>
          <w:i/>
          <w:color w:val="000000"/>
          <w:sz w:val="20"/>
        </w:rPr>
        <w:t>Fair Isaac Corporation</w:t>
      </w:r>
    </w:p>
    <w:p>
      <w:pPr>
        <w:pStyle w:val="TextBody"/>
        <w:bidi w:val="0"/>
        <w:spacing w:lineRule="auto" w:line="288" w:before="120" w:after="283"/>
        <w:ind w:left="0" w:right="0" w:firstLine="360"/>
        <w:jc w:val="both"/>
        <w:rPr/>
      </w:pPr>
      <w:r>
        <w:rPr>
          <w:rFonts w:ascii="Times New Roman;sans-serif" w:hAnsi="Times New Roman;sans-serif"/>
          <w:b w:val="false"/>
          <w:color w:val="000000"/>
          <w:sz w:val="20"/>
        </w:rPr>
        <w:t>Fair Isaac Corporation (NYSE: FICO) (together with its consolidated subsidiaries, the “Company,” which may also be referred to in this report as “we,” “us,” “our,” or “FICO”) is a leading applied analytics company. We were founded in 1956 on the premise that data, used intelligently, can improve business decisions. Today, FICO’s software and the widely used FICO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Score operationalize analytics, enabling thousands of businesses in more than 100 countries to uncover new opportunities, make timely decisions that matter, and execute them at scale. Most leading banks and credit card issuers rely on our solutions, as do insurers, retailers, telecommunications providers, automotive lenders, consumer reporting agencies, public agencies, and organizations in other industries. We also serve consumers through online services that enable people to access and understand their FICO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Scores — the standard measure in the U.S. of consumer credit risk — empowering them to increase financial literacy and manage their financial health.</w:t>
      </w:r>
    </w:p>
    <w:p>
      <w:pPr>
        <w:pStyle w:val="TextBody"/>
        <w:bidi w:val="0"/>
        <w:spacing w:lineRule="auto" w:line="288" w:before="36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Principles of Consolidation and Basis of Presentation</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have prepared the accompanying unaudited interim condensed consolidated financial statements in accordance with the instructions to Form 10-Q and the applicable accounting guidance. Consequently, we have not necessarily included all information and footnotes required for audited financial statements. In our opinion, the accompanying unaudited interim condensed consolidated financial statements reflect all adjustments (consisting only of normal recurring adjustments, except as otherwise indicated) necessary for a fair presentation of our financial position and results of operations. These unaudited condensed consolidated financial statements and notes thereto should be read in conjunction with our audited consolidated financial statements and notes thereto presented in our Annual Report on Form 10-K for the fiscal year ended September 30, 2023. The interim financial information contained in this report is not necessarily indicative of the results to be expected for any other interim period or for the entire fiscal year.</w:t>
      </w:r>
    </w:p>
    <w:p>
      <w:pPr>
        <w:pStyle w:val="TextBody"/>
        <w:bidi w:val="0"/>
        <w:spacing w:lineRule="auto" w:line="288" w:before="180" w:after="20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financial statements include the accounts of FICO and its subsidiaries. All intercompany accounts and transactions have been eliminated.</w:t>
      </w:r>
    </w:p>
    <w:p>
      <w:pPr>
        <w:pStyle w:val="TextBody"/>
        <w:bidi w:val="0"/>
        <w:spacing w:lineRule="auto" w:line="288" w:before="36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make estimates and assumptions that affect the amounts reported in the condensed consolidated financial statements and the disclosures made in the accompanying notes. For example, we use estimates in determining the appropriate levels of various accruals; variable considerations included in the transaction price and standalone selling price of each performance obligation for our customer contracts; labor hours in connection with fixed-fee service contracts; the amount of our tax provision; and the realizability of deferred tax assets. We also use estimates in determining the remaining economic lives and carrying values of acquired intangible assets, property and equipment, and other long-lived assets. In addition, we use assumptions to estimate the fair value of reporting units and share-based compensation. Actual results may differ from our estimates.</w:t>
      </w:r>
    </w:p>
    <w:p>
      <w:pPr>
        <w:pStyle w:val="TextBody"/>
        <w:bidi w:val="0"/>
        <w:spacing w:lineRule="auto" w:line="288" w:before="36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New Accounting Pronouncements</w:t>
      </w:r>
    </w:p>
    <w:p>
      <w:pPr>
        <w:pStyle w:val="TextBody"/>
        <w:bidi w:val="0"/>
        <w:spacing w:lineRule="auto" w:line="288" w:before="180" w:after="283"/>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Recent Accounting Pronouncements Adopted</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In October 2021, the Financial Accounting Standards Board (“FASB”) issued Accounting Standards Update (“ASU”) No. 2021-08, “</w:t>
      </w:r>
      <w:r>
        <w:rPr>
          <w:rFonts w:ascii="Times New Roman;sans-serif" w:hAnsi="Times New Roman;sans-serif"/>
          <w:b w:val="false"/>
          <w:i/>
          <w:color w:val="000000"/>
          <w:sz w:val="20"/>
        </w:rPr>
        <w:t>Business Combinations (Topic 805): Accounting for Contract Assets and Contract Liabilities from Contracts with Customers</w:t>
      </w:r>
      <w:r>
        <w:rPr>
          <w:color w:val="000000"/>
        </w:rPr>
        <w:t>” </w:t>
      </w:r>
      <w:r>
        <w:rPr>
          <w:rFonts w:ascii="Times New Roman;sans-serif" w:hAnsi="Times New Roman;sans-serif"/>
          <w:b w:val="false"/>
          <w:color w:val="000000"/>
          <w:sz w:val="20"/>
        </w:rPr>
        <w:t xml:space="preserve">(“ASU 2021-08”). ASU 2021-08 requires an acquirer in a business combination to recognize and measure contract assets and contract liabilities from acquired contracts using the revenue recognition guidance under Accounting Standards Codification Topic 606, </w:t>
      </w:r>
      <w:r>
        <w:rPr>
          <w:rFonts w:ascii="Times New Roman;sans-serif" w:hAnsi="Times New Roman;sans-serif"/>
          <w:b w:val="false"/>
          <w:i/>
          <w:color w:val="000000"/>
          <w:sz w:val="20"/>
        </w:rPr>
        <w:t>Revenue from Contacts with Customers</w:t>
      </w:r>
      <w:r>
        <w:rPr>
          <w:rFonts w:ascii="Times New Roman;sans-serif" w:hAnsi="Times New Roman;sans-serif"/>
          <w:b w:val="false"/>
          <w:color w:val="000000"/>
          <w:sz w:val="20"/>
        </w:rPr>
        <w:t>, in order to align the recognition of a contract liability with the definition of a performance obligation. We adopted ASU 2021-08 in the first quarter of fiscal 2024 and the adoption did not have a significant impact on our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bed2e1db0b514eea8067dbdd2fa15ab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Recent Accounting Pronouncements Not Yet Adopted</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In November 2023, the FASB issued ASU No. 2023-07, “</w:t>
      </w:r>
      <w:r>
        <w:rPr>
          <w:rFonts w:ascii="Times New Roman;sans-serif" w:hAnsi="Times New Roman;sans-serif"/>
          <w:b w:val="false"/>
          <w:i/>
          <w:color w:val="000000"/>
          <w:sz w:val="20"/>
        </w:rPr>
        <w:t>Segment Reporting (Topic 280): Improvements to Reportable Segment Disclosures</w:t>
      </w:r>
      <w:r>
        <w:rPr>
          <w:color w:val="000000"/>
        </w:rPr>
        <w:t>” </w:t>
      </w:r>
      <w:r>
        <w:rPr>
          <w:rFonts w:ascii="Times New Roman;sans-serif" w:hAnsi="Times New Roman;sans-serif"/>
          <w:b w:val="false"/>
          <w:color w:val="000000"/>
          <w:sz w:val="20"/>
        </w:rPr>
        <w:t>(“ASU 2023-07”). ASU 2023-07 expands annual and interim disclosure requirements for reportable segments, primarily through enhanced disclosures about significant segment expenses. The standard is effective for fiscal years beginning after December 15, 2023, and interim periods within fiscal years beginning after December 15, 2024, which means that it will be effective for our annual periods beginning October 1, 2024, and our interim periods beginning October 1, 2025. Early adoption is permitted. We are currently evaluating the impact that the updated standard will have on our disclosures within our consolidated financial statements.</w:t>
      </w:r>
    </w:p>
    <w:p>
      <w:pPr>
        <w:pStyle w:val="TextBody"/>
        <w:bidi w:val="0"/>
        <w:spacing w:lineRule="auto" w:line="288" w:before="180" w:after="283"/>
        <w:ind w:left="0" w:right="0" w:firstLine="450"/>
        <w:jc w:val="both"/>
        <w:rPr/>
      </w:pPr>
      <w:r>
        <w:rPr>
          <w:rFonts w:ascii="Times New Roman;sans-serif" w:hAnsi="Times New Roman;sans-serif"/>
          <w:b w:val="false"/>
          <w:color w:val="000000"/>
          <w:sz w:val="20"/>
        </w:rPr>
        <w:t>In December 2023, the FASB issued ASU No. 2023-09, “</w:t>
      </w:r>
      <w:r>
        <w:rPr>
          <w:rFonts w:ascii="Times New Roman;sans-serif" w:hAnsi="Times New Roman;sans-serif"/>
          <w:b w:val="false"/>
          <w:i/>
          <w:color w:val="000000"/>
          <w:sz w:val="20"/>
        </w:rPr>
        <w:t>Income Taxes (Topic 740): Improvements to Income Tax Disclosures</w:t>
      </w:r>
      <w:r>
        <w:rPr>
          <w:color w:val="000000"/>
        </w:rPr>
        <w:t>” </w:t>
      </w:r>
      <w:r>
        <w:rPr>
          <w:rFonts w:ascii="Times New Roman;sans-serif" w:hAnsi="Times New Roman;sans-serif"/>
          <w:b w:val="false"/>
          <w:color w:val="000000"/>
          <w:sz w:val="20"/>
        </w:rPr>
        <w:t>(“ASU 2023-09”). ASU 2023-09 requires disaggregated information about a reporting entity’s effective tax rate reconciliation as well as disaggregated information on income tax paid. The standard is effective for fiscal years beginning after December 15, 2024, which means that it will be effective for our fiscal years beginning October 1, 2025. Early adoption is permitted. We are currently evaluating the impact that the updated standard will have on our disclosures within our consolidated financial statements.</w:t>
      </w:r>
    </w:p>
    <w:p>
      <w:pPr>
        <w:pStyle w:val="TextBody"/>
        <w:bidi w:val="0"/>
        <w:spacing w:lineRule="auto" w:line="288" w:before="180" w:after="283"/>
        <w:ind w:left="0" w:right="0" w:firstLine="450"/>
        <w:jc w:val="both"/>
        <w:rPr/>
      </w:pPr>
      <w:r>
        <w:rPr>
          <w:rFonts w:ascii="Times New Roman;sans-serif" w:hAnsi="Times New Roman;sans-serif"/>
          <w:b w:val="false"/>
          <w:color w:val="000000"/>
          <w:sz w:val="20"/>
        </w:rPr>
        <w:t xml:space="preserve">In March 2024, the Securities and Exchange Commission (“SEC”) issued Final Rule Release No. 33-11275, </w:t>
      </w:r>
      <w:r>
        <w:rPr>
          <w:color w:val="000000"/>
        </w:rPr>
        <w:t>“</w:t>
      </w:r>
      <w:r>
        <w:rPr>
          <w:rFonts w:ascii="Times New Roman;sans-serif" w:hAnsi="Times New Roman;sans-serif"/>
          <w:b w:val="false"/>
          <w:i/>
          <w:color w:val="000000"/>
          <w:sz w:val="20"/>
        </w:rPr>
        <w:t>The Enhancement and Standardization of Climate-Related Disclosures for Investors.”</w:t>
      </w:r>
      <w:r>
        <w:rPr>
          <w:color w:val="000000"/>
        </w:rPr>
        <w:t xml:space="preserve"> </w:t>
      </w:r>
      <w:r>
        <w:rPr>
          <w:rFonts w:ascii="Times New Roman;sans-serif" w:hAnsi="Times New Roman;sans-serif"/>
          <w:b w:val="false"/>
          <w:color w:val="000000"/>
          <w:sz w:val="20"/>
        </w:rPr>
        <w:t xml:space="preserve">This rule will require registrants to provide certain climate disclosures in their annual reports, including certain climate-related financial metrics in their audited financial statements. The rule is effective for large accelerated filers beginning with annual reports for the fiscal year beginning in 2025, which means that it will be effective for our fiscal years beginning October 1, 2025. We are currently evaluating the impact that the final rule will have on our disclosures within our consolidated financial statements. </w:t>
      </w:r>
    </w:p>
    <w:p>
      <w:pPr>
        <w:pStyle w:val="TextBody"/>
        <w:bidi w:val="0"/>
        <w:spacing w:lineRule="auto" w:line="288" w:before="180" w:after="20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do not expect that any other recently issued accounting pronouncements will have a significant effect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2. Fair Value Measurements</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Fair value is defined as the price that would be received from the sale of an asset or paid to transfer a liability (an exit price) in the principal or most advantageous market for the asset or liability in an orderly transaction between market participants on the measurement date. The accounting guidance establishes a three-level hierarchy for disclosure that is based on the extent and level of judgment used to estimate the fair value of assets and liabilities.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Level 1 — uses unadjusted quoted prices that are available in active markets for identical assets or liabilities. Our Level 1 assets were comprised of money market funds and certain marketable securities and our Level 1 liabilities included senior notes as of March 31, 2024 and September 30, 2023.</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Level 2 — uses inputs other than quoted prices included in Level 1 that are either directly or indirectly observable through correlation with market data. These include quoted prices for similar assets or liabilities in active markets; quoted prices for identical or similar assets or liabilities in markets that are not active; and inputs to valuation models or other pricing methodologies that do not require significant judgment because the inputs used in the model, such as interest rates and volatility, can be corroborated by readily observable market data. We did not have any assets or liabilities that are valued using inputs identified under a Level 2 hierarchy as of March 31, 2024 and September 30, 2023.</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Level 3 — uses one or more significant inputs that are unobservable and supported by little or no market activity, and that reflect the use of significant management judgment. Level 3 assets and liabilities include those whose fair value measurements are determined using pricing models, discounted cash flow methodologies or similar valuation techniques, and significant management judgment or estimation. We did not have any assets or liabilities that are valued using inputs identified under a Level 3 hierarchy as of March 31, 2024 and September 30,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bed2e1db0b514eea8067dbdd2fa15ab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represent financial assets that we measured at fair value on a recurring basis at March 31, 2024 and September 30, 2023:</w:t>
      </w:r>
    </w:p>
    <w:tbl>
      <w:tblPr>
        <w:tblW w:w="6837" w:type="dxa"/>
        <w:jc w:val="left"/>
        <w:tblInd w:w="0" w:type="dxa"/>
        <w:tblLayout w:type="fixed"/>
        <w:tblCellMar>
          <w:top w:w="28" w:type="dxa"/>
          <w:left w:w="28" w:type="dxa"/>
          <w:bottom w:w="28" w:type="dxa"/>
          <w:right w:w="28" w:type="dxa"/>
        </w:tblCellMar>
      </w:tblPr>
      <w:tblGrid>
        <w:gridCol w:w="747"/>
        <w:gridCol w:w="657"/>
        <w:gridCol w:w="665"/>
        <w:gridCol w:w="331"/>
        <w:gridCol w:w="1133"/>
        <w:gridCol w:w="172"/>
        <w:gridCol w:w="109"/>
        <w:gridCol w:w="109"/>
        <w:gridCol w:w="109"/>
        <w:gridCol w:w="543"/>
        <w:gridCol w:w="1863"/>
        <w:gridCol w:w="399"/>
      </w:tblGrid>
      <w:tr>
        <w:trPr/>
        <w:tc>
          <w:tcPr>
            <w:tcW w:w="74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863"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March 31, 2024</w:t>
            </w:r>
          </w:p>
        </w:tc>
        <w:tc>
          <w:tcPr>
            <w:tcW w:w="1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Active Markets for</w:t>
              <w:br/>
              <w:t>Identical Instruments</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Fair Value as of </w:t>
              <w:br/>
              <w:t>March 31, 2024</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Cash equivalents </w:t>
            </w:r>
            <w:r>
              <w:rPr>
                <w:rFonts w:ascii="Times New Roman;sans-serif" w:hAnsi="Times New Roman;sans-serif"/>
                <w:b w:val="false"/>
                <w:color w:val="000000"/>
                <w:sz w:val="13"/>
              </w:rPr>
              <w:t>(1)</w:t>
            </w:r>
          </w:p>
        </w:tc>
        <w:tc>
          <w:tcPr>
            <w:tcW w:w="33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19,165 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6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19,165 </w:t>
            </w:r>
          </w:p>
        </w:tc>
        <w:tc>
          <w:tcPr>
            <w:tcW w:w="3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Marketable securities </w:t>
            </w:r>
            <w:r>
              <w:rPr>
                <w:rFonts w:ascii="Times New Roman;sans-serif" w:hAnsi="Times New Roman;sans-serif"/>
                <w:b w:val="false"/>
                <w:color w:val="000000"/>
                <w:sz w:val="13"/>
              </w:rPr>
              <w:t>(2)</w:t>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41,407 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41,407 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60,572 </w:t>
            </w:r>
          </w:p>
        </w:tc>
        <w:tc>
          <w:tcPr>
            <w:tcW w:w="1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6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60,572 </w:t>
            </w:r>
          </w:p>
        </w:tc>
        <w:tc>
          <w:tcPr>
            <w:tcW w:w="39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1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Active Markets for</w:t>
              <w:br/>
              <w:t>Identical Instruments</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as of September 30, 2023</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Cash equivalents </w:t>
            </w:r>
            <w:r>
              <w:rPr>
                <w:rFonts w:ascii="Times New Roman;sans-serif" w:hAnsi="Times New Roman;sans-serif"/>
                <w:b w:val="false"/>
                <w:color w:val="000000"/>
                <w:sz w:val="13"/>
              </w:rPr>
              <w:t>(1)</w:t>
            </w:r>
          </w:p>
        </w:tc>
        <w:tc>
          <w:tcPr>
            <w:tcW w:w="33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23,621 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6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23,621 </w:t>
            </w:r>
          </w:p>
        </w:tc>
        <w:tc>
          <w:tcPr>
            <w:tcW w:w="3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Marketable securities </w:t>
            </w:r>
            <w:r>
              <w:rPr>
                <w:rFonts w:ascii="Times New Roman;sans-serif" w:hAnsi="Times New Roman;sans-serif"/>
                <w:b w:val="false"/>
                <w:color w:val="000000"/>
                <w:sz w:val="13"/>
              </w:rPr>
              <w:t>(2)</w:t>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33,014 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33,014 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56,635 </w:t>
            </w:r>
          </w:p>
        </w:tc>
        <w:tc>
          <w:tcPr>
            <w:tcW w:w="17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6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56,635 </w:t>
            </w:r>
          </w:p>
        </w:tc>
        <w:tc>
          <w:tcPr>
            <w:tcW w:w="39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(1)Included in cash and cash equivalents on our condensed consolidated balance sheets at March 31, 2024 and September 30, 2023. Not included in these tables are cash deposits of $116.5 million and $113.2 million at March 31, 2024 and September 30, 2023, respectively.</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(2)Represents securities held under a supplemental retirement and savings plan for certain officers and senior management employees, which are distributed upon termination or retirement of the employees. Included in marketable securities on our condensed consolidated balance sheets at March 31, 2024 and September 30, 2023.</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See Note 6 for the fair value of our senior notes.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transfers between Level 1, Level 2, and Level 3 of the fair value hierarchy during the quarters and six-month periods ended March 31, 2024 and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3. Derivative Financial Instruments</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use derivative instruments to manage risks caused by fluctuations in foreign exchange rates. The primary objective of our derivative instruments is to protect the value of foreign-currency-denominated receivable and cash balances from the effects of volatility in foreign exchange rates that might occur prior to conversion to their functional currencies. We principally utilize foreign currency forward contracts, which enable us to buy and sell foreign currencies in the future at fixed exchange rates and economically offset changes in foreign exchange rates. We routinely enter into contracts to offset exposures denominated in the British pound, Euro, and Singapore dollar.</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Foreign currency-denominated receivable and cash balances are remeasured at foreign exchange rates in effect on the balance sheet date with the effects of changes in foreign exchange rates reported in other income, net. The forward contracts are not designated as hedges and are marked to market through other income, net. Fair value changes in the forward contracts help mitigate the changes in the value of the remeasured receivable and cash balances attributable to changes in foreign exchange rates. The forward contracts are short-term in nature and typically have average maturities at inception of less than three months.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bed2e1db0b514eea8067dbdd2fa15ab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18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our outstanding foreign currency forward contracts, by currency, at March 31, 2024 and September 30, 2023:</w:t>
      </w:r>
    </w:p>
    <w:tbl>
      <w:tblPr>
        <w:tblW w:w="6034" w:type="dxa"/>
        <w:jc w:val="left"/>
        <w:tblInd w:w="0" w:type="dxa"/>
        <w:tblLayout w:type="fixed"/>
        <w:tblCellMar>
          <w:top w:w="28" w:type="dxa"/>
          <w:left w:w="28" w:type="dxa"/>
          <w:bottom w:w="28" w:type="dxa"/>
          <w:right w:w="28" w:type="dxa"/>
        </w:tblCellMar>
      </w:tblPr>
      <w:tblGrid>
        <w:gridCol w:w="728"/>
        <w:gridCol w:w="640"/>
        <w:gridCol w:w="642"/>
        <w:gridCol w:w="180"/>
        <w:gridCol w:w="180"/>
        <w:gridCol w:w="181"/>
        <w:gridCol w:w="360"/>
        <w:gridCol w:w="361"/>
        <w:gridCol w:w="136"/>
        <w:gridCol w:w="109"/>
        <w:gridCol w:w="109"/>
        <w:gridCol w:w="109"/>
        <w:gridCol w:w="211"/>
        <w:gridCol w:w="721"/>
        <w:gridCol w:w="109"/>
        <w:gridCol w:w="109"/>
        <w:gridCol w:w="109"/>
        <w:gridCol w:w="109"/>
        <w:gridCol w:w="254"/>
        <w:gridCol w:w="490"/>
        <w:gridCol w:w="187"/>
      </w:tblGrid>
      <w:tr>
        <w:trPr/>
        <w:tc>
          <w:tcPr>
            <w:tcW w:w="72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24"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66"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Contract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9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w:t>
              <w:br/>
              <w:t>Currency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USD</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24"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 foreign currency:</w:t>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 (EUR)</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 </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Buy foreign currency:</w:t>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British pound (GBP)</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GBP </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Singapore dollar (SGD)</w:t>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SGD</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034" w:type="dxa"/>
        <w:jc w:val="left"/>
        <w:tblInd w:w="0" w:type="dxa"/>
        <w:tblLayout w:type="fixed"/>
        <w:tblCellMar>
          <w:top w:w="28" w:type="dxa"/>
          <w:left w:w="28" w:type="dxa"/>
          <w:bottom w:w="28" w:type="dxa"/>
          <w:right w:w="28" w:type="dxa"/>
        </w:tblCellMar>
      </w:tblPr>
      <w:tblGrid>
        <w:gridCol w:w="728"/>
        <w:gridCol w:w="640"/>
        <w:gridCol w:w="642"/>
        <w:gridCol w:w="180"/>
        <w:gridCol w:w="180"/>
        <w:gridCol w:w="181"/>
        <w:gridCol w:w="360"/>
        <w:gridCol w:w="361"/>
        <w:gridCol w:w="136"/>
        <w:gridCol w:w="109"/>
        <w:gridCol w:w="109"/>
        <w:gridCol w:w="109"/>
        <w:gridCol w:w="211"/>
        <w:gridCol w:w="721"/>
        <w:gridCol w:w="109"/>
        <w:gridCol w:w="109"/>
        <w:gridCol w:w="109"/>
        <w:gridCol w:w="109"/>
        <w:gridCol w:w="254"/>
        <w:gridCol w:w="490"/>
        <w:gridCol w:w="187"/>
      </w:tblGrid>
      <w:tr>
        <w:trPr/>
        <w:tc>
          <w:tcPr>
            <w:tcW w:w="72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24"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66"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Contract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9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w:t>
              <w:br/>
              <w:t>Currency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USD</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24"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 foreign currency:</w:t>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 (EUR)</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 </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Buy foreign currency:</w:t>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British pound (GBP)</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GBP </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Singapore dollar (SGD)</w:t>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SGD</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foreign currency forward contracts were entered into on March 31, 2024 and September 30, 2023; therefore, their fair value was $0 on each of these dates.</w:t>
      </w:r>
    </w:p>
    <w:p>
      <w:pPr>
        <w:pStyle w:val="TextBody"/>
        <w:bidi w:val="0"/>
        <w:spacing w:lineRule="auto" w:line="288" w:before="180" w:after="18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Gains (losses) on derivative financial instruments were recorded in our condensed consolidated statements of income and comprehensive income as a component of other income, net, and consisted of the following: </w:t>
      </w:r>
    </w:p>
    <w:tbl>
      <w:tblPr>
        <w:tblW w:w="8873" w:type="dxa"/>
        <w:jc w:val="left"/>
        <w:tblInd w:w="0" w:type="dxa"/>
        <w:tblLayout w:type="fixed"/>
        <w:tblCellMar>
          <w:top w:w="28" w:type="dxa"/>
          <w:left w:w="28" w:type="dxa"/>
          <w:bottom w:w="28" w:type="dxa"/>
          <w:right w:w="28" w:type="dxa"/>
        </w:tblCellMar>
      </w:tblPr>
      <w:tblGrid>
        <w:gridCol w:w="1559"/>
        <w:gridCol w:w="1368"/>
        <w:gridCol w:w="1378"/>
        <w:gridCol w:w="213"/>
        <w:gridCol w:w="547"/>
        <w:gridCol w:w="110"/>
        <w:gridCol w:w="110"/>
        <w:gridCol w:w="110"/>
        <w:gridCol w:w="110"/>
        <w:gridCol w:w="213"/>
        <w:gridCol w:w="471"/>
        <w:gridCol w:w="110"/>
        <w:gridCol w:w="109"/>
        <w:gridCol w:w="109"/>
        <w:gridCol w:w="109"/>
        <w:gridCol w:w="226"/>
        <w:gridCol w:w="500"/>
        <w:gridCol w:w="117"/>
        <w:gridCol w:w="117"/>
        <w:gridCol w:w="117"/>
        <w:gridCol w:w="117"/>
        <w:gridCol w:w="226"/>
        <w:gridCol w:w="662"/>
        <w:gridCol w:w="165"/>
      </w:tblGrid>
      <w:tr>
        <w:trPr/>
        <w:tc>
          <w:tcPr>
            <w:tcW w:w="1559"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March 31,</w:t>
            </w:r>
          </w:p>
        </w:tc>
      </w:tr>
      <w:tr>
        <w:trPr/>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6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180" w:after="300"/>
              <w:jc w:val="both"/>
              <w:rPr>
                <w:rFonts w:ascii="Times New Roman;sans-serif" w:hAnsi="Times New Roman;sans-serif"/>
                <w:b w:val="false"/>
                <w:color w:val="000000"/>
                <w:sz w:val="20"/>
              </w:rPr>
            </w:pPr>
            <w:r>
              <w:rPr>
                <w:rFonts w:ascii="Times New Roman;sans-serif" w:hAnsi="Times New Roman;sans-serif"/>
                <w:b w:val="false"/>
                <w:color w:val="000000"/>
                <w:sz w:val="20"/>
              </w:rPr>
              <w:t>Gains (losses) on foreign currency forward contracts</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4. Goodwill</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changes to goodwill during the six months ended March 31, 2024, both in total and as allocated to our segments. As of March 31, 2024, there was no accumulated goodwill impairment loss.</w:t>
      </w:r>
    </w:p>
    <w:tbl>
      <w:tblPr>
        <w:tblW w:w="7497" w:type="dxa"/>
        <w:jc w:val="left"/>
        <w:tblInd w:w="0" w:type="dxa"/>
        <w:tblLayout w:type="fixed"/>
        <w:tblCellMar>
          <w:top w:w="28" w:type="dxa"/>
          <w:left w:w="28" w:type="dxa"/>
          <w:bottom w:w="28" w:type="dxa"/>
          <w:right w:w="28" w:type="dxa"/>
        </w:tblCellMar>
      </w:tblPr>
      <w:tblGrid>
        <w:gridCol w:w="1218"/>
        <w:gridCol w:w="1070"/>
        <w:gridCol w:w="1072"/>
        <w:gridCol w:w="211"/>
        <w:gridCol w:w="826"/>
        <w:gridCol w:w="109"/>
        <w:gridCol w:w="109"/>
        <w:gridCol w:w="109"/>
        <w:gridCol w:w="109"/>
        <w:gridCol w:w="211"/>
        <w:gridCol w:w="826"/>
        <w:gridCol w:w="109"/>
        <w:gridCol w:w="109"/>
        <w:gridCol w:w="109"/>
        <w:gridCol w:w="109"/>
        <w:gridCol w:w="211"/>
        <w:gridCol w:w="826"/>
        <w:gridCol w:w="154"/>
      </w:tblGrid>
      <w:tr>
        <w:trPr/>
        <w:tc>
          <w:tcPr>
            <w:tcW w:w="1218"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Scores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Software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September 30, 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773,327 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March 31, 2024</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629,728 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776,376 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bed2e1db0b514eea8067dbdd2fa15ab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5. Composition of Certain Financial Statement Captions</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composition of property and equipment, net and other accrued liabilities at March 31, 2024 and September 30, 2023:</w:t>
      </w:r>
    </w:p>
    <w:tbl>
      <w:tblPr>
        <w:tblW w:w="7083" w:type="dxa"/>
        <w:jc w:val="left"/>
        <w:tblInd w:w="0" w:type="dxa"/>
        <w:tblLayout w:type="fixed"/>
        <w:tblCellMar>
          <w:top w:w="28" w:type="dxa"/>
          <w:left w:w="28" w:type="dxa"/>
          <w:bottom w:w="28" w:type="dxa"/>
          <w:right w:w="28" w:type="dxa"/>
        </w:tblCellMar>
      </w:tblPr>
      <w:tblGrid>
        <w:gridCol w:w="1642"/>
        <w:gridCol w:w="1440"/>
        <w:gridCol w:w="1448"/>
        <w:gridCol w:w="211"/>
        <w:gridCol w:w="721"/>
        <w:gridCol w:w="109"/>
        <w:gridCol w:w="109"/>
        <w:gridCol w:w="109"/>
        <w:gridCol w:w="109"/>
        <w:gridCol w:w="230"/>
        <w:gridCol w:w="787"/>
        <w:gridCol w:w="168"/>
      </w:tblGrid>
      <w:tr>
        <w:trPr/>
        <w:tc>
          <w:tcPr>
            <w:tcW w:w="1642"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r>
      <w:tr>
        <w:trPr/>
        <w:tc>
          <w:tcPr>
            <w:tcW w:w="45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5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Property and equipment, net: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Property and equipment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98,967 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Internal-use software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Less: accumulated 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(88,001)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10,966 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accrued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20,770 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operating leases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16,336 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22,372 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59,478 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6. Debt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represents our debt at carrying value at March 31, 2024 and September 30, 2023:</w:t>
      </w:r>
    </w:p>
    <w:tbl>
      <w:tblPr>
        <w:tblW w:w="7433" w:type="dxa"/>
        <w:jc w:val="left"/>
        <w:tblInd w:w="0" w:type="dxa"/>
        <w:tblLayout w:type="fixed"/>
        <w:tblCellMar>
          <w:top w:w="28" w:type="dxa"/>
          <w:left w:w="28" w:type="dxa"/>
          <w:bottom w:w="28" w:type="dxa"/>
          <w:right w:w="28" w:type="dxa"/>
        </w:tblCellMar>
      </w:tblPr>
      <w:tblGrid>
        <w:gridCol w:w="1619"/>
        <w:gridCol w:w="1421"/>
        <w:gridCol w:w="1429"/>
        <w:gridCol w:w="211"/>
        <w:gridCol w:w="976"/>
        <w:gridCol w:w="109"/>
        <w:gridCol w:w="109"/>
        <w:gridCol w:w="109"/>
        <w:gridCol w:w="109"/>
        <w:gridCol w:w="211"/>
        <w:gridCol w:w="976"/>
        <w:gridCol w:w="154"/>
      </w:tblGrid>
      <w:tr>
        <w:trPr/>
        <w:tc>
          <w:tcPr>
            <w:tcW w:w="1619"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r>
      <w:tr>
        <w:trPr/>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maturities on debt:</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Revolving line of credit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Term loan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Current maturities on debt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Long-term debt:</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Revolving line of credit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Term loan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258,750 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The 2018 Senior Notes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The 2019 Senior Notes and the 2021 Senior Notes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Less: debt issuance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Long-term debt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2,028,652 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1,811,658 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debt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2,043,652 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1,861,658 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bed2e1db0b514eea8067dbdd2fa15ab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Revolving Line of Credit and Term Loan</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a $600 million unsecured revolving line of credit and a $300 million unsecured term loan with a syndicate of banks that mature on August 19, 2026. Borrowings under the revolving line of credit and term loan can be used for working capital and general corporate purposes and may also be used for the refinancing of existing debt, acquisitions, and the repurchase of our common stock. The term loan requires principal payments in consecutive quarterly installments of $3.75 million on the last business day of each quarter. Interest rates on amounts borrowed under the revolving line of credit and term loan are based on (i) an adjusted base rate, which is the greatest of (a) the prime rate, (b) the Federal Funds rate plus 0.5%, and (c) one-month adjusted term Secured Overnight Financing Rate (“SOFR”) rate plus 1%, plus, in each case, an applicable margin, or (ii) an adjusted term SOFR rate plus an applicable margin. The applicable margin for base rate borrowings and for SOFR borrowings is determined based on our consolidated leverage ratio. The applicable margin for base rate borrowings ranges from 0% to 0.75% per annum and for SOFR borrowings ranges from 1% to 1.75% per annum. In addition, we must pay certain credit facility fees. The revolving line of credit and term loan contain certain restrictive covenants including a maximum consolidated leverage ratio of 3.5 to 1.0, subject to a step up to 4.0 to 1.0 following certain permitted acquisitions and subject to certain conditions, and a minimum interest coverage ratio of 3.0 to 1.0. The credit agreement also contains other covenants typical of unsecured credit facilities.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2024, we had $488.0 million in borrowings outstanding under the revolving line of credit at a weighted-average interest rate of 6.673%, and $266.3 million in outstanding balance of the term loan at an interest rate of 6.674%. We were in compliance with all financial covenants under this credit agreement as of March 31, 2024.</w:t>
      </w:r>
    </w:p>
    <w:p>
      <w:pPr>
        <w:pStyle w:val="TextBody"/>
        <w:bidi w:val="0"/>
        <w:spacing w:lineRule="auto" w:line="288" w:before="240" w:after="283"/>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Senior Notes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8, 2018, we issued $400 million of senior notes in a private offering to qualified institutional investors (the “2018 Senior Notes”). The 2018 Senior Notes require interest payments semi-annually at a rate of 5.25% per annum and will mature on May 15, 2026. </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6, 2019, we issued $350 million of senior notes in a private offering to qualified institutional investors (the “2019 Senior Notes”). The 2019 Senior Notes require interest payments semi-annually at a rate of 4.00% per annum and will mature on June 15, 2028. </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17, 2021, we issued $550 million of additional senior notes of the same class as the 2019 Senior Notes in a private offering to qualified institutional investors (the “2021 Senior Notes,” and collectively with the 2018 Senior Notes and the 2019 Senior Notes, the “Senior Notes”). The 2021 Senior Notes require interest payments semi-annually at a rate of 4.00% per annum and will mature on June 15, 2028, the same date as the 2019 Senior Notes. </w:t>
      </w:r>
    </w:p>
    <w:p>
      <w:pPr>
        <w:pStyle w:val="TextBody"/>
        <w:bidi w:val="0"/>
        <w:spacing w:lineRule="auto" w:line="288" w:before="18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indentures for the Senior Notes contain certain covenants typical of unsecured obligations and we were in compliance as of March 31, 2024.</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face values and fair values for the Senior Notes at March 31, 2024 and September 30, 2023:</w:t>
      </w:r>
    </w:p>
    <w:tbl>
      <w:tblPr>
        <w:tblW w:w="10205" w:type="dxa"/>
        <w:jc w:val="left"/>
        <w:tblInd w:w="0" w:type="dxa"/>
        <w:tblLayout w:type="fixed"/>
        <w:tblCellMar>
          <w:top w:w="28" w:type="dxa"/>
          <w:left w:w="28" w:type="dxa"/>
          <w:bottom w:w="28" w:type="dxa"/>
          <w:right w:w="28" w:type="dxa"/>
        </w:tblCellMar>
      </w:tblPr>
      <w:tblGrid>
        <w:gridCol w:w="1459"/>
        <w:gridCol w:w="1261"/>
        <w:gridCol w:w="1274"/>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5"/>
      </w:tblGrid>
      <w:tr>
        <w:trPr/>
        <w:tc>
          <w:tcPr>
            <w:tcW w:w="145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r>
      <w:tr>
        <w:trPr/>
        <w:tc>
          <w:tcPr>
            <w:tcW w:w="39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Face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Face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39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1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2018 Senior Notes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2019 Senior Notes and the 2021 Senior Notes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803,250 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Total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1,189,250 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bed2e1db0b514eea8067dbdd2fa15ab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00" w:after="283"/>
        <w:jc w:val="both"/>
        <w:rPr>
          <w:rFonts w:ascii="Times New Roman;sans-serif" w:hAnsi="Times New Roman;sans-serif"/>
          <w:b/>
          <w:color w:val="000000"/>
          <w:sz w:val="20"/>
        </w:rPr>
      </w:pPr>
      <w:r>
        <w:rPr>
          <w:rFonts w:ascii="Times New Roman;sans-serif" w:hAnsi="Times New Roman;sans-serif"/>
          <w:b/>
          <w:color w:val="000000"/>
          <w:sz w:val="20"/>
        </w:rPr>
        <w:t>7. Revenue from Contracts with Customers</w:t>
      </w:r>
    </w:p>
    <w:p>
      <w:pPr>
        <w:pStyle w:val="TextBody"/>
        <w:bidi w:val="0"/>
        <w:spacing w:lineRule="auto" w:line="288" w:before="120" w:after="283"/>
        <w:ind w:left="0" w:right="0" w:firstLine="255"/>
        <w:jc w:val="both"/>
        <w:rPr>
          <w:rFonts w:ascii="Times New Roman;sans-serif" w:hAnsi="Times New Roman;sans-serif"/>
          <w:b/>
          <w:i/>
          <w:color w:val="000000"/>
          <w:sz w:val="20"/>
        </w:rPr>
      </w:pPr>
      <w:r>
        <w:rPr>
          <w:rFonts w:ascii="Times New Roman;sans-serif" w:hAnsi="Times New Roman;sans-serif"/>
          <w:b/>
          <w:i/>
          <w:color w:val="000000"/>
          <w:sz w:val="20"/>
        </w:rPr>
        <w:t>Disaggregation of Revenue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provide information about disaggregated revenue by primary geographical market:</w:t>
      </w:r>
    </w:p>
    <w:p>
      <w:pPr>
        <w:pStyle w:val="TextBody"/>
        <w:bidi w:val="0"/>
        <w:spacing w:before="0" w:after="0"/>
        <w:ind w:left="0" w:right="0" w:firstLine="450"/>
        <w:jc w:val="both"/>
        <w:rPr/>
      </w:pPr>
      <w:r>
        <w:rPr/>
      </w:r>
    </w:p>
    <w:tbl>
      <w:tblPr>
        <w:tblW w:w="8123" w:type="dxa"/>
        <w:jc w:val="left"/>
        <w:tblInd w:w="0" w:type="dxa"/>
        <w:tblLayout w:type="fixed"/>
        <w:tblCellMar>
          <w:top w:w="28" w:type="dxa"/>
          <w:left w:w="28" w:type="dxa"/>
          <w:bottom w:w="28" w:type="dxa"/>
          <w:right w:w="28" w:type="dxa"/>
        </w:tblCellMar>
      </w:tblPr>
      <w:tblGrid>
        <w:gridCol w:w="965"/>
        <w:gridCol w:w="849"/>
        <w:gridCol w:w="855"/>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33"/>
        <w:gridCol w:w="233"/>
        <w:gridCol w:w="569"/>
      </w:tblGrid>
      <w:tr>
        <w:trPr/>
        <w:tc>
          <w:tcPr>
            <w:tcW w:w="9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 2024</w:t>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Scores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Software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 Middle East and Africa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 Pacific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236,885 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433,809 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tbl>
      <w:tblPr>
        <w:tblW w:w="8123" w:type="dxa"/>
        <w:jc w:val="left"/>
        <w:tblInd w:w="0" w:type="dxa"/>
        <w:tblLayout w:type="fixed"/>
        <w:tblCellMar>
          <w:top w:w="28" w:type="dxa"/>
          <w:left w:w="28" w:type="dxa"/>
          <w:bottom w:w="28" w:type="dxa"/>
          <w:right w:w="28" w:type="dxa"/>
        </w:tblCellMar>
      </w:tblPr>
      <w:tblGrid>
        <w:gridCol w:w="965"/>
        <w:gridCol w:w="849"/>
        <w:gridCol w:w="855"/>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33"/>
        <w:gridCol w:w="233"/>
        <w:gridCol w:w="569"/>
      </w:tblGrid>
      <w:tr>
        <w:trPr/>
        <w:tc>
          <w:tcPr>
            <w:tcW w:w="9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 2023</w:t>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Scores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Software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 Middle East and Africa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 Pacific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380,266 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tbl>
      <w:tblPr>
        <w:tblW w:w="8123" w:type="dxa"/>
        <w:jc w:val="left"/>
        <w:tblInd w:w="0" w:type="dxa"/>
        <w:tblLayout w:type="fixed"/>
        <w:tblCellMar>
          <w:top w:w="28" w:type="dxa"/>
          <w:left w:w="28" w:type="dxa"/>
          <w:bottom w:w="28" w:type="dxa"/>
          <w:right w:w="28" w:type="dxa"/>
        </w:tblCellMar>
      </w:tblPr>
      <w:tblGrid>
        <w:gridCol w:w="965"/>
        <w:gridCol w:w="849"/>
        <w:gridCol w:w="855"/>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33"/>
        <w:gridCol w:w="233"/>
        <w:gridCol w:w="569"/>
      </w:tblGrid>
      <w:tr>
        <w:trPr/>
        <w:tc>
          <w:tcPr>
            <w:tcW w:w="9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March 31, 2024</w:t>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Scores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Software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 Middle East and Africa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 Pacific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428,997 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386,871 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815,868 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March 31, 2023</w:t>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Scores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Software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 Middle East and Africa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 Pacific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376,495 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348,641 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725,136 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disaggregated revenue for our Software segment by deployment method:</w:t>
      </w:r>
    </w:p>
    <w:tbl>
      <w:tblPr>
        <w:tblW w:w="10992" w:type="dxa"/>
        <w:jc w:val="left"/>
        <w:tblInd w:w="0" w:type="dxa"/>
        <w:tblLayout w:type="fixed"/>
        <w:tblCellMar>
          <w:top w:w="28" w:type="dxa"/>
          <w:left w:w="28" w:type="dxa"/>
          <w:bottom w:w="28" w:type="dxa"/>
          <w:right w:w="28" w:type="dxa"/>
        </w:tblCellMar>
      </w:tblPr>
      <w:tblGrid>
        <w:gridCol w:w="408"/>
        <w:gridCol w:w="358"/>
        <w:gridCol w:w="360"/>
        <w:gridCol w:w="211"/>
        <w:gridCol w:w="826"/>
        <w:gridCol w:w="109"/>
        <w:gridCol w:w="109"/>
        <w:gridCol w:w="109"/>
        <w:gridCol w:w="109"/>
        <w:gridCol w:w="211"/>
        <w:gridCol w:w="826"/>
        <w:gridCol w:w="109"/>
        <w:gridCol w:w="109"/>
        <w:gridCol w:w="109"/>
        <w:gridCol w:w="109"/>
        <w:gridCol w:w="232"/>
        <w:gridCol w:w="234"/>
        <w:gridCol w:w="271"/>
        <w:gridCol w:w="109"/>
        <w:gridCol w:w="109"/>
        <w:gridCol w:w="109"/>
        <w:gridCol w:w="232"/>
        <w:gridCol w:w="234"/>
        <w:gridCol w:w="271"/>
        <w:gridCol w:w="109"/>
        <w:gridCol w:w="109"/>
        <w:gridCol w:w="109"/>
        <w:gridCol w:w="211"/>
        <w:gridCol w:w="826"/>
        <w:gridCol w:w="109"/>
        <w:gridCol w:w="109"/>
        <w:gridCol w:w="109"/>
        <w:gridCol w:w="109"/>
        <w:gridCol w:w="211"/>
        <w:gridCol w:w="826"/>
        <w:gridCol w:w="109"/>
        <w:gridCol w:w="109"/>
        <w:gridCol w:w="109"/>
        <w:gridCol w:w="109"/>
        <w:gridCol w:w="232"/>
        <w:gridCol w:w="234"/>
        <w:gridCol w:w="271"/>
        <w:gridCol w:w="109"/>
        <w:gridCol w:w="109"/>
        <w:gridCol w:w="109"/>
        <w:gridCol w:w="232"/>
        <w:gridCol w:w="234"/>
        <w:gridCol w:w="316"/>
      </w:tblGrid>
      <w:tr>
        <w:trPr/>
        <w:tc>
          <w:tcPr>
            <w:tcW w:w="40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revenues</w:t>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6"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On-premises software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SaaS software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on-premises and SaaS software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345,848 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299,144 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bed2e1db0b514eea8067dbdd2fa15ab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disaggregated revenue for our Software segment by product features:</w:t>
      </w:r>
    </w:p>
    <w:tbl>
      <w:tblPr>
        <w:tblW w:w="11082" w:type="dxa"/>
        <w:jc w:val="left"/>
        <w:tblInd w:w="0" w:type="dxa"/>
        <w:tblLayout w:type="fixed"/>
        <w:tblCellMar>
          <w:top w:w="28" w:type="dxa"/>
          <w:left w:w="28" w:type="dxa"/>
          <w:bottom w:w="28" w:type="dxa"/>
          <w:right w:w="28" w:type="dxa"/>
        </w:tblCellMar>
      </w:tblPr>
      <w:tblGrid>
        <w:gridCol w:w="555"/>
        <w:gridCol w:w="402"/>
        <w:gridCol w:w="259"/>
        <w:gridCol w:w="211"/>
        <w:gridCol w:w="826"/>
        <w:gridCol w:w="109"/>
        <w:gridCol w:w="109"/>
        <w:gridCol w:w="109"/>
        <w:gridCol w:w="109"/>
        <w:gridCol w:w="211"/>
        <w:gridCol w:w="826"/>
        <w:gridCol w:w="109"/>
        <w:gridCol w:w="109"/>
        <w:gridCol w:w="109"/>
        <w:gridCol w:w="109"/>
        <w:gridCol w:w="232"/>
        <w:gridCol w:w="234"/>
        <w:gridCol w:w="271"/>
        <w:gridCol w:w="109"/>
        <w:gridCol w:w="109"/>
        <w:gridCol w:w="109"/>
        <w:gridCol w:w="232"/>
        <w:gridCol w:w="234"/>
        <w:gridCol w:w="271"/>
        <w:gridCol w:w="109"/>
        <w:gridCol w:w="109"/>
        <w:gridCol w:w="109"/>
        <w:gridCol w:w="211"/>
        <w:gridCol w:w="826"/>
        <w:gridCol w:w="109"/>
        <w:gridCol w:w="109"/>
        <w:gridCol w:w="109"/>
        <w:gridCol w:w="109"/>
        <w:gridCol w:w="211"/>
        <w:gridCol w:w="826"/>
        <w:gridCol w:w="109"/>
        <w:gridCol w:w="109"/>
        <w:gridCol w:w="109"/>
        <w:gridCol w:w="109"/>
        <w:gridCol w:w="232"/>
        <w:gridCol w:w="234"/>
        <w:gridCol w:w="271"/>
        <w:gridCol w:w="109"/>
        <w:gridCol w:w="109"/>
        <w:gridCol w:w="109"/>
        <w:gridCol w:w="232"/>
        <w:gridCol w:w="234"/>
        <w:gridCol w:w="316"/>
      </w:tblGrid>
      <w:tr>
        <w:trPr/>
        <w:tc>
          <w:tcPr>
            <w:tcW w:w="555"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revenues</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6"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Platform software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Non-platform software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on-premises and SaaS software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345,848 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299,144 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disaggregated revenue for our Software segment by timing of revenue recognition:</w:t>
      </w:r>
    </w:p>
    <w:tbl>
      <w:tblPr>
        <w:tblW w:w="10962" w:type="dxa"/>
        <w:jc w:val="left"/>
        <w:tblInd w:w="0" w:type="dxa"/>
        <w:tblLayout w:type="fixed"/>
        <w:tblCellMar>
          <w:top w:w="28" w:type="dxa"/>
          <w:left w:w="28" w:type="dxa"/>
          <w:bottom w:w="28" w:type="dxa"/>
          <w:right w:w="28" w:type="dxa"/>
        </w:tblCellMar>
      </w:tblPr>
      <w:tblGrid>
        <w:gridCol w:w="445"/>
        <w:gridCol w:w="325"/>
        <w:gridCol w:w="326"/>
        <w:gridCol w:w="211"/>
        <w:gridCol w:w="826"/>
        <w:gridCol w:w="109"/>
        <w:gridCol w:w="109"/>
        <w:gridCol w:w="109"/>
        <w:gridCol w:w="109"/>
        <w:gridCol w:w="211"/>
        <w:gridCol w:w="826"/>
        <w:gridCol w:w="109"/>
        <w:gridCol w:w="109"/>
        <w:gridCol w:w="109"/>
        <w:gridCol w:w="109"/>
        <w:gridCol w:w="232"/>
        <w:gridCol w:w="234"/>
        <w:gridCol w:w="271"/>
        <w:gridCol w:w="109"/>
        <w:gridCol w:w="109"/>
        <w:gridCol w:w="109"/>
        <w:gridCol w:w="232"/>
        <w:gridCol w:w="234"/>
        <w:gridCol w:w="271"/>
        <w:gridCol w:w="109"/>
        <w:gridCol w:w="109"/>
        <w:gridCol w:w="109"/>
        <w:gridCol w:w="211"/>
        <w:gridCol w:w="826"/>
        <w:gridCol w:w="109"/>
        <w:gridCol w:w="109"/>
        <w:gridCol w:w="109"/>
        <w:gridCol w:w="109"/>
        <w:gridCol w:w="211"/>
        <w:gridCol w:w="826"/>
        <w:gridCol w:w="109"/>
        <w:gridCol w:w="109"/>
        <w:gridCol w:w="109"/>
        <w:gridCol w:w="109"/>
        <w:gridCol w:w="232"/>
        <w:gridCol w:w="234"/>
        <w:gridCol w:w="271"/>
        <w:gridCol w:w="109"/>
        <w:gridCol w:w="109"/>
        <w:gridCol w:w="109"/>
        <w:gridCol w:w="232"/>
        <w:gridCol w:w="234"/>
        <w:gridCol w:w="316"/>
      </w:tblGrid>
      <w:tr>
        <w:trPr/>
        <w:tc>
          <w:tcPr>
            <w:tcW w:w="44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revenues</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6"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Software recognized at a point in time </w:t>
            </w:r>
            <w:r>
              <w:rPr>
                <w:rFonts w:ascii="Times New Roman;sans-serif" w:hAnsi="Times New Roman;sans-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Software recognized over contract term</w:t>
            </w:r>
            <w:r>
              <w:rPr>
                <w:color w:val="000000"/>
              </w:rPr>
              <w:t xml:space="preserve"> </w:t>
            </w:r>
            <w:r>
              <w:rPr>
                <w:rFonts w:ascii="Times New Roman;sans-serif" w:hAnsi="Times New Roman;sans-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on-premises and SaaS software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345,848 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299,144 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(1)Includes license portion of our on-premises subscription software and perpetual license, both of which are recognized when the software is made available to the customer, or at the start of the subscription. </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(2)Includes maintenance portion and usage-based fees of our on-premises subscription software, maintenance revenue on perpetual licenses, as well as SaaS revenue.</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disaggregated revenue for our Scores segment by distribution method:</w:t>
      </w:r>
    </w:p>
    <w:p>
      <w:pPr>
        <w:pStyle w:val="TextBody"/>
        <w:bidi w:val="0"/>
        <w:spacing w:before="0" w:after="0"/>
        <w:ind w:left="0" w:right="0" w:firstLine="450"/>
        <w:jc w:val="both"/>
        <w:rPr/>
      </w:pPr>
      <w:r>
        <w:rPr/>
      </w:r>
    </w:p>
    <w:tbl>
      <w:tblPr>
        <w:tblW w:w="11772" w:type="dxa"/>
        <w:jc w:val="left"/>
        <w:tblInd w:w="0" w:type="dxa"/>
        <w:tblLayout w:type="fixed"/>
        <w:tblCellMar>
          <w:top w:w="28" w:type="dxa"/>
          <w:left w:w="28" w:type="dxa"/>
          <w:bottom w:w="28" w:type="dxa"/>
          <w:right w:w="28" w:type="dxa"/>
        </w:tblCellMar>
      </w:tblPr>
      <w:tblGrid>
        <w:gridCol w:w="748"/>
        <w:gridCol w:w="578"/>
        <w:gridCol w:w="580"/>
        <w:gridCol w:w="211"/>
        <w:gridCol w:w="826"/>
        <w:gridCol w:w="109"/>
        <w:gridCol w:w="109"/>
        <w:gridCol w:w="109"/>
        <w:gridCol w:w="109"/>
        <w:gridCol w:w="211"/>
        <w:gridCol w:w="826"/>
        <w:gridCol w:w="109"/>
        <w:gridCol w:w="109"/>
        <w:gridCol w:w="109"/>
        <w:gridCol w:w="109"/>
        <w:gridCol w:w="232"/>
        <w:gridCol w:w="234"/>
        <w:gridCol w:w="271"/>
        <w:gridCol w:w="109"/>
        <w:gridCol w:w="109"/>
        <w:gridCol w:w="109"/>
        <w:gridCol w:w="232"/>
        <w:gridCol w:w="234"/>
        <w:gridCol w:w="271"/>
        <w:gridCol w:w="109"/>
        <w:gridCol w:w="109"/>
        <w:gridCol w:w="109"/>
        <w:gridCol w:w="211"/>
        <w:gridCol w:w="826"/>
        <w:gridCol w:w="109"/>
        <w:gridCol w:w="109"/>
        <w:gridCol w:w="109"/>
        <w:gridCol w:w="109"/>
        <w:gridCol w:w="211"/>
        <w:gridCol w:w="826"/>
        <w:gridCol w:w="109"/>
        <w:gridCol w:w="109"/>
        <w:gridCol w:w="109"/>
        <w:gridCol w:w="109"/>
        <w:gridCol w:w="232"/>
        <w:gridCol w:w="234"/>
        <w:gridCol w:w="271"/>
        <w:gridCol w:w="109"/>
        <w:gridCol w:w="109"/>
        <w:gridCol w:w="109"/>
        <w:gridCol w:w="232"/>
        <w:gridCol w:w="234"/>
        <w:gridCol w:w="316"/>
      </w:tblGrid>
      <w:tr>
        <w:trPr/>
        <w:tc>
          <w:tcPr>
            <w:tcW w:w="74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revenues</w:t>
            </w:r>
          </w:p>
        </w:tc>
      </w:tr>
      <w:tr>
        <w:trPr/>
        <w:tc>
          <w:tcPr>
            <w:tcW w:w="1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6"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1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Business-to-business Scores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Business-to-consumer Scores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236,885 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428,997 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376,495 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derive a substantial portion of revenues from our contracts with the three major consumer reporting agencies, TransUnion, Equifax and Experian. Revenues collectively generated by agreements with these customers accounted for 47% and 43% of our total revenues in the quarters ended March 31, 2024 and 2023, respectively, with all three consumer reporting agencies each contributing more than 10% of our total revenues in each of the quarters ended March 31, 2024 and 2023. Revenues collectively generated by agreements with these customers accounted for 43% and 40% of our total revenues in the six months ended March 31, 2024 and 2023, respectively, with three and two consumer reporting agencies each contributing more than 10% of our total revenues in the six months ended March 31, 2024 and 2023, respectively. At March 31, 2024 and September 30, 2023, two and one individual customers each accounted for 10% or more of total consolidated receivables, respectively.</w:t>
      </w:r>
    </w:p>
    <w:p>
      <w:pPr>
        <w:pStyle w:val="TextBody"/>
        <w:bidi w:val="0"/>
        <w:spacing w:lineRule="auto" w:line="288" w:before="300" w:after="283"/>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Contract Balances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record a receivable when we satisfy a performance obligation prior to invoicing if only the passage of time is required before payment is due or if we have an unconditional right to consideration before we satisfy a performance obligation. We record a contract asset when we satisfy a performance obligation prior to invoicing but our right to consideration is conditional. We record deferred revenue when the payment is made or due before we satisfy a performance obligation.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bed2e1db0b514eea8067dbdd2fa15ab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00"/>
        <w:ind w:left="0" w:right="0" w:firstLine="450"/>
        <w:jc w:val="both"/>
        <w:rPr/>
      </w:pPr>
      <w:r>
        <w:rPr>
          <w:rFonts w:ascii="Times New Roman;sans-serif" w:hAnsi="Times New Roman;sans-serif"/>
          <w:b w:val="false"/>
          <w:color w:val="000000"/>
          <w:sz w:val="20"/>
        </w:rPr>
        <w:t>Receivables at March 31, 2024 and September 30, 2023 consisted of the following:</w:t>
      </w:r>
      <w:r>
        <w:rPr>
          <w:color w:val="000000"/>
        </w:rPr>
        <w:t> </w:t>
      </w:r>
    </w:p>
    <w:tbl>
      <w:tblPr>
        <w:tblW w:w="6369" w:type="dxa"/>
        <w:jc w:val="left"/>
        <w:tblInd w:w="0" w:type="dxa"/>
        <w:tblLayout w:type="fixed"/>
        <w:tblCellMar>
          <w:top w:w="28" w:type="dxa"/>
          <w:left w:w="28" w:type="dxa"/>
          <w:bottom w:w="28" w:type="dxa"/>
          <w:right w:w="28" w:type="dxa"/>
        </w:tblCellMar>
      </w:tblPr>
      <w:tblGrid>
        <w:gridCol w:w="1151"/>
        <w:gridCol w:w="1014"/>
        <w:gridCol w:w="1029"/>
        <w:gridCol w:w="232"/>
        <w:gridCol w:w="908"/>
        <w:gridCol w:w="119"/>
        <w:gridCol w:w="109"/>
        <w:gridCol w:w="109"/>
        <w:gridCol w:w="109"/>
        <w:gridCol w:w="281"/>
        <w:gridCol w:w="1103"/>
        <w:gridCol w:w="205"/>
      </w:tblGrid>
      <w:tr>
        <w:trPr/>
        <w:tc>
          <w:tcPr>
            <w:tcW w:w="1151"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r>
      <w:tr>
        <w:trPr/>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Billed</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300,179 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234,745 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Unbilled</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213,023 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203,896 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513,202 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438,641 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doubtful accounts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(4,978)</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receivables</w:t>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507,396 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433,663 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Less: long-term receivables (*)</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(38,371)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(45,716)</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Short-term receivables (*)</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469,025 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387,947 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Short-term receivables and long-term receivables were recorded in accounts receivable, net and other assets, respectively, within the accompanying condensed consolidated balance sheets.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Deferred revenue primarily relates to our maintenance and SaaS contracts billed annually in advance and generally recognized ratably over the term of the service period. Significant changes in the deferred revenues balances are as follows:</w:t>
      </w:r>
    </w:p>
    <w:tbl>
      <w:tblPr>
        <w:tblW w:w="10205" w:type="dxa"/>
        <w:jc w:val="left"/>
        <w:tblInd w:w="0" w:type="dxa"/>
        <w:tblLayout w:type="fixed"/>
        <w:tblCellMar>
          <w:top w:w="28" w:type="dxa"/>
          <w:left w:w="28" w:type="dxa"/>
          <w:bottom w:w="28" w:type="dxa"/>
          <w:right w:w="28" w:type="dxa"/>
        </w:tblCellMar>
      </w:tblPr>
      <w:tblGrid>
        <w:gridCol w:w="3020"/>
        <w:gridCol w:w="2653"/>
        <w:gridCol w:w="2662"/>
        <w:gridCol w:w="109"/>
        <w:gridCol w:w="109"/>
        <w:gridCol w:w="109"/>
        <w:gridCol w:w="272"/>
        <w:gridCol w:w="1070"/>
        <w:gridCol w:w="201"/>
      </w:tblGrid>
      <w:tr>
        <w:trPr/>
        <w:tc>
          <w:tcPr>
            <w:tcW w:w="3020" w:type="dxa"/>
            <w:tcBorders/>
            <w:vAlign w:val="center"/>
          </w:tcPr>
          <w:p>
            <w:pPr>
              <w:pStyle w:val="TableContents"/>
              <w:bidi w:val="0"/>
              <w:spacing w:before="0" w:after="283"/>
              <w:jc w:val="left"/>
              <w:rPr>
                <w:sz w:val="4"/>
                <w:szCs w:val="4"/>
              </w:rPr>
            </w:pPr>
            <w:r>
              <w:rPr>
                <w:sz w:val="4"/>
                <w:szCs w:val="4"/>
              </w:rPr>
            </w:r>
          </w:p>
        </w:tc>
        <w:tc>
          <w:tcPr>
            <w:tcW w:w="2653" w:type="dxa"/>
            <w:tcBorders/>
            <w:vAlign w:val="center"/>
          </w:tcPr>
          <w:p>
            <w:pPr>
              <w:pStyle w:val="TableContents"/>
              <w:bidi w:val="0"/>
              <w:spacing w:before="0" w:after="283"/>
              <w:jc w:val="left"/>
              <w:rPr>
                <w:sz w:val="4"/>
                <w:szCs w:val="4"/>
              </w:rPr>
            </w:pPr>
            <w:r>
              <w:rPr>
                <w:sz w:val="4"/>
                <w:szCs w:val="4"/>
              </w:rPr>
            </w:r>
          </w:p>
        </w:tc>
        <w:tc>
          <w:tcPr>
            <w:tcW w:w="2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8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w:t>
              <w:br/>
              <w:t>March 31, 2024</w:t>
            </w:r>
          </w:p>
        </w:tc>
      </w:tr>
      <w:tr>
        <w:trPr/>
        <w:tc>
          <w:tcPr>
            <w:tcW w:w="8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8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revenues, beginning balance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143,235 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recognized that was included in the deferred revenues balance at the beginning of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(102,063)</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Increases due to billings, excluding amounts recognized as revenue during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108,904 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revenues, ending balance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150,076 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Deferred revenues at March 31, 2024 included current portion of $143.6 million and long-term portion of $6.5 million that were recorded in deferred revenue and other liabilities, respectively, within the condensed consolidated balance sheets. Deferred revenues at September 30, 2023 included current portion of $136.7 million and long-term portion of $6.5 million that were recorded in deferred revenue and other liabilities, respectively, within the condensed consolidated balance sheets.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Payment terms and conditions vary by contract type, although terms generally include a requirement of payment within 30 to 60 days. In instances where the timing of revenue recognition differs from the timing of invoicing, we have determined our contracts generally do not include a significant financing component. The primary purpose of our invoicing terms is to provide customers with simplified and predictable ways of purchasing our products and services, not to provide customers with financing or to receive financing from our customers. Examples include multi-year on-premises licenses that are invoiced annually with revenue recognized upfront and invoicing at the beginning of a subscription term with revenue recognized ratably over the contract period.</w:t>
      </w:r>
    </w:p>
    <w:p>
      <w:pPr>
        <w:pStyle w:val="TextBody"/>
        <w:bidi w:val="0"/>
        <w:spacing w:lineRule="auto" w:line="288" w:before="240" w:after="283"/>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Performance Obligations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Revenue allocated to remaining performance obligations represents contracted revenue that will be recognized in future periods, which is comprised of deferred revenue and amounts that will be invoiced and recognized as revenue in future periods. This does not include: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Usage-based revenue that will be recognized in future periods from on-premises software subscriptions;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Consumption-based variable fees from SaaS software that will be recognized in the distinct service period during which it is earned; and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Revenue from variable considerations that will be recognized in accordance with the “right-to-invoice” practical expedient, such as fees from our professional services billed based on a time and materials basis.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Revenue allocated to remaining performance obligations was $481.7 million as of March 31, 2024, approximately 50% of which we expect to recognize over the next 16 months and the remainder thereafter. Revenue allocated to remaining performance obligations was $470.5 million as of September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bed2e1db0b514eea8067dbdd2fa15ab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8. Income Taxes</w:t>
      </w:r>
    </w:p>
    <w:p>
      <w:pPr>
        <w:pStyle w:val="TextBody"/>
        <w:bidi w:val="0"/>
        <w:spacing w:lineRule="auto" w:line="288" w:before="120" w:after="283"/>
        <w:ind w:left="0" w:right="0" w:firstLine="270"/>
        <w:jc w:val="left"/>
        <w:rPr>
          <w:rFonts w:ascii="Times New Roman;sans-serif" w:hAnsi="Times New Roman;sans-serif"/>
          <w:b w:val="false"/>
          <w:i/>
          <w:color w:val="000000"/>
          <w:sz w:val="20"/>
        </w:rPr>
      </w:pPr>
      <w:r>
        <w:rPr>
          <w:rFonts w:ascii="Times New Roman;sans-serif" w:hAnsi="Times New Roman;sans-serif"/>
          <w:b w:val="false"/>
          <w:i/>
          <w:color w:val="000000"/>
          <w:sz w:val="20"/>
        </w:rPr>
        <w:t>Effective Tax Rate</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 income tax rate was 24.9% and 26.1% during the quarters ended March 31, 2024 and 2023, respectively, and 17.3% and 22.0% during the six months ended March 31, 2024 and 2023, respectively. The provision for income taxes during interim quarterly reporting periods is based on our estimates of the effective tax rates for the full fiscal year. The effective tax rate in any quarter can also be affected positively or negatively by adjustments that are required to be reported in the specific quarter of resolution.</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 provision enacted as part of the 2022 Inflation Reduction Act imposes a 15% corporate minimum tax. The provision is effective for tax years beginning after December 31, 2022, which means that it was effective for our fiscal year beginning October 1, 2023. We do not expect any impact to our fiscal 2024 effective tax rate from the corporate minimum tax provision.</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total unrecognized tax benefit for uncertain tax positions was estimated to be $15.7 million and $13.8 million at March 31, 2024 and September 30, 2023, respectively. We recognize interest expense related to unrecognized tax benefits and penalties as part of the provision for income taxes in our condensed consolidated statements of income and comprehensive income. We accrued interest of $1.5 million and $0.9 million related to unrecognized tax benefits as of March 31, 2024 and September 30,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9. Earnings per Share</w:t>
      </w:r>
    </w:p>
    <w:p>
      <w:pPr>
        <w:pStyle w:val="TextBody"/>
        <w:bidi w:val="0"/>
        <w:spacing w:lineRule="auto" w:line="288" w:before="120" w:after="283"/>
        <w:ind w:left="0" w:right="0" w:firstLine="495"/>
        <w:jc w:val="both"/>
        <w:rPr/>
      </w:pPr>
      <w:r>
        <w:rPr>
          <w:rFonts w:ascii="Times New Roman;sans-serif" w:hAnsi="Times New Roman;sans-serif"/>
          <w:b w:val="false"/>
          <w:color w:val="000000"/>
          <w:sz w:val="20"/>
        </w:rPr>
        <w:t>The following table presents reconciliations for the numerators and denominators of basic and diluted earnings per share (“EPS”) for the quarters and six-month periods ended March 31, 2024 and 2023:</w:t>
      </w:r>
      <w:r>
        <w:rPr>
          <w:color w:val="000000"/>
        </w:rPr>
        <w:t> </w:t>
      </w:r>
    </w:p>
    <w:tbl>
      <w:tblPr>
        <w:tblW w:w="9854" w:type="dxa"/>
        <w:jc w:val="left"/>
        <w:tblInd w:w="0" w:type="dxa"/>
        <w:tblLayout w:type="fixed"/>
        <w:tblCellMar>
          <w:top w:w="28" w:type="dxa"/>
          <w:left w:w="28" w:type="dxa"/>
          <w:bottom w:w="28" w:type="dxa"/>
          <w:right w:w="28" w:type="dxa"/>
        </w:tblCellMar>
      </w:tblPr>
      <w:tblGrid>
        <w:gridCol w:w="1535"/>
        <w:gridCol w:w="1352"/>
        <w:gridCol w:w="1357"/>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535"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March 31,</w:t>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1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 share data)</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 for diluted and basic earnings per share: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 — share:</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weighted-average shares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Effect of dilutive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weighted-average shares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25,431 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share:</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Anti-dilutive share-based awards excluded from the calculations of diluted EPS were immaterial during the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10. Segment Information</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organized into two reportable segments: Scores and Software. Although we sell solutions and services to a large number of end user product and industry markets, our reportable business segments reflect the primary method in which management organizes and evaluates internal financial information to make operating decisions and assess performance.</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i/>
          <w:color w:val="000000"/>
          <w:sz w:val="20"/>
        </w:rPr>
        <w:t>Scores.</w:t>
      </w:r>
      <w:r>
        <w:rPr>
          <w:color w:val="000000"/>
        </w:rPr>
        <w:t xml:space="preserve"> </w:t>
      </w:r>
      <w:r>
        <w:rPr>
          <w:rFonts w:ascii="Times New Roman;sans-serif" w:hAnsi="Times New Roman;sans-serif"/>
          <w:b w:val="false"/>
          <w:color w:val="000000"/>
          <w:sz w:val="20"/>
        </w:rPr>
        <w:t>This segment includes our business-to-business (“B2B”) scoring solutions and services which give our clients access to predictive credit and other scores that can be easily integrated into their transaction streams and decision-making processes. This segment also includes our business-to-consumer (“B2C”) scoring solutions, including our myFICO.com subscription offerings.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i/>
          <w:color w:val="000000"/>
          <w:sz w:val="20"/>
        </w:rPr>
        <w:t>Software</w:t>
      </w:r>
      <w:r>
        <w:rPr>
          <w:rFonts w:ascii="Times New Roman;sans-serif" w:hAnsi="Times New Roman;sans-serif"/>
          <w:b w:val="false"/>
          <w:color w:val="000000"/>
          <w:sz w:val="20"/>
        </w:rPr>
        <w:t>. This segment includes pre-configured analytic and decision management solutions designed for a specific type of business need or process — such as account origination, customer management, customer engagement, fraud detection, and marketing — as well as associated professional services. This segment also includes FICO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Platform, a modular software offering designed to support advanced analytic and decision use cases, as well as stand-alone analytic and decisioning software that can be configured by our customers to address a wide variety of business use cases. These offerings are available to our customers as SaaS or as on-premises software.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bed2e1db0b514eea8067dbdd2fa15ab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chief operating decision maker (“CODM”), who is our Chief Executive Officer, evaluates segment financial performance based on segment revenues and segment operating income. Segment operating expenses consist of direct and indirect costs principally related to personnel, facilities, IT infrastructure, consulting, travel and depreciation. Indirect costs are allocated to the segments generally based on relative segment revenues, fixed rates established by management based upon estimated expense contribution levels and other assumptions that management considers reasonable. We do not allocate broad-based incentive expense, share-based compensation expense, restructuring and acquisition-related expense, amortization expense, various corporate charges and certain other income and expense measures to our segments. These income and expense items are not allocated because they are not considered in evaluating the segment’s operating performance. Our CODM does not evaluate the financial performance of each segment based on its respective assets or capital expenditures; rather, depreciation amounts are allocated to the segments from their internal cost centers as described above.</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segment information for the quarters and six-month periods ended March 31, 2024 and 2023:</w:t>
      </w:r>
    </w:p>
    <w:tbl>
      <w:tblPr>
        <w:tblW w:w="9570" w:type="dxa"/>
        <w:jc w:val="left"/>
        <w:tblInd w:w="0" w:type="dxa"/>
        <w:tblLayout w:type="fixed"/>
        <w:tblCellMar>
          <w:top w:w="28" w:type="dxa"/>
          <w:left w:w="28" w:type="dxa"/>
          <w:bottom w:w="28" w:type="dxa"/>
          <w:right w:w="28" w:type="dxa"/>
        </w:tblCellMar>
      </w:tblPr>
      <w:tblGrid>
        <w:gridCol w:w="1441"/>
        <w:gridCol w:w="1272"/>
        <w:gridCol w:w="1277"/>
        <w:gridCol w:w="211"/>
        <w:gridCol w:w="826"/>
        <w:gridCol w:w="109"/>
        <w:gridCol w:w="109"/>
        <w:gridCol w:w="109"/>
        <w:gridCol w:w="109"/>
        <w:gridCol w:w="211"/>
        <w:gridCol w:w="826"/>
        <w:gridCol w:w="109"/>
        <w:gridCol w:w="109"/>
        <w:gridCol w:w="109"/>
        <w:gridCol w:w="109"/>
        <w:gridCol w:w="211"/>
        <w:gridCol w:w="796"/>
        <w:gridCol w:w="109"/>
        <w:gridCol w:w="109"/>
        <w:gridCol w:w="109"/>
        <w:gridCol w:w="109"/>
        <w:gridCol w:w="211"/>
        <w:gridCol w:w="826"/>
        <w:gridCol w:w="154"/>
      </w:tblGrid>
      <w:tr>
        <w:trPr/>
        <w:tc>
          <w:tcPr>
            <w:tcW w:w="1441"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8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 2024</w:t>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Scores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Software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Unallocated</w:t>
              <w:br/>
              <w:t>Corporate</w:t>
              <w:br/>
              <w:t>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8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revenues: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On-premises and SaaS software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236,885 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 revenues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236,885 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433,809 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operating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(203,245)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operating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212,208 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230,564 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share-based compensation expense</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amortization expense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194,841 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interest expense, net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other income, net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2,099 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2,222 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tbl>
      <w:tblPr>
        <w:tblW w:w="9570" w:type="dxa"/>
        <w:jc w:val="left"/>
        <w:tblInd w:w="0" w:type="dxa"/>
        <w:tblLayout w:type="fixed"/>
        <w:tblCellMar>
          <w:top w:w="28" w:type="dxa"/>
          <w:left w:w="28" w:type="dxa"/>
          <w:bottom w:w="28" w:type="dxa"/>
          <w:right w:w="28" w:type="dxa"/>
        </w:tblCellMar>
      </w:tblPr>
      <w:tblGrid>
        <w:gridCol w:w="1441"/>
        <w:gridCol w:w="1272"/>
        <w:gridCol w:w="1277"/>
        <w:gridCol w:w="211"/>
        <w:gridCol w:w="826"/>
        <w:gridCol w:w="109"/>
        <w:gridCol w:w="109"/>
        <w:gridCol w:w="109"/>
        <w:gridCol w:w="109"/>
        <w:gridCol w:w="211"/>
        <w:gridCol w:w="826"/>
        <w:gridCol w:w="109"/>
        <w:gridCol w:w="109"/>
        <w:gridCol w:w="109"/>
        <w:gridCol w:w="109"/>
        <w:gridCol w:w="211"/>
        <w:gridCol w:w="796"/>
        <w:gridCol w:w="109"/>
        <w:gridCol w:w="109"/>
        <w:gridCol w:w="109"/>
        <w:gridCol w:w="109"/>
        <w:gridCol w:w="211"/>
        <w:gridCol w:w="826"/>
        <w:gridCol w:w="154"/>
      </w:tblGrid>
      <w:tr>
        <w:trPr/>
        <w:tc>
          <w:tcPr>
            <w:tcW w:w="1441"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80"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 2023</w:t>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Scores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Software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Unallocated</w:t>
              <w:br/>
              <w:t>Corporate</w:t>
              <w:br/>
              <w:t>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80"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revenues: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On-premises and SaaS software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 revenues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380,266 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operating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operating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175,405 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187,089 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share-based compensation expense</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amortization expense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159,761 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interest expense, net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other income, net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2,723 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2,881 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bed2e1db0b514eea8067dbdd2fa15abc_7">
        <w:r>
          <w:rPr>
            <w:rStyle w:val="InternetLink"/>
            <w:rFonts w:ascii="Times New Roman;sans-serif" w:hAnsi="Times New Roman;sans-serif"/>
            <w:b w:val="false"/>
            <w:color w:val="0000FF"/>
            <w:sz w:val="20"/>
            <w:u w:val="single"/>
          </w:rPr>
          <w:t>Table of Contents</w:t>
        </w:r>
      </w:hyperlink>
    </w:p>
    <w:tbl>
      <w:tblPr>
        <w:tblW w:w="9570" w:type="dxa"/>
        <w:jc w:val="left"/>
        <w:tblInd w:w="0" w:type="dxa"/>
        <w:tblLayout w:type="fixed"/>
        <w:tblCellMar>
          <w:top w:w="28" w:type="dxa"/>
          <w:left w:w="28" w:type="dxa"/>
          <w:bottom w:w="28" w:type="dxa"/>
          <w:right w:w="28" w:type="dxa"/>
        </w:tblCellMar>
      </w:tblPr>
      <w:tblGrid>
        <w:gridCol w:w="1441"/>
        <w:gridCol w:w="1272"/>
        <w:gridCol w:w="1277"/>
        <w:gridCol w:w="211"/>
        <w:gridCol w:w="826"/>
        <w:gridCol w:w="109"/>
        <w:gridCol w:w="109"/>
        <w:gridCol w:w="109"/>
        <w:gridCol w:w="109"/>
        <w:gridCol w:w="211"/>
        <w:gridCol w:w="826"/>
        <w:gridCol w:w="109"/>
        <w:gridCol w:w="109"/>
        <w:gridCol w:w="109"/>
        <w:gridCol w:w="109"/>
        <w:gridCol w:w="211"/>
        <w:gridCol w:w="796"/>
        <w:gridCol w:w="109"/>
        <w:gridCol w:w="109"/>
        <w:gridCol w:w="109"/>
        <w:gridCol w:w="109"/>
        <w:gridCol w:w="211"/>
        <w:gridCol w:w="826"/>
        <w:gridCol w:w="154"/>
      </w:tblGrid>
      <w:tr>
        <w:trPr/>
        <w:tc>
          <w:tcPr>
            <w:tcW w:w="1441"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8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March 31, 2024</w:t>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Scores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Software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Unallocated</w:t>
              <w:br/>
              <w:t>Corporate</w:t>
              <w:br/>
              <w:t>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8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revenues: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On-premises and SaaS software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345,848 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Scores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428,997 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 revenues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428,997 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386,871 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815,868 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operating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(267,587)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(402,096)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operating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380,862 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413,772 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share-based compensation expense</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amortization expense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346,200 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interest expense, net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other income, net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303,324 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3,913 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570" w:type="dxa"/>
        <w:jc w:val="center"/>
        <w:tblInd w:w="0" w:type="dxa"/>
        <w:tblLayout w:type="fixed"/>
        <w:tblCellMar>
          <w:top w:w="28" w:type="dxa"/>
          <w:left w:w="28" w:type="dxa"/>
          <w:bottom w:w="28" w:type="dxa"/>
          <w:right w:w="28" w:type="dxa"/>
        </w:tblCellMar>
      </w:tblPr>
      <w:tblGrid>
        <w:gridCol w:w="1441"/>
        <w:gridCol w:w="1272"/>
        <w:gridCol w:w="1277"/>
        <w:gridCol w:w="211"/>
        <w:gridCol w:w="826"/>
        <w:gridCol w:w="109"/>
        <w:gridCol w:w="109"/>
        <w:gridCol w:w="109"/>
        <w:gridCol w:w="109"/>
        <w:gridCol w:w="211"/>
        <w:gridCol w:w="826"/>
        <w:gridCol w:w="109"/>
        <w:gridCol w:w="109"/>
        <w:gridCol w:w="109"/>
        <w:gridCol w:w="109"/>
        <w:gridCol w:w="211"/>
        <w:gridCol w:w="796"/>
        <w:gridCol w:w="109"/>
        <w:gridCol w:w="109"/>
        <w:gridCol w:w="109"/>
        <w:gridCol w:w="109"/>
        <w:gridCol w:w="211"/>
        <w:gridCol w:w="826"/>
        <w:gridCol w:w="154"/>
      </w:tblGrid>
      <w:tr>
        <w:trPr/>
        <w:tc>
          <w:tcPr>
            <w:tcW w:w="1441"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8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March 31, 2023</w:t>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Scores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Software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Unallocated</w:t>
              <w:br/>
              <w:t>Corporate</w:t>
              <w:br/>
              <w:t>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8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revenues: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On-premises and SaaS software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299,144 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Scores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376,495 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 revenues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376,495 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348,641 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725,136 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operating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(248,009)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(369,672)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operating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332,097 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355,464 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share-based compensation expense</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amortization expense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gain on product line asset sale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300,100 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interest expense, net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other income, net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255,372 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6,028 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11. Contingencies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in disputes with certain customers regarding amounts owed in connection with the sale of certain of our products and services. We also have had claims asserted by former employees relating to compensation and other employment matters. We are also involved in various other claims and legal actions arising in the ordinary course of business. We record litigation accruals for legal matters which are both probable and estimable. For legal proceedings for which there is a reasonable possibility of loss (meaning those losses for which the likelihood is more than remote but less than probable), we have determined we do not have a material exposure, either individually or in the aggregate.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bed2e1db0b514eea8067dbdd2fa15ab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pPr>
      <w:r>
        <w:rPr>
          <w:rFonts w:ascii="Times New Roman;sans-serif" w:hAnsi="Times New Roman;sans-serif"/>
          <w:b/>
          <w:color w:val="000000"/>
          <w:sz w:val="20"/>
        </w:rPr>
        <w:t>Item 2.</w:t>
      </w:r>
      <w:r>
        <w:rPr>
          <w:color w:val="000000"/>
        </w:rPr>
        <w:t xml:space="preserve"> </w:t>
      </w:r>
      <w:r>
        <w:rPr>
          <w:rFonts w:ascii="Times New Roman;sans-serif" w:hAnsi="Times New Roman;sans-serif"/>
          <w:b/>
          <w:i/>
          <w:color w:val="000000"/>
          <w:sz w:val="20"/>
        </w:rPr>
        <w:t>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88" w:before="120" w:after="283"/>
        <w:ind w:left="0" w:right="0" w:firstLine="495"/>
        <w:jc w:val="both"/>
        <w:rPr/>
      </w:pPr>
      <w:r>
        <w:rPr>
          <w:rFonts w:ascii="Times New Roman;sans-serif" w:hAnsi="Times New Roman;sans-serif"/>
          <w:b w:val="false"/>
          <w:i/>
          <w:color w:val="000000"/>
          <w:sz w:val="20"/>
        </w:rPr>
        <w:t xml:space="preserve">Statements contained in this report that are not statements of historical fact should be considered forward-looking statements within the meaning of the Private Securities Litigation Reform Act of 1995 (the “PSLRA”). In addition, certain statements in our future filings with the Securities and Exchange Commission (“SEC”), in press releases, and in oral and written statements made by us or with our approval that are not statements of historical fact constitute forward-looking statements within the meaning of the PSLRA. Examples of forward-looking statements include, but are not limited to: (i) projections of revenue, income or loss, expenses, earnings or loss per share, the payment or nonpayment of dividends, share repurchases, capital structure and other statements concerning future financial performance; (ii) statements of our plans and objectives by our management or Board of Directors, including those relating to products or services, research and development, and the sufficiency of capital resources; (iii) statements of assumptions underlying such statements, including those related to economic conditions; (iv) statements regarding results of business combinations or strategic divestitures; (v) statements regarding business relationships with vendors, customers or collaborators, including the proportion of revenues generated from international as opposed to domestic customers; and (vi) statements regarding products and services, their characteristics, performance, sales potential or effect in use by customers. Words such as “believes,” “anticipates,” “expects,” “intends,” “targeted,” “should,” “potential,” “goals,” “strategy,” “outlook,” “plan,” “estimated,” “will,” variations of these terms and similar expressions are intended to identify forward-looking statements, but are not the exclusive means of identifying such statements. Forward-looking statements involve risks and uncertainties that may cause actual results to differ materially from those in such statements. Factors that could cause actual results to differ from those discussed in the forward-looking statements include, but are not limited to, those described in Part I, Item 1A </w:t>
      </w:r>
      <w:r>
        <w:rPr>
          <w:color w:val="000000"/>
        </w:rPr>
        <w:t>“</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i/>
          <w:color w:val="000000"/>
          <w:sz w:val="20"/>
        </w:rPr>
        <w:t>of our Annual Report on Form 10-K for the fiscal year ended September 30, 2023 and in subsequent filings with the SEC. The performance of our business and our securities may be adversely affected by these factors and by other factors common to other businesses and investments, or to the general economy. Forward-looking statements are qualified by some or all of these risk factors. Therefore, you should consider these risk factors with caution and form your own critical and independent conclusions about the likely effect of these risk factors on our future performance. Such forward-looking statements speak only as of the date on which statements are made, and we undertake no obligation to update any forward-looking statement to reflect events or circumstances after the date on which such statement is made to reflect the occurrence of unanticipated events or circumstances. Readers should carefully review the disclosures and the risk factors described in this and other documents we file from time to time with the SEC, including our Annual Reports on Form 10-K, Quarterly Reports on Form 10-Q and Current Reports on Form 8-K.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300" w:after="283"/>
        <w:jc w:val="center"/>
        <w:rPr/>
      </w:pPr>
      <w:r>
        <w:rPr/>
      </w:r>
    </w:p>
    <w:p>
      <w:pPr>
        <w:pStyle w:val="TextBody"/>
        <w:bidi w:val="0"/>
        <w:spacing w:lineRule="auto" w:line="288" w:before="300" w:after="283"/>
        <w:jc w:val="center"/>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20" w:after="283"/>
        <w:ind w:left="0" w:right="0" w:firstLine="495"/>
        <w:jc w:val="both"/>
        <w:rPr/>
      </w:pPr>
      <w:r>
        <w:rPr>
          <w:rFonts w:ascii="Times New Roman;sans-serif" w:hAnsi="Times New Roman;sans-serif"/>
          <w:b w:val="false"/>
          <w:color w:val="000000"/>
          <w:sz w:val="20"/>
        </w:rPr>
        <w:t>We were founded in 1956 on the premise that data, used intelligently, can improve business decisions. Today, FICO’s software and the widely used FICO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Score operationalize analytics, enabling thousands of businesses in more than 100 countries to uncover new opportunities, make timely decisions that matter, and execute them at scale. Most leading banks and credit card issuers rely on our solutions, as do insurers, retailers, telecommunications providers, automotive lenders, consumer reporting agencies, public agencies, and organizations in other industries. We also serve consumers through online services that enable people to access and understand their FICO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Scores — the standard measure in the U.S. of consumer credit risk — empowering them to increase financial literacy and manage their financial health.</w:t>
      </w:r>
    </w:p>
    <w:p>
      <w:pPr>
        <w:pStyle w:val="TextBody"/>
        <w:bidi w:val="0"/>
        <w:spacing w:lineRule="auto" w:line="288" w:before="180" w:after="283"/>
        <w:ind w:left="0" w:right="0" w:firstLine="450"/>
        <w:jc w:val="both"/>
        <w:rPr/>
      </w:pPr>
      <w:r>
        <w:rPr>
          <w:rFonts w:ascii="Times New Roman;sans-serif" w:hAnsi="Times New Roman;sans-serif"/>
          <w:b w:val="false"/>
          <w:color w:val="000000"/>
          <w:sz w:val="20"/>
        </w:rPr>
        <w:t>Our business consists of two operating segments: Scores and Software.</w:t>
      </w:r>
      <w:r>
        <w:rPr>
          <w:color w:val="000000"/>
        </w:rPr>
        <w:t xml:space="preserve"> </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Scores segment includes our business-to-business (“B2B”) scoring solutions and services which give our clients access to predictive credit and other scores that can be easily integrated into their transaction streams and decision-making processes. This segment also includes our business-to-consumer (“B2C”) scoring solutions, including our myFICO.com subscription offerings.</w:t>
      </w:r>
    </w:p>
    <w:p>
      <w:pPr>
        <w:pStyle w:val="TextBody"/>
        <w:bidi w:val="0"/>
        <w:spacing w:lineRule="auto" w:line="288" w:before="180" w:after="283"/>
        <w:ind w:left="0" w:right="0" w:firstLine="450"/>
        <w:jc w:val="both"/>
        <w:rPr/>
      </w:pPr>
      <w:r>
        <w:rPr>
          <w:rFonts w:ascii="Times New Roman;sans-serif" w:hAnsi="Times New Roman;sans-serif"/>
          <w:b w:val="false"/>
          <w:color w:val="000000"/>
          <w:sz w:val="20"/>
        </w:rPr>
        <w:t>Our Software segment includes pre-configured analytic and decision management solutions designed for a specific type of business need or process — such as account origination, customer management, customer engagement, fraud detection, and marketing — as well as associated professional services. This segment also includes FICO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Platform, a modular software offering designed to support advanced analytic and decision use cases, as well as stand-alone analytic and decisioning software that can be configured by our customers to address a wide variety of business use cases. Our offerings are available to our customers as software-as-a-service (“SaaS”) or as on-premises software.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bed2e1db0b514eea8067dbdd2fa15ab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80" w:after="283"/>
        <w:jc w:val="both"/>
        <w:rPr>
          <w:rFonts w:ascii="Times New Roman;sans-serif" w:hAnsi="Times New Roman;sans-serif"/>
          <w:b/>
          <w:color w:val="000000"/>
          <w:sz w:val="20"/>
        </w:rPr>
      </w:pPr>
      <w:r>
        <w:rPr>
          <w:rFonts w:ascii="Times New Roman;sans-serif" w:hAnsi="Times New Roman;sans-serif"/>
          <w:b/>
          <w:color w:val="000000"/>
          <w:sz w:val="20"/>
        </w:rPr>
        <w:t xml:space="preserve">Highlights from the quarter and six months ended March 31, 2024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Total revenue was $433.8 million during the quarter ended March 31, 2024, a 14% increase from the quarter ended March 31, 2023, and $815.9 million during the six months ended March 31, 2024, a 13% increase from the six months ended March 31, 2023.</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Total revenue for our Scores segment was $236.9 million during the quarter ended March 31, 2024, a 19% increase from the quarter ended March 31, 2023, and $429.0 million during the six months ended March 31, 2024, a 14% increase from the six months ended March 31, 2023.</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Annual Recurring Revenue for our Software segment as of March 31, 2024 was $697.0 million, a 14% increase from March 31, 2023.</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Dollar-Based Net Retention Rate for our Software segment was 112% as of March 31, 2024.</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Operating income was $194.8 million during the quarter ended March 31, 2024, a 22% increase from the quarter ended March 31, 2023, and $346.2 million during the six months ended March 31, 2024, a 15% increase from the six months ended March 31, 2023.</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Net income was $129.8 million during the quarter ended March 31, 2024, a 28% increase from the quarter ended March 31, 2023, and $250.9 million during the six months ended March 31, 2024, a 26% increase from the six months ended March 31, 2023.</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Diluted EPS was $5.16 during the quarter ended March 31, 2024, a 29% increase from the quarter ended March 31, 2023, and $9.96 during the six months ended March 31, 2024, a 27% increase from the six months ended March 31, 2023.</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Cash flows from operating activities were $193.2 million during the six months ended March 31, 2024, compared with $182.2 million during the six months ended March 31, 2023.</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Cash and cash equivalents were $135.7 million as of March 31, 2024, compared with $136.8 million as of September 30, 2023.</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Total debt balance was $2.0 billion as of March 31, 2024, compared with $1.9 billion as of September 30, 2023.</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Total share repurchases during the quarter ended March 31, 2024 were $179.5 million, compared with $116.3 million during the quarter ended March 31, 2023, and during the six months ended March 31, 2024 were $251.3 million, compared with $191.3 million during the six months ended March 31, 2023.</w:t>
      </w:r>
    </w:p>
    <w:p>
      <w:pPr>
        <w:pStyle w:val="TextBody"/>
        <w:bidi w:val="0"/>
        <w:spacing w:lineRule="auto" w:line="288" w:before="300" w:after="160"/>
        <w:jc w:val="both"/>
        <w:rPr>
          <w:rFonts w:ascii="Times New Roman;sans-serif" w:hAnsi="Times New Roman;sans-serif"/>
          <w:b/>
          <w:color w:val="000000"/>
          <w:sz w:val="20"/>
        </w:rPr>
      </w:pPr>
      <w:r>
        <w:rPr>
          <w:rFonts w:ascii="Times New Roman;sans-serif" w:hAnsi="Times New Roman;sans-serif"/>
          <w:b/>
          <w:color w:val="000000"/>
          <w:sz w:val="20"/>
        </w:rPr>
        <w:t>Key performance metrics for Software segment</w:t>
      </w:r>
    </w:p>
    <w:p>
      <w:pPr>
        <w:pStyle w:val="TextBody"/>
        <w:bidi w:val="0"/>
        <w:spacing w:lineRule="auto" w:line="288" w:before="120" w:after="283"/>
        <w:ind w:left="0" w:right="0" w:firstLine="396"/>
        <w:jc w:val="both"/>
        <w:rPr>
          <w:rFonts w:ascii="Times New Roman;sans-serif" w:hAnsi="Times New Roman;sans-serif"/>
          <w:b/>
          <w:i/>
          <w:color w:val="000000"/>
          <w:sz w:val="20"/>
        </w:rPr>
      </w:pPr>
      <w:r>
        <w:rPr>
          <w:rFonts w:ascii="Times New Roman;sans-serif" w:hAnsi="Times New Roman;sans-serif"/>
          <w:b/>
          <w:i/>
          <w:color w:val="000000"/>
          <w:sz w:val="20"/>
        </w:rPr>
        <w:t>Annual Contract Value Bookings (“ACV Bookings”)</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Management regards ACV Bookings as an important indicator of future revenues, but it is not comparable to, nor is it a substitute for, an analysis of our revenues and other U.S. generally accepted accounting principles (“U.S. GAAP”) measures. We define ACV Bookings as the average annualized value of software contracts signed in the current reporting period that generate current and future on-premises and SaaS software revenue. We only include contracts with an initial term of at least 24 months and we exclude perpetual licenses and other software revenues that are non-recurring in nature. For renewals of existing software subscription contracts, we count only incremental annual revenue expected over the current contract as ACV Bookings.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ACV Bookings is calculated by dividing the total expected contract value by the contract term in years. The expected contract value equals the fixed amount — including guaranteed minimums, if any — stated in the contract, plus estimates of future usage-based fees. We develop estimates from discussions with our customers and examinations of historical data from similar products and customer arrangements. Differences between estimates and actual results occur due to variability in the estimated usage. This variability can be the result of the economic trends in our customers’ industries, individual performance of our customers relative to their competitors, and regulatory and other factors that affect the business environment in which our customers operate. For each of the periods presented, ACV Bookings related to estimates of future usage-based fees was approximately 30% of the total ACV Bookings amount. Differences between the initial estimates of future usage-based fees and actual results historically have not been material and we do not currently expect that they will be materially different in the future.</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disclose estimated revenue expected to be recognized in the future related to remaining performance obligations in Note 7 to the accompanying condensed consolidated financial statements. However, we believe ACV Bookings is a useful supplemental measure of our business as it includes estimated revenues and future billings excluded from Note 7, such as usage-based fees and guaranteed minimums derived from our on-premises software licenses, among others.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bed2e1db0b514eea8067dbdd2fa15ab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ACV Bookings during the periods indicated:</w:t>
      </w:r>
    </w:p>
    <w:tbl>
      <w:tblPr>
        <w:tblW w:w="7639" w:type="dxa"/>
        <w:jc w:val="left"/>
        <w:tblInd w:w="0" w:type="dxa"/>
        <w:tblLayout w:type="fixed"/>
        <w:tblCellMar>
          <w:top w:w="28" w:type="dxa"/>
          <w:left w:w="28" w:type="dxa"/>
          <w:bottom w:w="28" w:type="dxa"/>
          <w:right w:w="28" w:type="dxa"/>
        </w:tblCellMar>
      </w:tblPr>
      <w:tblGrid>
        <w:gridCol w:w="1114"/>
        <w:gridCol w:w="979"/>
        <w:gridCol w:w="982"/>
        <w:gridCol w:w="211"/>
        <w:gridCol w:w="512"/>
        <w:gridCol w:w="109"/>
        <w:gridCol w:w="109"/>
        <w:gridCol w:w="109"/>
        <w:gridCol w:w="109"/>
        <w:gridCol w:w="211"/>
        <w:gridCol w:w="512"/>
        <w:gridCol w:w="109"/>
        <w:gridCol w:w="109"/>
        <w:gridCol w:w="109"/>
        <w:gridCol w:w="109"/>
        <w:gridCol w:w="233"/>
        <w:gridCol w:w="565"/>
        <w:gridCol w:w="120"/>
        <w:gridCol w:w="120"/>
        <w:gridCol w:w="120"/>
        <w:gridCol w:w="120"/>
        <w:gridCol w:w="233"/>
        <w:gridCol w:w="565"/>
        <w:gridCol w:w="170"/>
      </w:tblGrid>
      <w:tr>
        <w:trPr/>
        <w:tc>
          <w:tcPr>
            <w:tcW w:w="1114"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March 31,</w:t>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 *</w:t>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on-premises and SaaS software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We sold certain assets related to our Siron compliance business during the quarter ended December 31, 2022, and the amount above excludes this product line for the six months ended March 31, 2023.</w:t>
      </w:r>
    </w:p>
    <w:p>
      <w:pPr>
        <w:pStyle w:val="TextBody"/>
        <w:bidi w:val="0"/>
        <w:spacing w:lineRule="auto" w:line="288" w:before="240" w:after="283"/>
        <w:ind w:left="0" w:right="0" w:firstLine="396"/>
        <w:jc w:val="both"/>
        <w:rPr>
          <w:rFonts w:ascii="Times New Roman;sans-serif" w:hAnsi="Times New Roman;sans-serif"/>
          <w:b/>
          <w:i/>
          <w:color w:val="000000"/>
          <w:sz w:val="20"/>
        </w:rPr>
      </w:pPr>
      <w:r>
        <w:rPr>
          <w:rFonts w:ascii="Times New Roman;sans-serif" w:hAnsi="Times New Roman;sans-serif"/>
          <w:b/>
          <w:i/>
          <w:color w:val="000000"/>
          <w:sz w:val="20"/>
        </w:rPr>
        <w:t>Annual Recurring Revenue (“ARR”)</w:t>
      </w:r>
    </w:p>
    <w:p>
      <w:pPr>
        <w:pStyle w:val="TextBody"/>
        <w:bidi w:val="0"/>
        <w:spacing w:lineRule="auto" w:line="288" w:before="120" w:after="283"/>
        <w:ind w:left="0" w:right="0" w:firstLine="495"/>
        <w:jc w:val="both"/>
        <w:rPr/>
      </w:pPr>
      <w:r>
        <w:rPr>
          <w:rFonts w:ascii="Times New Roman;sans-serif" w:hAnsi="Times New Roman;sans-serif"/>
          <w:b w:val="false"/>
          <w:color w:val="000000"/>
          <w:sz w:val="20"/>
        </w:rPr>
        <w:t xml:space="preserve">Accounting Standards Codification Topic 606, </w:t>
      </w:r>
      <w:r>
        <w:rPr>
          <w:rFonts w:ascii="Times New Roman;sans-serif" w:hAnsi="Times New Roman;sans-serif"/>
          <w:b w:val="false"/>
          <w:i/>
          <w:color w:val="000000"/>
          <w:sz w:val="20"/>
        </w:rPr>
        <w:t>Revenue from Contacts with Customers</w:t>
      </w:r>
      <w:r>
        <w:rPr>
          <w:rFonts w:ascii="Times New Roman;sans-serif" w:hAnsi="Times New Roman;sans-serif"/>
          <w:b w:val="false"/>
          <w:color w:val="000000"/>
          <w:sz w:val="20"/>
        </w:rPr>
        <w:t>, requires us to recognize a significant portion of revenue from our on-premises software subscriptions at the point in time when the software is first made available to the customer, or at the beginning of the subscription term, despite</w:t>
      </w:r>
      <w:r>
        <w:rPr>
          <w:color w:val="000000"/>
        </w:rPr>
        <w:t xml:space="preserve"> </w:t>
      </w:r>
      <w:r>
        <w:rPr>
          <w:rFonts w:ascii="Times New Roman;sans-serif" w:hAnsi="Times New Roman;sans-serif"/>
          <w:b w:val="false"/>
          <w:color w:val="000000"/>
          <w:sz w:val="20"/>
        </w:rPr>
        <w:t>the fact that our contracts typically call for billing these amounts ratably over the life of the subscription. The remaining portion of our on-premises software subscription revenue including maintenance and usage-based fees are recognized over the life of the contract. This point-in-time recognition of a portion of our on-premises software subscription revenue creates significant variability in the revenue recognized period to period based on the timing of the subscription start date and the subscription term. Furthermore, this point-in-time revenue recognition can create a significant difference between the timing of our revenue recognition and the actual customer billing under the contract. We use ARR to measure the underlying performance of our subscription-based contracts and mitigate the impact of this variability. ARR is defined as the annualized revenue run-rate of on-premises and SaaS software agreements within a quarterly reporting period, and as such, is different from the timing and amount of revenue recognized. All components of our software licensing and subscription arrangements that are not expected to recur (primarily perpetual licenses) are excluded.</w:t>
      </w:r>
      <w:r>
        <w:rPr>
          <w:color w:val="000000"/>
        </w:rPr>
        <w:t xml:space="preserve"> </w:t>
      </w:r>
      <w:r>
        <w:rPr>
          <w:rFonts w:ascii="Times New Roman;sans-serif" w:hAnsi="Times New Roman;sans-serif"/>
          <w:b w:val="false"/>
          <w:color w:val="000000"/>
          <w:sz w:val="20"/>
        </w:rPr>
        <w:t>We calculate ARR as the quarterly recurring revenue run-rate multiplied by four.</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ARR for on-premises and SaaS software exiting each of the dates presented:</w:t>
      </w:r>
    </w:p>
    <w:tbl>
      <w:tblPr>
        <w:tblW w:w="10530" w:type="dxa"/>
        <w:jc w:val="left"/>
        <w:tblInd w:w="0" w:type="dxa"/>
        <w:tblLayout w:type="fixed"/>
        <w:tblCellMar>
          <w:top w:w="28" w:type="dxa"/>
          <w:left w:w="28" w:type="dxa"/>
          <w:bottom w:w="28" w:type="dxa"/>
          <w:right w:w="28" w:type="dxa"/>
        </w:tblCellMar>
      </w:tblPr>
      <w:tblGrid>
        <w:gridCol w:w="460"/>
        <w:gridCol w:w="404"/>
        <w:gridCol w:w="412"/>
        <w:gridCol w:w="262"/>
        <w:gridCol w:w="204"/>
        <w:gridCol w:w="408"/>
        <w:gridCol w:w="109"/>
        <w:gridCol w:w="109"/>
        <w:gridCol w:w="109"/>
        <w:gridCol w:w="310"/>
        <w:gridCol w:w="170"/>
        <w:gridCol w:w="401"/>
        <w:gridCol w:w="109"/>
        <w:gridCol w:w="109"/>
        <w:gridCol w:w="109"/>
        <w:gridCol w:w="294"/>
        <w:gridCol w:w="191"/>
        <w:gridCol w:w="380"/>
        <w:gridCol w:w="109"/>
        <w:gridCol w:w="109"/>
        <w:gridCol w:w="109"/>
        <w:gridCol w:w="234"/>
        <w:gridCol w:w="232"/>
        <w:gridCol w:w="339"/>
        <w:gridCol w:w="109"/>
        <w:gridCol w:w="109"/>
        <w:gridCol w:w="109"/>
        <w:gridCol w:w="262"/>
        <w:gridCol w:w="204"/>
        <w:gridCol w:w="408"/>
        <w:gridCol w:w="109"/>
        <w:gridCol w:w="109"/>
        <w:gridCol w:w="109"/>
        <w:gridCol w:w="310"/>
        <w:gridCol w:w="170"/>
        <w:gridCol w:w="401"/>
        <w:gridCol w:w="109"/>
        <w:gridCol w:w="109"/>
        <w:gridCol w:w="109"/>
        <w:gridCol w:w="294"/>
        <w:gridCol w:w="191"/>
        <w:gridCol w:w="380"/>
        <w:gridCol w:w="109"/>
        <w:gridCol w:w="109"/>
        <w:gridCol w:w="109"/>
        <w:gridCol w:w="304"/>
        <w:gridCol w:w="162"/>
        <w:gridCol w:w="454"/>
      </w:tblGrid>
      <w:tr>
        <w:trPr/>
        <w:tc>
          <w:tcPr>
            <w:tcW w:w="460"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June 30, </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June 30, </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December 31, </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March 31, </w:t>
              <w:br/>
              <w:t>2024</w:t>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 xml:space="preserve">ARR </w:t>
            </w:r>
            <w:r>
              <w:rPr>
                <w:rFonts w:ascii="Times New Roman;sans-serif" w:hAnsi="Times New Roman;sans-serif"/>
                <w:b/>
                <w:color w:val="000000"/>
                <w:sz w:val="13"/>
              </w:rPr>
              <w:t>(*)</w:t>
            </w:r>
          </w:p>
        </w:tc>
        <w:tc>
          <w:tcPr>
            <w:tcW w:w="9254"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Platform</w:t>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201.4</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Non-platform</w:t>
            </w:r>
          </w:p>
        </w:tc>
        <w:tc>
          <w:tcPr>
            <w:tcW w:w="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495.6</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20"/>
              </w:rPr>
              <w:t>Total</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697.0</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Percentage</w:t>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Platform</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Non-platform</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4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20"/>
              </w:rPr>
              <w:t>Total</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YoY Change</w:t>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Platform</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4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Non-platform</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20"/>
              </w:rPr>
              <w:t>Total</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4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We sold certain assets related to our Siron compliance business during the quarter ended December 31, 2022, and the amounts and percentages above exclude this product line at June 30, 2022, September 30, 2022 and December 31, 2022.</w:t>
      </w:r>
    </w:p>
    <w:p>
      <w:pPr>
        <w:pStyle w:val="TextBody"/>
        <w:bidi w:val="0"/>
        <w:spacing w:before="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bed2e1db0b514eea8067dbdd2fa15ab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Dollar-Based Net Retention Rate (“DBNRR”)</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consider DBNRR to be an important measure of our success in retaining and growing revenue from our existing customers. To calculate DBNRR for any period, we compare the ARR at the end of the prior comparable quarter (“base ARR”) to the ARR from that same cohort of customers at the end of the current quarter (“retained ARR”); we then divide the retained ARR by the base ARR to arrive at the DBNRR. Our calculation includes the positive impact among this cohort of customers of selling additional products, price increases and increases in usage-based fees, and the negative impact of customer attrition, price decreases, and decreases in usage-based fees during the period. However, the calculation does not include the positive impact from sales to any new customers acquired during the period. Our DBNRR may increase or decrease from period to period as a result of various factors, including the timing of new sales and customer renewal rates.</w:t>
      </w:r>
    </w:p>
    <w:p>
      <w:pPr>
        <w:pStyle w:val="TextBody"/>
        <w:bidi w:val="0"/>
        <w:spacing w:lineRule="auto" w:line="288" w:before="180" w:after="283"/>
        <w:ind w:left="0" w:right="0" w:firstLine="50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DBNRR for on-premises and SaaS software exiting each of the dates presented:</w:t>
      </w:r>
    </w:p>
    <w:tbl>
      <w:tblPr>
        <w:tblW w:w="10418" w:type="dxa"/>
        <w:jc w:val="left"/>
        <w:tblInd w:w="0" w:type="dxa"/>
        <w:tblLayout w:type="fixed"/>
        <w:tblCellMar>
          <w:top w:w="28" w:type="dxa"/>
          <w:left w:w="28" w:type="dxa"/>
          <w:bottom w:w="28" w:type="dxa"/>
          <w:right w:w="28" w:type="dxa"/>
        </w:tblCellMar>
      </w:tblPr>
      <w:tblGrid>
        <w:gridCol w:w="522"/>
        <w:gridCol w:w="385"/>
        <w:gridCol w:w="369"/>
        <w:gridCol w:w="233"/>
        <w:gridCol w:w="233"/>
        <w:gridCol w:w="271"/>
        <w:gridCol w:w="109"/>
        <w:gridCol w:w="109"/>
        <w:gridCol w:w="109"/>
        <w:gridCol w:w="272"/>
        <w:gridCol w:w="194"/>
        <w:gridCol w:w="483"/>
        <w:gridCol w:w="109"/>
        <w:gridCol w:w="109"/>
        <w:gridCol w:w="109"/>
        <w:gridCol w:w="282"/>
        <w:gridCol w:w="184"/>
        <w:gridCol w:w="458"/>
        <w:gridCol w:w="109"/>
        <w:gridCol w:w="109"/>
        <w:gridCol w:w="109"/>
        <w:gridCol w:w="279"/>
        <w:gridCol w:w="187"/>
        <w:gridCol w:w="326"/>
        <w:gridCol w:w="109"/>
        <w:gridCol w:w="109"/>
        <w:gridCol w:w="109"/>
        <w:gridCol w:w="233"/>
        <w:gridCol w:w="233"/>
        <w:gridCol w:w="271"/>
        <w:gridCol w:w="109"/>
        <w:gridCol w:w="109"/>
        <w:gridCol w:w="109"/>
        <w:gridCol w:w="272"/>
        <w:gridCol w:w="194"/>
        <w:gridCol w:w="483"/>
        <w:gridCol w:w="109"/>
        <w:gridCol w:w="109"/>
        <w:gridCol w:w="109"/>
        <w:gridCol w:w="254"/>
        <w:gridCol w:w="212"/>
        <w:gridCol w:w="458"/>
        <w:gridCol w:w="109"/>
        <w:gridCol w:w="109"/>
        <w:gridCol w:w="109"/>
        <w:gridCol w:w="233"/>
        <w:gridCol w:w="233"/>
        <w:gridCol w:w="375"/>
      </w:tblGrid>
      <w:tr>
        <w:trPr/>
        <w:tc>
          <w:tcPr>
            <w:tcW w:w="52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June 30, </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June 30, </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December 31, </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March 31, </w:t>
              <w:br/>
              <w:t>2024</w:t>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i/>
                <w:color w:val="000000"/>
                <w:sz w:val="20"/>
              </w:rPr>
              <w:t xml:space="preserve">DBNRR </w:t>
            </w:r>
            <w:r>
              <w:rPr>
                <w:rFonts w:ascii="Times New Roman;sans-serif" w:hAnsi="Times New Roman;sans-serif"/>
                <w:b/>
                <w:color w:val="000000"/>
                <w:sz w:val="13"/>
              </w:rPr>
              <w:t>(*)</w:t>
            </w:r>
          </w:p>
        </w:tc>
        <w:tc>
          <w:tcPr>
            <w:tcW w:w="6723" w:type="dxa"/>
            <w:gridSpan w:val="3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Platform</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4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4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Non-platform</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20"/>
              </w:rPr>
              <w:t>Total</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4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4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We sold certain assets related to our Siron compliance business during the quarter ended December 31, 2022, and the percentages above exclude this product line at June 30, 2022, September 30, 2022 and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ind w:left="0" w:right="0" w:firstLine="720"/>
        <w:jc w:val="both"/>
        <w:rPr/>
      </w:pPr>
      <w:r>
        <w:rPr/>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organized into two reportable segments: Scores and Software. Although we sell solutions and services into a large number of end user product and industry markets, our reportable business segments reflect the primary method in which management organizes and evaluates internal financial information to make operating decisions and assess performance.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Segment revenues, operating income, and related financial information, including disaggregation of revenue, are set forth in Note 7 and Note 10 to the accompanying condensed consolidated financial statements.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Revenues</w:t>
      </w:r>
    </w:p>
    <w:p>
      <w:pPr>
        <w:pStyle w:val="TextBody"/>
        <w:bidi w:val="0"/>
        <w:spacing w:lineRule="auto" w:line="288" w:before="120" w:after="18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certain summary information on a segment basis related to our revenues for the quarters and six-month periods ended March 31, 2024 and 2023:</w:t>
      </w:r>
    </w:p>
    <w:tbl>
      <w:tblPr>
        <w:tblW w:w="10076" w:type="dxa"/>
        <w:jc w:val="left"/>
        <w:tblInd w:w="0" w:type="dxa"/>
        <w:tblLayout w:type="fixed"/>
        <w:tblCellMar>
          <w:top w:w="28" w:type="dxa"/>
          <w:left w:w="28" w:type="dxa"/>
          <w:bottom w:w="28" w:type="dxa"/>
          <w:right w:w="28" w:type="dxa"/>
        </w:tblCellMar>
      </w:tblPr>
      <w:tblGrid>
        <w:gridCol w:w="298"/>
        <w:gridCol w:w="262"/>
        <w:gridCol w:w="266"/>
        <w:gridCol w:w="211"/>
        <w:gridCol w:w="826"/>
        <w:gridCol w:w="109"/>
        <w:gridCol w:w="109"/>
        <w:gridCol w:w="109"/>
        <w:gridCol w:w="109"/>
        <w:gridCol w:w="211"/>
        <w:gridCol w:w="826"/>
        <w:gridCol w:w="109"/>
        <w:gridCol w:w="109"/>
        <w:gridCol w:w="109"/>
        <w:gridCol w:w="109"/>
        <w:gridCol w:w="232"/>
        <w:gridCol w:w="234"/>
        <w:gridCol w:w="380"/>
        <w:gridCol w:w="152"/>
        <w:gridCol w:w="152"/>
        <w:gridCol w:w="152"/>
        <w:gridCol w:w="232"/>
        <w:gridCol w:w="234"/>
        <w:gridCol w:w="387"/>
        <w:gridCol w:w="109"/>
        <w:gridCol w:w="109"/>
        <w:gridCol w:w="109"/>
        <w:gridCol w:w="391"/>
        <w:gridCol w:w="1340"/>
        <w:gridCol w:w="204"/>
        <w:gridCol w:w="109"/>
        <w:gridCol w:w="109"/>
        <w:gridCol w:w="109"/>
        <w:gridCol w:w="317"/>
        <w:gridCol w:w="317"/>
        <w:gridCol w:w="926"/>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Period-to-Period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Period-to-Period</w:t>
              <w:br/>
              <w:t>Percentage Change</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Segment</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Scores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38,378 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9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15,165 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9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433,809 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380,266 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53,543 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9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9"/>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Period-to-Period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Period-to-Period</w:t>
              <w:br/>
              <w:t>Percentage Change</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Segment</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Scores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52,502 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9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38,230 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9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815,868 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725,136 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90,732 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9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bed2e1db0b514eea8067dbdd2fa15ab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225"/>
        <w:jc w:val="left"/>
        <w:rPr>
          <w:rFonts w:ascii="Times New Roman;sans-serif" w:hAnsi="Times New Roman;sans-serif"/>
          <w:b/>
          <w:color w:val="000000"/>
          <w:sz w:val="20"/>
        </w:rPr>
      </w:pPr>
      <w:r>
        <w:rPr>
          <w:rFonts w:ascii="Times New Roman;sans-serif" w:hAnsi="Times New Roman;sans-serif"/>
          <w:b/>
          <w:color w:val="000000"/>
          <w:sz w:val="20"/>
        </w:rPr>
        <w:t>Quarter Ended March 31, 2024 Compared to Quarter Ended March 31, 2023</w:t>
      </w:r>
    </w:p>
    <w:p>
      <w:pPr>
        <w:pStyle w:val="TextBody"/>
        <w:bidi w:val="0"/>
        <w:spacing w:lineRule="auto" w:line="288" w:before="240" w:after="283"/>
        <w:ind w:left="0" w:right="0" w:firstLine="225"/>
        <w:jc w:val="left"/>
        <w:rPr>
          <w:rFonts w:ascii="Times New Roman;sans-serif" w:hAnsi="Times New Roman;sans-serif"/>
          <w:b/>
          <w:i/>
          <w:color w:val="000000"/>
          <w:sz w:val="20"/>
        </w:rPr>
      </w:pPr>
      <w:r>
        <w:rPr>
          <w:rFonts w:ascii="Times New Roman;sans-serif" w:hAnsi="Times New Roman;sans-serif"/>
          <w:b/>
          <w:i/>
          <w:color w:val="000000"/>
          <w:sz w:val="20"/>
        </w:rPr>
        <w:t>Scores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Scores segment revenues increased $38.4 million due to an increase of $40.6 million in our business-to-business scores revenue, partially offset by a decrease of $2.2 million in our business-to-consumer revenue. The increase in business-to-business scores revenue was primarily attributable to a higher unit price, partially offset by a decrease in volume of mortgage originations. The decrease in business-to-consumer revenue was primarily attributable to a decrease in direct sales generated from the myFICO.com website.</w:t>
      </w:r>
    </w:p>
    <w:p>
      <w:pPr>
        <w:pStyle w:val="TextBody"/>
        <w:bidi w:val="0"/>
        <w:spacing w:lineRule="auto" w:line="288" w:before="300" w:after="283"/>
        <w:ind w:left="0" w:right="0" w:firstLine="225"/>
        <w:jc w:val="left"/>
        <w:rPr>
          <w:rFonts w:ascii="Times New Roman;sans-serif" w:hAnsi="Times New Roman;sans-serif"/>
          <w:b/>
          <w:i/>
          <w:color w:val="000000"/>
          <w:sz w:val="20"/>
        </w:rPr>
      </w:pPr>
      <w:r>
        <w:rPr>
          <w:rFonts w:ascii="Times New Roman;sans-serif" w:hAnsi="Times New Roman;sans-serif"/>
          <w:b/>
          <w:i/>
          <w:color w:val="000000"/>
          <w:sz w:val="20"/>
        </w:rPr>
        <w:t>Software</w:t>
      </w:r>
    </w:p>
    <w:tbl>
      <w:tblPr>
        <w:tblW w:w="9391" w:type="dxa"/>
        <w:jc w:val="left"/>
        <w:tblInd w:w="0" w:type="dxa"/>
        <w:tblLayout w:type="fixed"/>
        <w:tblCellMar>
          <w:top w:w="28" w:type="dxa"/>
          <w:left w:w="28" w:type="dxa"/>
          <w:bottom w:w="28" w:type="dxa"/>
          <w:right w:w="28" w:type="dxa"/>
        </w:tblCellMar>
      </w:tblPr>
      <w:tblGrid>
        <w:gridCol w:w="951"/>
        <w:gridCol w:w="834"/>
        <w:gridCol w:w="839"/>
        <w:gridCol w:w="211"/>
        <w:gridCol w:w="826"/>
        <w:gridCol w:w="109"/>
        <w:gridCol w:w="109"/>
        <w:gridCol w:w="109"/>
        <w:gridCol w:w="109"/>
        <w:gridCol w:w="211"/>
        <w:gridCol w:w="826"/>
        <w:gridCol w:w="109"/>
        <w:gridCol w:w="109"/>
        <w:gridCol w:w="109"/>
        <w:gridCol w:w="109"/>
        <w:gridCol w:w="391"/>
        <w:gridCol w:w="1340"/>
        <w:gridCol w:w="204"/>
        <w:gridCol w:w="109"/>
        <w:gridCol w:w="109"/>
        <w:gridCol w:w="109"/>
        <w:gridCol w:w="317"/>
        <w:gridCol w:w="317"/>
        <w:gridCol w:w="925"/>
      </w:tblGrid>
      <w:tr>
        <w:trPr/>
        <w:tc>
          <w:tcPr>
            <w:tcW w:w="95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Period-to-Period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Period-to-Period</w:t>
              <w:br/>
              <w:t>Percentage Change</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On-premises and SaaS software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22,596 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(7,431)</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15,165 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495"/>
        <w:jc w:val="both"/>
        <w:rPr/>
      </w:pPr>
      <w:r>
        <w:rPr>
          <w:rFonts w:ascii="Times New Roman;sans-serif" w:hAnsi="Times New Roman;sans-serif"/>
          <w:b w:val="false"/>
          <w:color w:val="000000"/>
          <w:sz w:val="20"/>
        </w:rPr>
        <w:t>Software</w:t>
      </w:r>
      <w:r>
        <w:rPr>
          <w:color w:val="000000"/>
        </w:rPr>
        <w:t xml:space="preserve"> </w:t>
      </w:r>
      <w:r>
        <w:rPr>
          <w:rFonts w:ascii="Times New Roman;sans-serif" w:hAnsi="Times New Roman;sans-serif"/>
          <w:b w:val="false"/>
          <w:color w:val="000000"/>
          <w:sz w:val="20"/>
        </w:rPr>
        <w:t>segment revenues increased $15.2 million due to a $22.6 million increase in our on-premises and SaaS software revenue, partially offset by a $7.4 million decrease in professional services revenue. The increase in our on-premises and SaaS software revenue was primarily attributable to an increase in revenue recognized over-time largely driven by SaaS growth. The decrease in professional services revenue was primarily attributable to our strategy to emphasize higher-margin software over professional services.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300" w:after="283"/>
        <w:jc w:val="left"/>
        <w:rPr>
          <w:rFonts w:ascii="Times New Roman;sans-serif" w:hAnsi="Times New Roman;sans-serif"/>
          <w:b/>
          <w:color w:val="000000"/>
          <w:sz w:val="20"/>
        </w:rPr>
      </w:pPr>
      <w:r>
        <w:rPr>
          <w:rFonts w:ascii="Times New Roman;sans-serif" w:hAnsi="Times New Roman;sans-serif"/>
          <w:b/>
          <w:color w:val="000000"/>
          <w:sz w:val="20"/>
        </w:rPr>
        <w:t xml:space="preserve">Six Months Ended March 31, 2024 Compared to Six Months Ended March 31, 2023 </w:t>
      </w:r>
    </w:p>
    <w:p>
      <w:pPr>
        <w:pStyle w:val="TextBody"/>
        <w:bidi w:val="0"/>
        <w:spacing w:lineRule="auto" w:line="288" w:before="120" w:after="283"/>
        <w:ind w:left="0" w:right="0" w:firstLine="225"/>
        <w:jc w:val="left"/>
        <w:rPr>
          <w:rFonts w:ascii="Times New Roman;sans-serif" w:hAnsi="Times New Roman;sans-serif"/>
          <w:b/>
          <w:i/>
          <w:color w:val="000000"/>
          <w:sz w:val="20"/>
        </w:rPr>
      </w:pPr>
      <w:r>
        <w:rPr>
          <w:rFonts w:ascii="Times New Roman;sans-serif" w:hAnsi="Times New Roman;sans-serif"/>
          <w:b/>
          <w:i/>
          <w:color w:val="000000"/>
          <w:sz w:val="20"/>
        </w:rPr>
        <w:t>Scores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Scores segment revenues increased $52.5 million due to an increase of $56.2 million in our business-to-business scores revenue, partially offset by a decrease of $3.7 million in our business-to-consumer revenue. The increase in business-to-business scores revenue was primarily attributable to a higher unit price, partially offset by a decrease in volume of mortgage originations. The decrease in business-to-consumer revenue was primarily attributable to a decrease in direct sales generated from the myFICO.com website.</w:t>
      </w:r>
    </w:p>
    <w:p>
      <w:pPr>
        <w:pStyle w:val="TextBody"/>
        <w:bidi w:val="0"/>
        <w:spacing w:lineRule="auto" w:line="288" w:before="30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Software</w:t>
      </w:r>
    </w:p>
    <w:tbl>
      <w:tblPr>
        <w:tblW w:w="9391" w:type="dxa"/>
        <w:jc w:val="left"/>
        <w:tblInd w:w="0" w:type="dxa"/>
        <w:tblLayout w:type="fixed"/>
        <w:tblCellMar>
          <w:top w:w="28" w:type="dxa"/>
          <w:left w:w="28" w:type="dxa"/>
          <w:bottom w:w="28" w:type="dxa"/>
          <w:right w:w="28" w:type="dxa"/>
        </w:tblCellMar>
      </w:tblPr>
      <w:tblGrid>
        <w:gridCol w:w="951"/>
        <w:gridCol w:w="834"/>
        <w:gridCol w:w="839"/>
        <w:gridCol w:w="211"/>
        <w:gridCol w:w="826"/>
        <w:gridCol w:w="109"/>
        <w:gridCol w:w="109"/>
        <w:gridCol w:w="109"/>
        <w:gridCol w:w="109"/>
        <w:gridCol w:w="211"/>
        <w:gridCol w:w="826"/>
        <w:gridCol w:w="109"/>
        <w:gridCol w:w="109"/>
        <w:gridCol w:w="109"/>
        <w:gridCol w:w="109"/>
        <w:gridCol w:w="391"/>
        <w:gridCol w:w="1340"/>
        <w:gridCol w:w="204"/>
        <w:gridCol w:w="109"/>
        <w:gridCol w:w="109"/>
        <w:gridCol w:w="109"/>
        <w:gridCol w:w="317"/>
        <w:gridCol w:w="317"/>
        <w:gridCol w:w="925"/>
      </w:tblGrid>
      <w:tr>
        <w:trPr/>
        <w:tc>
          <w:tcPr>
            <w:tcW w:w="95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Period-to-Period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Period-to-Period</w:t>
              <w:br/>
              <w:t>Percentage Change</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On-premises and SaaS software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46,704 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(8,474)</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386,871 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348,641 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38,230 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495"/>
        <w:jc w:val="both"/>
        <w:rPr/>
      </w:pPr>
      <w:r>
        <w:rPr>
          <w:rFonts w:ascii="Times New Roman;sans-serif" w:hAnsi="Times New Roman;sans-serif"/>
          <w:b w:val="false"/>
          <w:color w:val="000000"/>
          <w:sz w:val="20"/>
        </w:rPr>
        <w:t>Software</w:t>
      </w:r>
      <w:r>
        <w:rPr>
          <w:color w:val="000000"/>
        </w:rPr>
        <w:t xml:space="preserve"> </w:t>
      </w:r>
      <w:r>
        <w:rPr>
          <w:rFonts w:ascii="Times New Roman;sans-serif" w:hAnsi="Times New Roman;sans-serif"/>
          <w:b w:val="false"/>
          <w:color w:val="000000"/>
          <w:sz w:val="20"/>
        </w:rPr>
        <w:t>segment revenues increased $38.2 million due to a $46.7 million increase in our on-premises and SaaS software revenue, partially offset by an $8.5 million decrease in professional services revenue. The increase in our on-premises and SaaS software revenue was primarily attributable to an increase in revenue recognized over-time largely driven by SaaS growth. The decrease in professional services revenue was primarily attributable to our strategy to emphasize higher-margin software over professional services.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bed2e1db0b514eea8067dbdd2fa15ab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Operating Expenses and Other Income (Expense), Net</w:t>
      </w:r>
    </w:p>
    <w:p>
      <w:pPr>
        <w:pStyle w:val="TextBody"/>
        <w:bidi w:val="0"/>
        <w:spacing w:lineRule="auto" w:line="288" w:before="12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certain summary information related to our condensed consolidated statements of income and comprehensive income for the quarters and six-month periods ended March 31, 2024 and 2023:</w:t>
      </w:r>
    </w:p>
    <w:tbl>
      <w:tblPr>
        <w:tblW w:w="10205" w:type="dxa"/>
        <w:jc w:val="left"/>
        <w:tblInd w:w="0" w:type="dxa"/>
        <w:tblLayout w:type="fixed"/>
        <w:tblCellMar>
          <w:top w:w="28" w:type="dxa"/>
          <w:left w:w="28" w:type="dxa"/>
          <w:bottom w:w="28" w:type="dxa"/>
          <w:right w:w="28" w:type="dxa"/>
        </w:tblCellMar>
      </w:tblPr>
      <w:tblGrid>
        <w:gridCol w:w="806"/>
        <w:gridCol w:w="475"/>
        <w:gridCol w:w="482"/>
        <w:gridCol w:w="211"/>
        <w:gridCol w:w="826"/>
        <w:gridCol w:w="109"/>
        <w:gridCol w:w="109"/>
        <w:gridCol w:w="109"/>
        <w:gridCol w:w="109"/>
        <w:gridCol w:w="211"/>
        <w:gridCol w:w="826"/>
        <w:gridCol w:w="109"/>
        <w:gridCol w:w="109"/>
        <w:gridCol w:w="109"/>
        <w:gridCol w:w="109"/>
        <w:gridCol w:w="233"/>
        <w:gridCol w:w="233"/>
        <w:gridCol w:w="380"/>
        <w:gridCol w:w="152"/>
        <w:gridCol w:w="152"/>
        <w:gridCol w:w="152"/>
        <w:gridCol w:w="233"/>
        <w:gridCol w:w="233"/>
        <w:gridCol w:w="387"/>
        <w:gridCol w:w="109"/>
        <w:gridCol w:w="109"/>
        <w:gridCol w:w="109"/>
        <w:gridCol w:w="313"/>
        <w:gridCol w:w="1037"/>
        <w:gridCol w:w="158"/>
        <w:gridCol w:w="109"/>
        <w:gridCol w:w="109"/>
        <w:gridCol w:w="109"/>
        <w:gridCol w:w="282"/>
        <w:gridCol w:w="228"/>
        <w:gridCol w:w="669"/>
      </w:tblGrid>
      <w:tr>
        <w:trPr/>
        <w:tc>
          <w:tcPr>
            <w:tcW w:w="80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r>
      <w:tr>
        <w:trPr/>
        <w:tc>
          <w:tcPr>
            <w:tcW w:w="17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Period-to-Period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Period-to-</w:t>
              <w:br/>
              <w:t>Period</w:t>
              <w:br/>
              <w:t>Percentage Change</w:t>
            </w:r>
          </w:p>
        </w:tc>
      </w:tr>
      <w:tr>
        <w:trPr/>
        <w:tc>
          <w:tcPr>
            <w:tcW w:w="17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w:t>
              <w:br/>
              <w:t>employees)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br/>
              <w:t>except employees)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53,543 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6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r>
      <w:tr>
        <w:trPr/>
        <w:tc>
          <w:tcPr>
            <w:tcW w:w="176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r>
      <w:tr>
        <w:trPr/>
        <w:tc>
          <w:tcPr>
            <w:tcW w:w="1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238,968 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220,505 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18,463 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194,841 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159,761 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3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3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35,080 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35,265 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Provision for income taxes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28,249 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employees at quarter end</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100" w:after="283"/>
        <w:jc w:val="left"/>
        <w:rPr/>
      </w:pPr>
      <w:r>
        <w:rPr/>
      </w:r>
    </w:p>
    <w:tbl>
      <w:tblPr>
        <w:tblW w:w="10205" w:type="dxa"/>
        <w:jc w:val="left"/>
        <w:tblInd w:w="0" w:type="dxa"/>
        <w:tblLayout w:type="fixed"/>
        <w:tblCellMar>
          <w:top w:w="28" w:type="dxa"/>
          <w:left w:w="28" w:type="dxa"/>
          <w:bottom w:w="28" w:type="dxa"/>
          <w:right w:w="28" w:type="dxa"/>
        </w:tblCellMar>
      </w:tblPr>
      <w:tblGrid>
        <w:gridCol w:w="800"/>
        <w:gridCol w:w="473"/>
        <w:gridCol w:w="479"/>
        <w:gridCol w:w="211"/>
        <w:gridCol w:w="826"/>
        <w:gridCol w:w="109"/>
        <w:gridCol w:w="109"/>
        <w:gridCol w:w="109"/>
        <w:gridCol w:w="109"/>
        <w:gridCol w:w="211"/>
        <w:gridCol w:w="826"/>
        <w:gridCol w:w="109"/>
        <w:gridCol w:w="109"/>
        <w:gridCol w:w="109"/>
        <w:gridCol w:w="109"/>
        <w:gridCol w:w="233"/>
        <w:gridCol w:w="233"/>
        <w:gridCol w:w="380"/>
        <w:gridCol w:w="152"/>
        <w:gridCol w:w="152"/>
        <w:gridCol w:w="152"/>
        <w:gridCol w:w="233"/>
        <w:gridCol w:w="233"/>
        <w:gridCol w:w="387"/>
        <w:gridCol w:w="109"/>
        <w:gridCol w:w="109"/>
        <w:gridCol w:w="109"/>
        <w:gridCol w:w="303"/>
        <w:gridCol w:w="1040"/>
        <w:gridCol w:w="158"/>
        <w:gridCol w:w="109"/>
        <w:gridCol w:w="109"/>
        <w:gridCol w:w="109"/>
        <w:gridCol w:w="294"/>
        <w:gridCol w:w="230"/>
        <w:gridCol w:w="673"/>
      </w:tblGrid>
      <w:tr>
        <w:trPr/>
        <w:tc>
          <w:tcPr>
            <w:tcW w:w="800"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r>
      <w:tr>
        <w:trPr/>
        <w:tc>
          <w:tcPr>
            <w:tcW w:w="17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Period-to-Period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Period-to-</w:t>
              <w:br/>
              <w:t>Period</w:t>
              <w:br/>
              <w:t>Percentage Change</w:t>
            </w:r>
          </w:p>
        </w:tc>
      </w:tr>
      <w:tr>
        <w:trPr/>
        <w:tc>
          <w:tcPr>
            <w:tcW w:w="17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90,732 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6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6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22,043 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6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product line asset sale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6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469,668 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425,036 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3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3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44,632 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46,100 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6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6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303,324 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255,372 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3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3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47,952 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6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250,864 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3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51,671 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bed2e1db0b514eea8067dbdd2fa15ab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225"/>
        <w:jc w:val="left"/>
        <w:rPr>
          <w:rFonts w:ascii="Times New Roman;sans-serif" w:hAnsi="Times New Roman;sans-serif"/>
          <w:b/>
          <w:i/>
          <w:color w:val="000000"/>
          <w:sz w:val="20"/>
        </w:rPr>
      </w:pPr>
      <w:r>
        <w:rPr>
          <w:rFonts w:ascii="Times New Roman;sans-serif" w:hAnsi="Times New Roman;sans-serif"/>
          <w:b/>
          <w:i/>
          <w:color w:val="000000"/>
          <w:sz w:val="20"/>
        </w:rPr>
        <w:t>Cost of Revenues</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Cost of revenues consists primarily of employee salaries, incentives, and benefits for personnel directly involved in delivering software products, operating SaaS infrastructure, and providing support, implementation and consulting services; overhead, facilities and data center costs; software royalty fees; credit bureau data and processing services; third-party hosting fees related to our SaaS services; travel costs; and outside services.</w:t>
      </w:r>
    </w:p>
    <w:p>
      <w:pPr>
        <w:pStyle w:val="TextBody"/>
        <w:bidi w:val="0"/>
        <w:spacing w:lineRule="auto" w:line="288" w:before="180" w:after="283"/>
        <w:ind w:left="0" w:right="0" w:firstLine="495"/>
        <w:jc w:val="both"/>
        <w:rPr/>
      </w:pPr>
      <w:r>
        <w:rPr>
          <w:rFonts w:ascii="Times New Roman;sans-serif" w:hAnsi="Times New Roman;sans-serif"/>
          <w:b w:val="false"/>
          <w:color w:val="000000"/>
          <w:sz w:val="20"/>
        </w:rPr>
        <w:t>The quarter-over-prior year quarter increase in cost of revenues of $7.1 million was primarily attributable to a $2.5 million increase in infrastructure and facilities costs, a $2.0 million increase in personnel and labor costs, and a $2.0 million increase in direct materials costs. The increase in infrastructure and facilities costs was primarily attributable to increased third-party data center hosting costs. The increase in personnel and labor costs was primarily attributable to increased headcount and increased share-based compensation expense, partially offset by decreased incentive expense. The increase in direct materials costs was primarily attributable to increased telecommunications expenses to support FICO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Customer Communications Services revenue. Cost of revenues as a percentage of revenues decreased to 20% during the quarter ended March 31, 2024 from 21% during the quarter ended March 31, 2023, primarily due to increased sales of our higher-margin Scores products and decreased sales of lower-margin professional services. </w:t>
      </w:r>
    </w:p>
    <w:p>
      <w:pPr>
        <w:pStyle w:val="TextBody"/>
        <w:bidi w:val="0"/>
        <w:spacing w:lineRule="auto" w:line="288" w:before="180" w:after="283"/>
        <w:ind w:left="0" w:right="0" w:firstLine="495"/>
        <w:jc w:val="both"/>
        <w:rPr/>
      </w:pPr>
      <w:r>
        <w:rPr>
          <w:rFonts w:ascii="Times New Roman;sans-serif" w:hAnsi="Times New Roman;sans-serif"/>
          <w:b w:val="false"/>
          <w:color w:val="000000"/>
          <w:sz w:val="20"/>
        </w:rPr>
        <w:t>The year-to-date period-over-period increase in cost of revenues of $14.0 million was primarily attributable to a $6.1 million increase in personnel and labor costs, a $3.8 million increase in infrastructure and facilities costs, and a $2.9 million increase in direct materials costs. The increase in personnel and labor costs was primarily attributable to increased headcount and increased share-based compensation expense, partially offset by decreased incentive expense. The increase in infrastructure and facilities costs was primarily attributable to increased third-party data center hosting costs. The increase in direct materials costs was primarily attributable to increased telecommunications expenses to support FICO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Customer Communications Services revenue. Cost of revenues as a percentage of revenues remained consistent at 21% during the six months ended March 31, 2024 and 2023.</w:t>
      </w:r>
    </w:p>
    <w:p>
      <w:pPr>
        <w:pStyle w:val="TextBody"/>
        <w:bidi w:val="0"/>
        <w:spacing w:lineRule="auto" w:line="288" w:before="30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Research and Development</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include personnel and related overhead costs incurred in the development of new products and services, including research of mathematical and statistical models and development of new versions of Software products.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quarter-over-prior year quarter increase in research and development expenses of $0.6 million was primarily attributable to an increase in third-party consulting expenses. Research and development expenses as a percentage of revenues decreased to 9% during the quarter ended March 31, 2024 from 11% during the quarter ended March 31, 2023.</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year-to-date period-over-period increase in research and development expenses of $6.6 million was primarily attributable to an increase in personnel and labor costs as a result of increased headcount and increased share-based compensation expense, and increased third-party data center hosting costs. Research and development expenses as a percentage of revenues decreased to 10% during the six months ended March 31, 2024 from 11% during the six months ended March 31, 2023.</w:t>
      </w:r>
    </w:p>
    <w:p>
      <w:pPr>
        <w:pStyle w:val="TextBody"/>
        <w:bidi w:val="0"/>
        <w:spacing w:lineRule="auto" w:line="288" w:before="30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Selling, General and Administrative</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consist principally of employee salaries, incentives, commissions and benefits; travel costs; overhead costs; advertising and other promotional expenses; corporate facilities expenses; legal expenses; and business development expenses.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quarter-over-prior year quarter increase in selling, general and administrative expenses of $10.7 million was primarily attributable to a $9.9 million increase in personnel and labor costs and a $1.1 million increase in travel costs. The increase in personnel and labor costs was primarily attributable to increased share-based compensation expense, increased headcount, and increased fringe benefit costs related to our supplemental retirement and savings plan, partially offset by decreased incentive expense. The increase in travel costs was primarily attributable to promotional and corporate events. Selling, general and administrative expenses as a percentage of revenues remained consistent at 26% during the quarters ended March 31, 2024 and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bed2e1db0b514eea8067dbdd2fa15ab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year-to-date period-over-period increase in selling, general and administrative expenses of $22.0 million was primarily attributable to a $17.3 million increase in personnel and labor costs, a $2.2 million increase in travel costs, and a $1.8 million increase in infrastructure and facilities costs. The increase in personnel and labor costs was primarily attributable to increased headcount, increased share-based compensation expense, increased fringe benefit costs related to our supplemental retirement and savings plan, and increased commission expense, partially offset by decreased incentive expense. The increase in travel costs was primarily attributable to promotional and corporate events. The increase in infrastructure and facilities costs was primarily attributable to the impact of a favorable adjustment in the prior year period from the termination of an office lease. Selling, general and administrative expenses as a percentage of revenues remained consistent at 27% during the six months ended March 31, 2024 and 2023.</w:t>
      </w:r>
    </w:p>
    <w:p>
      <w:pPr>
        <w:pStyle w:val="TextBody"/>
        <w:bidi w:val="0"/>
        <w:spacing w:lineRule="auto" w:line="288" w:before="30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Amortization of Intangible Assets</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 consists of expense related to intangible assets recorded in connection with our acquisitions. Our finite-lived intangible assets, consisting primarily of completed technology and customer contracts and relationships, are amortized using the straight-line method over five years.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expense was $0.3 million during each of the quarters ended March 31, 2024 and 2023.</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expense was $0.6 million during each of the six months ended March 31, 2024 and 2023.</w:t>
      </w:r>
    </w:p>
    <w:p>
      <w:pPr>
        <w:pStyle w:val="TextBody"/>
        <w:bidi w:val="0"/>
        <w:spacing w:lineRule="auto" w:line="288" w:before="30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Gain on Product Line Asset Sale</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$1.9 million gain on product line asset sale during the six months ended March 31, 2023 was attributable to the sale of certain assets related to our Siron compliance business.</w:t>
      </w:r>
    </w:p>
    <w:p>
      <w:pPr>
        <w:pStyle w:val="TextBody"/>
        <w:bidi w:val="0"/>
        <w:spacing w:lineRule="auto" w:line="288" w:before="30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Interest Expense, Net</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includes interest on the senior notes issued in December 2021, December 2019 and May 2018, as well as interest and credit agreement fees on the revolving line of credit and term loan. On our condensed consolidated statements of income and comprehensive income, interest expense is netted with interest income, which is derived primarily from the investment of funds in excess of our immediate operating requirements.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quarter-over-prior year quarter increase in interest expense of $2.2 million was primarily attributable to a higher average interest rate on our revolving line of credit and term loan, and a higher average outstanding balance on our revolving line of credit during the quarter ended March 31, 2024.</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year-to-date period-over-period increase in interest expense of $3.6 million was primarily attributable to a higher average interest rate on our revolving line of credit and term loan, and a higher average outstanding balance on our revolving line of credit during the six months ended March 31, 2024.</w:t>
      </w:r>
    </w:p>
    <w:p>
      <w:pPr>
        <w:pStyle w:val="TextBody"/>
        <w:bidi w:val="0"/>
        <w:spacing w:lineRule="auto" w:line="288" w:before="30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Other Income, Net</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net consists primarily of unrealized investment gains/losses and realized gains/losses on certain investments classified as trading securities, exchange rate gains/losses resulting from remeasurement of foreign-currency-denominated receivable and cash balances held by our various reporting entities into their respective functional currencies at period-end market rates, net of the impact of offsetting foreign currency forward contracts, and other non-operating items.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quarter-over-prior year quarter increase in other income, net of $2.4 million was primarily attributable to an increase in net unrealized gains on investments classified as trading securities in our supplemental retirement and savings plan, and a decrease in foreign currency exchange losses.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year-to-date period-over-period increase in other income, net of $5.4 million was primarily attributable to an increase in net realized and unrealized gains on investments classified as trading securities in our supplemental retirement and savings plan, and a decrease in foreign currency exchange losses.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bed2e1db0b514eea8067dbdd2fa15ab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0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Provision for Income Taxes</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effective income tax rate was 24.9% and 26.1% during the quarters ended March 31, 2024 and 2023, respectively, and 17.3% and 22.0% during the six months ended March 31, 2024 and 2023, respectively. The provision for income taxes during interim quarterly reporting periods is based on our estimates of the effective tax rates for the full fiscal year. The effective tax rate in any quarter can also be affected positively or negatively by adjustments that are required to be reported in the specific quarter of resolution. The effective tax rates for the quarter and six months ended March 31, 2024 were favorably impacted by the excess tax benefit relating to stock awards.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certain summary information on a segment basis related to our operating income for the quarters and six-month periods ended March 31, 2024 and 2023.</w:t>
      </w:r>
    </w:p>
    <w:tbl>
      <w:tblPr>
        <w:tblW w:w="10052" w:type="dxa"/>
        <w:jc w:val="left"/>
        <w:tblInd w:w="0" w:type="dxa"/>
        <w:tblLayout w:type="fixed"/>
        <w:tblCellMar>
          <w:top w:w="28" w:type="dxa"/>
          <w:left w:w="28" w:type="dxa"/>
          <w:bottom w:w="28" w:type="dxa"/>
          <w:right w:w="28" w:type="dxa"/>
        </w:tblCellMar>
      </w:tblPr>
      <w:tblGrid>
        <w:gridCol w:w="1183"/>
        <w:gridCol w:w="1040"/>
        <w:gridCol w:w="1062"/>
        <w:gridCol w:w="211"/>
        <w:gridCol w:w="826"/>
        <w:gridCol w:w="109"/>
        <w:gridCol w:w="109"/>
        <w:gridCol w:w="109"/>
        <w:gridCol w:w="109"/>
        <w:gridCol w:w="211"/>
        <w:gridCol w:w="826"/>
        <w:gridCol w:w="109"/>
        <w:gridCol w:w="109"/>
        <w:gridCol w:w="109"/>
        <w:gridCol w:w="109"/>
        <w:gridCol w:w="391"/>
        <w:gridCol w:w="1340"/>
        <w:gridCol w:w="204"/>
        <w:gridCol w:w="109"/>
        <w:gridCol w:w="109"/>
        <w:gridCol w:w="109"/>
        <w:gridCol w:w="317"/>
        <w:gridCol w:w="317"/>
        <w:gridCol w:w="925"/>
      </w:tblGrid>
      <w:tr>
        <w:trPr/>
        <w:tc>
          <w:tcPr>
            <w:tcW w:w="1183"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Period-to-Period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Period-to-Period</w:t>
              <w:br/>
              <w:t>Percentage Change</w:t>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Segment</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Scores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36,803 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9,295 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corporate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(2,623)</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 operating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230,564 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187,089 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43,475 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share-based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(8,395)</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amortization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194,841 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159,761 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35,080 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10767" w:type="dxa"/>
        <w:jc w:val="left"/>
        <w:tblInd w:w="0" w:type="dxa"/>
        <w:tblLayout w:type="fixed"/>
        <w:tblCellMar>
          <w:top w:w="28" w:type="dxa"/>
          <w:left w:w="28" w:type="dxa"/>
          <w:bottom w:w="28" w:type="dxa"/>
          <w:right w:w="28" w:type="dxa"/>
        </w:tblCellMar>
      </w:tblPr>
      <w:tblGrid>
        <w:gridCol w:w="364"/>
        <w:gridCol w:w="268"/>
        <w:gridCol w:w="269"/>
        <w:gridCol w:w="211"/>
        <w:gridCol w:w="826"/>
        <w:gridCol w:w="109"/>
        <w:gridCol w:w="109"/>
        <w:gridCol w:w="109"/>
        <w:gridCol w:w="109"/>
        <w:gridCol w:w="211"/>
        <w:gridCol w:w="826"/>
        <w:gridCol w:w="109"/>
        <w:gridCol w:w="109"/>
        <w:gridCol w:w="109"/>
        <w:gridCol w:w="109"/>
        <w:gridCol w:w="233"/>
        <w:gridCol w:w="233"/>
        <w:gridCol w:w="271"/>
        <w:gridCol w:w="109"/>
        <w:gridCol w:w="109"/>
        <w:gridCol w:w="109"/>
        <w:gridCol w:w="233"/>
        <w:gridCol w:w="233"/>
        <w:gridCol w:w="271"/>
        <w:gridCol w:w="109"/>
        <w:gridCol w:w="109"/>
        <w:gridCol w:w="109"/>
        <w:gridCol w:w="211"/>
        <w:gridCol w:w="826"/>
        <w:gridCol w:w="109"/>
        <w:gridCol w:w="109"/>
        <w:gridCol w:w="109"/>
        <w:gridCol w:w="109"/>
        <w:gridCol w:w="211"/>
        <w:gridCol w:w="826"/>
        <w:gridCol w:w="109"/>
        <w:gridCol w:w="109"/>
        <w:gridCol w:w="109"/>
        <w:gridCol w:w="109"/>
        <w:gridCol w:w="233"/>
        <w:gridCol w:w="233"/>
        <w:gridCol w:w="271"/>
        <w:gridCol w:w="109"/>
        <w:gridCol w:w="109"/>
        <w:gridCol w:w="109"/>
        <w:gridCol w:w="233"/>
        <w:gridCol w:w="233"/>
        <w:gridCol w:w="316"/>
      </w:tblGrid>
      <w:tr>
        <w:trPr/>
        <w:tc>
          <w:tcPr>
            <w:tcW w:w="3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Scores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Software</w:t>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w:t>
              <w:b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w:t>
              <w:b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w:t>
              <w:b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w:t>
              <w:br/>
              <w:t>Revenues</w:t>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operating expense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(24,677)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(23,102)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(132,762)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(126,892)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operating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212,208 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175,405 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quarter-over-prior year quarter increase in operating income of $35.1 million was attributable to a $53.5 million increase in segment revenues, partially offset by an $8.4 million increase in share-based compensation cost, a $7.4 million increase in segment operating expenses, and a $2.6 million increase in corporate expenses.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At the segment level, the quarter-over-prior year quarter increase in segment operating income of $43.5 million was the result of a $36.8 million increase in our Scores segment operating income and a $9.3 million increase in our Software segment operating income, partially offset by a $2.6 million increase in corporate expenses.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quarter-over-prior year quarter increase in Scores segment operating income of $36.8 million was due to a $38.4 million increase in segment revenue, partially offset by a $1.6 million increase in segment operating expenses. Segment operating income as a percentage of segment revenue for Scores increased to 90% from 88%.</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quarter-over-prior year quarter increase in Software segment operating income of $9.3 million was due to a $15.1 million increase in segment revenue, partially offset by a $5.8 million increase in segment operating expenses. Segment operating income as a percentage of segment revenue for Software increased to 33% from 30%, primarily attributable to a decrease in sales of our lower-margin professional services and an increase in higher-margin license revenue recognized at a point in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bed2e1db0b514eea8067dbdd2fa15abc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257"/>
        <w:gridCol w:w="1099"/>
        <w:gridCol w:w="1122"/>
        <w:gridCol w:w="211"/>
        <w:gridCol w:w="826"/>
        <w:gridCol w:w="109"/>
        <w:gridCol w:w="109"/>
        <w:gridCol w:w="109"/>
        <w:gridCol w:w="109"/>
        <w:gridCol w:w="211"/>
        <w:gridCol w:w="826"/>
        <w:gridCol w:w="109"/>
        <w:gridCol w:w="109"/>
        <w:gridCol w:w="109"/>
        <w:gridCol w:w="109"/>
        <w:gridCol w:w="384"/>
        <w:gridCol w:w="1318"/>
        <w:gridCol w:w="200"/>
        <w:gridCol w:w="109"/>
        <w:gridCol w:w="109"/>
        <w:gridCol w:w="109"/>
        <w:gridCol w:w="315"/>
        <w:gridCol w:w="315"/>
        <w:gridCol w:w="922"/>
      </w:tblGrid>
      <w:tr>
        <w:trPr/>
        <w:tc>
          <w:tcPr>
            <w:tcW w:w="1257"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r>
      <w:tr>
        <w:trPr/>
        <w:tc>
          <w:tcPr>
            <w:tcW w:w="34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Period-to-Period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Period-to-Period</w:t>
              <w:br/>
              <w:t>Percentage Change</w:t>
            </w:r>
          </w:p>
        </w:tc>
      </w:tr>
      <w:tr>
        <w:trPr/>
        <w:tc>
          <w:tcPr>
            <w:tcW w:w="34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Segment</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Scores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48,765 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18,652 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corporate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(9,109)</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 operating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413,772 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355,464 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58,308 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share-based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(10,267)</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amortization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7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2" w:type="dxa"/>
            <w:gridSpan w:val="3"/>
            <w:tcBorders/>
            <w:vAlign w:val="center"/>
          </w:tcPr>
          <w:p>
            <w:pPr>
              <w:pStyle w:val="TableContents"/>
              <w:bidi w:val="0"/>
              <w:spacing w:before="0" w:after="283"/>
              <w:jc w:val="left"/>
              <w:rPr>
                <w:sz w:val="4"/>
                <w:szCs w:val="4"/>
              </w:rPr>
            </w:pPr>
            <w:r>
              <w:rPr>
                <w:sz w:val="4"/>
                <w:szCs w:val="4"/>
              </w:rPr>
            </w:r>
          </w:p>
        </w:tc>
      </w:tr>
      <w:tr>
        <w:trPr/>
        <w:tc>
          <w:tcPr>
            <w:tcW w:w="3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gain on product line asset sale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(1,941)</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346,200 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300,100 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46,100 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10767" w:type="dxa"/>
        <w:jc w:val="left"/>
        <w:tblInd w:w="0" w:type="dxa"/>
        <w:tblLayout w:type="fixed"/>
        <w:tblCellMar>
          <w:top w:w="28" w:type="dxa"/>
          <w:left w:w="28" w:type="dxa"/>
          <w:bottom w:w="28" w:type="dxa"/>
          <w:right w:w="28" w:type="dxa"/>
        </w:tblCellMar>
      </w:tblPr>
      <w:tblGrid>
        <w:gridCol w:w="364"/>
        <w:gridCol w:w="268"/>
        <w:gridCol w:w="269"/>
        <w:gridCol w:w="211"/>
        <w:gridCol w:w="826"/>
        <w:gridCol w:w="109"/>
        <w:gridCol w:w="109"/>
        <w:gridCol w:w="109"/>
        <w:gridCol w:w="109"/>
        <w:gridCol w:w="211"/>
        <w:gridCol w:w="826"/>
        <w:gridCol w:w="109"/>
        <w:gridCol w:w="109"/>
        <w:gridCol w:w="109"/>
        <w:gridCol w:w="109"/>
        <w:gridCol w:w="233"/>
        <w:gridCol w:w="233"/>
        <w:gridCol w:w="271"/>
        <w:gridCol w:w="109"/>
        <w:gridCol w:w="109"/>
        <w:gridCol w:w="109"/>
        <w:gridCol w:w="233"/>
        <w:gridCol w:w="233"/>
        <w:gridCol w:w="271"/>
        <w:gridCol w:w="109"/>
        <w:gridCol w:w="109"/>
        <w:gridCol w:w="109"/>
        <w:gridCol w:w="211"/>
        <w:gridCol w:w="826"/>
        <w:gridCol w:w="109"/>
        <w:gridCol w:w="109"/>
        <w:gridCol w:w="109"/>
        <w:gridCol w:w="109"/>
        <w:gridCol w:w="211"/>
        <w:gridCol w:w="826"/>
        <w:gridCol w:w="109"/>
        <w:gridCol w:w="109"/>
        <w:gridCol w:w="109"/>
        <w:gridCol w:w="109"/>
        <w:gridCol w:w="233"/>
        <w:gridCol w:w="233"/>
        <w:gridCol w:w="271"/>
        <w:gridCol w:w="109"/>
        <w:gridCol w:w="109"/>
        <w:gridCol w:w="109"/>
        <w:gridCol w:w="233"/>
        <w:gridCol w:w="233"/>
        <w:gridCol w:w="316"/>
      </w:tblGrid>
      <w:tr>
        <w:trPr/>
        <w:tc>
          <w:tcPr>
            <w:tcW w:w="3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Scores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Software</w:t>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w:t>
              <w:b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w:t>
              <w:b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w:t>
              <w:b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w:t>
              <w:br/>
              <w:t>Revenues</w:t>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operating expense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(48,135)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(44,398)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(267,587)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(248,009)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operating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380,862 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332,097 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year-to-date period-over-period increase of $46.1 million in operating income was primarily attributable to a $90.7 million increase in segment revenues, partially offset by a $23.3 million increase in segment operating expenses, a $10.3 million increase in share-based compensation cost, and a $9.1 million increase in corporate expenses.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At the segment level, the year-to-date period-over-period increase of $58.3 million in segment operating income was the result of a $48.8 million increase in our Scores segment operating income and an $18.7 million increase in our Software segment operating income, partially offset by a $9.1 million increase in corporate expenses.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year-to-date period-over-period $48.8 million increase in Scores segment operating income was attributable to a $52.5 million increase in segment revenue, partially offset by a $3.7 million increase in segment operating expenses. Segment operating income as a percentage of segment revenue for Scores increased to 89% from 88%.</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year-to-date period-over-period $18.7 million increase in Software segment operating income was attributable to a $38.2 million increase in segment revenue, partially offset by a $19.5 million increase in segment operating expenses. Segment operating income as a percentage of segment revenue for Software increased to 31% from 29%, primarily attributable to a decrease in sales of our lower-margin professional services and an increase in higher-margin license revenue recognized at a point in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CAPITAL RESOURCES AND LIQUIDITY</w:t>
      </w:r>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Outlook</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2024, we had $135.7 million in cash and cash equivalents, which included $109.5 million held by our foreign subsidiaries. We believe our cash and cash equivalents balances, including those held by our foreign subsidiaries, as well as available borrowings from our $600 million revolving line of credit and anticipated cash flows from operating activities, will be sufficient to fund our working and other capital requirements for at least the next 12 months and thereafter for the foreseeable future, including the $15.0 million principal payments on our term loan due over the next 12 months. Under our current financing arrangements, we have no other significant debt obligations maturing over the next 12 months. For jurisdictions outside the U.S. where cash may be repatriated in the future, the Company expects the net impact of any repatriations to be immaterial to the Company’s overall tax liability.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bed2e1db0b514eea8067dbdd2fa15ab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we evaluate the merits of acquiring technology or businesses, or establishing strategic relationships with or investing in these businesses. We may elect to use available cash and cash equivalents to fund such activities in the future. In the event additional needs for cash arise, or if we refinance our existing debt, we may raise additional funds from a combination of sources, including the potential issuance of debt or equity securities. Additional financing might not be available on terms favorable to us, or at all. If adequate funds were not available or were not available on acceptable terms, our ability to take advantage of unanticipated opportunities or respond to competitive pressures could be limited.</w:t>
      </w:r>
    </w:p>
    <w:p>
      <w:pPr>
        <w:pStyle w:val="TextBody"/>
        <w:bidi w:val="0"/>
        <w:spacing w:lineRule="auto" w:line="288" w:before="300" w:after="283"/>
        <w:ind w:left="0" w:right="0" w:firstLine="225"/>
        <w:jc w:val="left"/>
        <w:rPr/>
      </w:pPr>
      <w:r>
        <w:rPr>
          <w:rFonts w:ascii="Times New Roman;sans-serif" w:hAnsi="Times New Roman;sans-serif"/>
          <w:b/>
          <w:i/>
          <w:color w:val="000000"/>
          <w:sz w:val="20"/>
        </w:rPr>
        <w:t>Summary of Cash Flows</w:t>
      </w:r>
      <w:r>
        <w:rPr>
          <w:color w:val="000000"/>
        </w:rPr>
        <w:t> </w:t>
      </w:r>
    </w:p>
    <w:tbl>
      <w:tblPr>
        <w:tblW w:w="8915" w:type="dxa"/>
        <w:jc w:val="left"/>
        <w:tblInd w:w="0" w:type="dxa"/>
        <w:tblLayout w:type="fixed"/>
        <w:tblCellMar>
          <w:top w:w="28" w:type="dxa"/>
          <w:left w:w="28" w:type="dxa"/>
          <w:bottom w:w="28" w:type="dxa"/>
          <w:right w:w="28" w:type="dxa"/>
        </w:tblCellMar>
      </w:tblPr>
      <w:tblGrid>
        <w:gridCol w:w="1445"/>
        <w:gridCol w:w="1268"/>
        <w:gridCol w:w="1277"/>
        <w:gridCol w:w="211"/>
        <w:gridCol w:w="826"/>
        <w:gridCol w:w="109"/>
        <w:gridCol w:w="109"/>
        <w:gridCol w:w="109"/>
        <w:gridCol w:w="109"/>
        <w:gridCol w:w="211"/>
        <w:gridCol w:w="826"/>
        <w:gridCol w:w="109"/>
        <w:gridCol w:w="109"/>
        <w:gridCol w:w="109"/>
        <w:gridCol w:w="109"/>
        <w:gridCol w:w="384"/>
        <w:gridCol w:w="1313"/>
        <w:gridCol w:w="282"/>
      </w:tblGrid>
      <w:tr>
        <w:trPr/>
        <w:tc>
          <w:tcPr>
            <w:tcW w:w="1445"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Period-to-Period Change</w:t>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2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(used in):</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182,244 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10,911 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(183,222)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(173,245)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(9,977)</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(6,461)</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cash and cash equivalents</w:t>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4,569 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(5,680)</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Cash Flows from Operating Activities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primary method for funding operations and growth has been through cash flows generated from operating activities. Net cash provided by operating activities increased to $193.2 million during the six months ended March 31, 2024 from $182.2 million during the six months ended March 31, 2023. The $10.9 million increase was attributable to a $51.7 million increase in net income and a $10.0 million increase in non-cash items, partially offset by a $50.8 million decrease due to the timing of receipts and payments in our ordinary course of business.</w:t>
      </w:r>
    </w:p>
    <w:p>
      <w:pPr>
        <w:pStyle w:val="TextBody"/>
        <w:bidi w:val="0"/>
        <w:spacing w:lineRule="auto" w:line="288" w:before="30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Cash Flows from Investing Activities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was $12.0 million for the six months ended March 31, 2024, compared with $11.9 million for the six months ended March 31, 2023.</w:t>
      </w:r>
    </w:p>
    <w:p>
      <w:pPr>
        <w:pStyle w:val="TextBody"/>
        <w:bidi w:val="0"/>
        <w:spacing w:lineRule="auto" w:line="288" w:before="30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Cash Flows from Financing Activities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increased to $183.2 million for the six months ended March 31, 2024 from $173.2 million for the six months ended March 31, 2023. The $10.0 million increase was primarily attributable to a $60.1 million increase in taxes paid related to net share settlement of equity awards and a $59.2 million increase in repurchases of common stock, partially offset by a $111.0 million increase in proceeds, net of payments, from our revolving line of credit and term loan.</w:t>
      </w: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Repurchases of Common Stock</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2024, our Board of Directors approved a new stock repurchase program replacing our previously authorized October 2022 stock repurchase program, which was terminated prior to its expiration. The current program is open-ended and authorizes repurchases of shares of our common stock from time to time up to an aggregate cost of $500.0 million in the open market or in negotiated transactions. This program remains in effect until the total authorized amount is expended or until further action by our Board of Directors. As of March 31, 2024, we had $366.7 million remaining under our current stock repurchase program. We expended $179.5 million and $116.3 million during the quarters ended March 31, 2024 and 2023, respectively, and $251.3 million and $191.3 million during the six months ended March 31, 2024 and 2023, respectively, under our current and previously authorized stock repurchase programs.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bed2e1db0b514eea8067dbdd2fa15ab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Revolving Line of Credit and Term Loan</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a $600 million unsecured revolving line of credit and a $300 million unsecured term loan with a syndicate of banks that mature on August 19, 2026. Borrowings under the revolving line of credit and term loan can be used for working capital and general corporate purposes and may also be used for the refinancing of existing debt, acquisitions, and the repurchase of our common stock. The term loan requires principal payments in consecutive quarterly installments of $3.75 million on the last business day of each quarter. Interest rates on amounts borrowed under the revolving line of credit and term loan are based on (i) an adjusted base rate, which is the greatest of (a) the prime rate, (b) the Federal Funds rate plus 0.5%, and (c) one-month adjusted term Secured Overnight Financing Rate (“SOFR”) rate plus 1%, plus, in each case, an applicable margin, or (ii) an adjusted term SOFR rate plus an applicable margin. The applicable margin for base rate borrowings and for SOFR borrowings is determined based on our consolidated leverage ratio. The applicable margin for base rate borrowings ranges from 0% to 0.75% per annum and for SOFR borrowings ranges from 1% to 1.75% per annum. In addition, we must pay certain credit facility fees. The revolving line of credit and term loan contain certain restrictive covenants including a maximum consolidated leverage ratio of 3.5 to 1.0, subject to a step up to 4.0 to 1.0 following certain permitted acquisitions and subject to certain conditions, and a minimum interest coverage ratio of 3.0 to 1.0. The credit agreement also contains other covenants typical of unsecured credit facilities.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2024, we had $488.0 million in borrowings outstanding under the revolving line of credit at a weighted-average interest rate of 6.673%, and $266.3 million in outstanding balance of the term loan at an interest rate of 6.674%. We were in compliance with all financial covenants under this credit agreement as of March 31, 2024.</w:t>
      </w: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Senior Notes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May 8, 2018, we issued $400 million of senior notes in a private offering to qualified institutional investors (the “2018 Senior Notes”). The 2018 Senior Notes require interest payments semi-annually at a rate of 5.25% per annum and will mature on May 15, 2026. On December 6, 2019, we issued $350 million of senior notes in a private offering to qualified institutional investors (the “2019 Senior Notes”). The 2019 Senior Notes require interest payments semi-annually at a rate of 4.00% per annum and will mature on June 15, 2028. On December 17, 2021, we issued $550 million of additional senior notes of the same class as the 2019 Senior Notes in a private offering to qualified institutional investors (the “2021 Senior Notes,” and collectively with the 2018 Senior Notes and the 2019 Senior Notes, the “Senior Notes”). The 2021 Senior Notes require interest payments semi-annually at a rate of 4.00% per annum and will mature on June 15, 2028, the same date as the 2019 Senior Notes. The indentures for the Senior Notes contain certain covenants typical of unsecured obligations. As of March 31, 2024, the carrying value of the Senior Notes was $1.3 billion and we were in compliance with all financial covenants under these obligations.</w:t>
      </w:r>
    </w:p>
    <w:p>
      <w:pPr>
        <w:pStyle w:val="TextBody"/>
        <w:bidi w:val="0"/>
        <w:spacing w:before="120" w:after="283"/>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prepare our condensed consolidated financial statements in conformity with U.S. GAAP. These accounting principles require management to make certain judgments and assumptions that affect the reported amounts of assets and liabilities and the disclosure of contingent assets and liabilities as of the date of the condensed consolidated financial statements, and the reported amounts of revenues and expenses during the reporting period. We periodically evaluate our estimates including those relating to revenue recognition, goodwill resulting from business combinations and other long-lived assets — impairment assessment, share-based compensation, income taxes, and contingencies and litigation. We base our estimates on historical experience and various other assumptions that we believe to be reasonable based on the specific circumstances, the results of which form the basis for making judgments about the carrying value of certain assets and liabilities that are not readily apparent from other sources. Actual results may differ from these estimates and such differences could be material to our financial condition and results of operations. Critical accounting estimates are those that involve a significant level of estimation uncertainty and have had or are reasonably likely to have a material impact on our financial condition and results of operations.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You should carefully consider the critical accounting estimates disclosed in Part II, Item 7 “Management’s Discussion and Analysis of Financial Condition and Results of Operations” of our Annual Report on Form 10-K for the fiscal year ended September 30, 2023 (“Annual Report on Form 10-K”). There have been no significant changes from the critical accounting estimates disclosed in our Annual Report on Form 10-K.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bed2e1db0b514eea8067dbdd2fa15ab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New Accounting Pronouncements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information about recent accounting pronouncements recently adopted and not yet adopted and the impact on our consolidated financial statements, refer to Part I, Item 1, “Unaudited Financial Statements,” Note 1, “Nature of Business” in our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Times New Roman;sans-serif" w:hAnsi="Times New Roman;sans-serif"/>
          <w:b/>
          <w:color w:val="000000"/>
          <w:sz w:val="20"/>
        </w:rPr>
        <w:t>Item 3.</w:t>
      </w:r>
      <w:r>
        <w:rPr>
          <w:color w:val="000000"/>
        </w:rPr>
        <w:t xml:space="preserve"> </w:t>
      </w:r>
      <w:r>
        <w:rPr>
          <w:rFonts w:ascii="Times New Roman;sans-serif" w:hAnsi="Times New Roman;sans-serif"/>
          <w:b/>
          <w:i/>
          <w:color w:val="000000"/>
          <w:sz w:val="20"/>
        </w:rPr>
        <w:t>Quantitative and Qualitative Disclosures about Market Risk</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Market Risk Disclosures</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market risk related to changes in interest rates and foreign exchange rates. We do not use derivative financial instruments for speculative or trading purposes.</w:t>
      </w:r>
    </w:p>
    <w:p>
      <w:pPr>
        <w:pStyle w:val="TextBody"/>
        <w:bidi w:val="0"/>
        <w:spacing w:lineRule="auto" w:line="288" w:before="300" w:after="283"/>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Interest Rate</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an investment portfolio consisting of bank deposits and money market funds. The funds provide daily liquidity and may be subject to interest rate risk and fall in value if market interest rates increase. We do not expect our operating results or cash flows to be affected to any significant degree by a sudden change in market interest rates. The following table presents the principal amounts and related weighted-average yields for our investments with interest rate risk at March 31, 2024 and September 30, 2023: </w:t>
      </w:r>
    </w:p>
    <w:tbl>
      <w:tblPr>
        <w:tblW w:w="10205" w:type="dxa"/>
        <w:jc w:val="left"/>
        <w:tblInd w:w="0" w:type="dxa"/>
        <w:tblLayout w:type="fixed"/>
        <w:tblCellMar>
          <w:top w:w="28" w:type="dxa"/>
          <w:left w:w="28" w:type="dxa"/>
          <w:bottom w:w="28" w:type="dxa"/>
          <w:right w:w="28" w:type="dxa"/>
        </w:tblCellMar>
      </w:tblPr>
      <w:tblGrid>
        <w:gridCol w:w="763"/>
        <w:gridCol w:w="670"/>
        <w:gridCol w:w="674"/>
        <w:gridCol w:w="211"/>
        <w:gridCol w:w="826"/>
        <w:gridCol w:w="109"/>
        <w:gridCol w:w="109"/>
        <w:gridCol w:w="109"/>
        <w:gridCol w:w="109"/>
        <w:gridCol w:w="211"/>
        <w:gridCol w:w="826"/>
        <w:gridCol w:w="109"/>
        <w:gridCol w:w="109"/>
        <w:gridCol w:w="109"/>
        <w:gridCol w:w="109"/>
        <w:gridCol w:w="255"/>
        <w:gridCol w:w="256"/>
        <w:gridCol w:w="401"/>
        <w:gridCol w:w="109"/>
        <w:gridCol w:w="109"/>
        <w:gridCol w:w="109"/>
        <w:gridCol w:w="211"/>
        <w:gridCol w:w="826"/>
        <w:gridCol w:w="109"/>
        <w:gridCol w:w="109"/>
        <w:gridCol w:w="109"/>
        <w:gridCol w:w="109"/>
        <w:gridCol w:w="211"/>
        <w:gridCol w:w="826"/>
        <w:gridCol w:w="109"/>
        <w:gridCol w:w="109"/>
        <w:gridCol w:w="109"/>
        <w:gridCol w:w="109"/>
        <w:gridCol w:w="255"/>
        <w:gridCol w:w="256"/>
        <w:gridCol w:w="456"/>
      </w:tblGrid>
      <w:tr>
        <w:trPr/>
        <w:tc>
          <w:tcPr>
            <w:tcW w:w="763"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r>
      <w:tr>
        <w:trPr/>
        <w:tc>
          <w:tcPr>
            <w:tcW w:w="21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5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r>
      <w:tr>
        <w:trPr/>
        <w:tc>
          <w:tcPr>
            <w:tcW w:w="2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br/>
              <w:t>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w:t>
              <w:br/>
              <w:t>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br/>
              <w:t>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w:t>
              <w:br/>
              <w:t>Yield</w:t>
            </w:r>
          </w:p>
        </w:tc>
      </w:tr>
      <w:tr>
        <w:trPr/>
        <w:tc>
          <w:tcPr>
            <w:tcW w:w="21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98"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2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4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May 8, 2018, we issued $400 million of senior notes in a private placement to qualified institutional investors (the “2018 Senior Notes”). On December 6, 2019, we issued $350 million of senior notes in a private offering to qualified institutional investors (the “2019 Senior Notes”). On December 17, 2021, we issued $550 million of additional senior notes of the same class as the 2019 Senior Notes in a private placement to qualified institutional investors (the “2021 Senior Notes” and collectively with the 2018 Senior Notes and 2019 Senior Notes, the “Senior Notes”). The fair value of the Senior Notes may increase or decrease due to various factors, including fluctuations in market interest rates and fluctuations in general economic conditions. See “Management’s Discussion and Analysis of Financial Condition and Results of Operations – Capital Resources and Liquidity” for additional information on the Senior Notes. The following table presents the face values and fair values for the Senior Notes at March 31, 2024 and September 30, 2023:</w:t>
      </w:r>
    </w:p>
    <w:tbl>
      <w:tblPr>
        <w:tblW w:w="10205" w:type="dxa"/>
        <w:jc w:val="center"/>
        <w:tblInd w:w="0" w:type="dxa"/>
        <w:tblLayout w:type="fixed"/>
        <w:tblCellMar>
          <w:top w:w="28" w:type="dxa"/>
          <w:left w:w="28" w:type="dxa"/>
          <w:bottom w:w="28" w:type="dxa"/>
          <w:right w:w="28" w:type="dxa"/>
        </w:tblCellMar>
      </w:tblPr>
      <w:tblGrid>
        <w:gridCol w:w="1459"/>
        <w:gridCol w:w="1261"/>
        <w:gridCol w:w="1274"/>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5"/>
      </w:tblGrid>
      <w:tr>
        <w:trPr/>
        <w:tc>
          <w:tcPr>
            <w:tcW w:w="145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r>
      <w:tr>
        <w:trPr/>
        <w:tc>
          <w:tcPr>
            <w:tcW w:w="39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Face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Face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39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1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2018 Senior Notes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2019 Senior Notes and the 2021 Senior Notes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803,250 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Total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1,189,250 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have interest rate risk with respect to our unsecured revolving line of credit and term loan. Interest rates on amounts borrowed under the revolving line of credit and term loan are based on (i) an adjusted base rate, which is the greatest of (a) the prime rate, (b) the Federal Funds rate plus 0.5%, and (c) one-month adjusted term SOFR rate plus 1%, plus, in each case, an applicable margin, or (ii) an adjusted term SOFR rate plus an applicable margin. The applicable margin for base rate borrowings and for SOFR borrowings is determined based on our consolidated leverage ratio. The applicable margin for base rate borrowings ranges from 0% to 0.75% per annum and for SOFR borrowings ranges from 1% to 1.75% per annum. A change in interest rates on this variable rate debt impacts the interest incurred and cash flows, but does not impact the fair value of the instrument. As of March 31, 2024, we had $488.0 million in borrowings outstanding under the revolving line of credit at a weighted-average interest rate of 6.673%, and $266.3 million in outstanding balance of the term loan at an interest rate of 6.674%.</w:t>
      </w:r>
    </w:p>
    <w:p>
      <w:pPr>
        <w:pStyle w:val="TextBody"/>
        <w:bidi w:val="0"/>
        <w:spacing w:before="0" w:after="0"/>
        <w:ind w:left="0" w:right="0" w:firstLine="225"/>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bed2e1db0b514eea8067dbdd2fa15ab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Foreign Currency Forward Contracts</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a program to manage our foreign exchange rate risk on existing foreign-currency-denominated receivable and cash balances by entering into forward contracts to sell or buy foreign currencies. At period end, foreign-currency-denominated receivable and cash balances held by our various reporting entities are remeasured into their respective functional currencies at current market rates. The change in value from this remeasurement is then reported as a foreign exchange gain or loss for that period in our accompanying condensed consolidated statements of income and comprehensive income and the resulting gain or loss on the forward contract mitigates the foreign exchange rate risk of the associated assets. All of our foreign currency forward contracts have maturity periods of less than three months. Such derivative financial instruments are subject to market risk.</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our outstanding foreign currency forward contracts, by currency, at March 31, 2024 and September 30, 2023:</w:t>
      </w:r>
    </w:p>
    <w:tbl>
      <w:tblPr>
        <w:tblW w:w="6034" w:type="dxa"/>
        <w:jc w:val="left"/>
        <w:tblInd w:w="0" w:type="dxa"/>
        <w:tblLayout w:type="fixed"/>
        <w:tblCellMar>
          <w:top w:w="28" w:type="dxa"/>
          <w:left w:w="28" w:type="dxa"/>
          <w:bottom w:w="28" w:type="dxa"/>
          <w:right w:w="28" w:type="dxa"/>
        </w:tblCellMar>
      </w:tblPr>
      <w:tblGrid>
        <w:gridCol w:w="728"/>
        <w:gridCol w:w="640"/>
        <w:gridCol w:w="642"/>
        <w:gridCol w:w="180"/>
        <w:gridCol w:w="180"/>
        <w:gridCol w:w="181"/>
        <w:gridCol w:w="360"/>
        <w:gridCol w:w="361"/>
        <w:gridCol w:w="136"/>
        <w:gridCol w:w="109"/>
        <w:gridCol w:w="109"/>
        <w:gridCol w:w="109"/>
        <w:gridCol w:w="211"/>
        <w:gridCol w:w="721"/>
        <w:gridCol w:w="109"/>
        <w:gridCol w:w="109"/>
        <w:gridCol w:w="109"/>
        <w:gridCol w:w="109"/>
        <w:gridCol w:w="254"/>
        <w:gridCol w:w="490"/>
        <w:gridCol w:w="187"/>
      </w:tblGrid>
      <w:tr>
        <w:trPr/>
        <w:tc>
          <w:tcPr>
            <w:tcW w:w="72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24"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66"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Contract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9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w:t>
              <w:br/>
              <w:t>Currency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USD</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24"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 foreign currency:</w:t>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 (EUR)</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 </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Buy foreign currency:</w:t>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British pound (GBP)</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GBP </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Singapore dollar (SGD)</w:t>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SGD</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24"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66"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Contract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9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w:t>
              <w:br/>
              <w:t>Currency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USD</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24"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 foreign currency:</w:t>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 (EUR)</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 </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Buy foreign currency:</w:t>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British pound (GBP)</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GBP </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Singapore dollar (SGD)</w:t>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SGD</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foreign currency forward contracts were entered into on March 31, 2024 and September 30, 2023; therefore, their fair value was $0 on each of these dates.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Times New Roman;sans-serif" w:hAnsi="Times New Roman;sans-serif"/>
          <w:b/>
          <w:color w:val="000000"/>
          <w:sz w:val="20"/>
        </w:rPr>
        <w:t>Item 4.</w:t>
      </w:r>
      <w:r>
        <w:rPr>
          <w:color w:val="000000"/>
        </w:rPr>
        <w:t xml:space="preserve"> </w:t>
      </w:r>
      <w:r>
        <w:rPr>
          <w:rFonts w:ascii="Times New Roman;sans-serif" w:hAnsi="Times New Roman;sans-serif"/>
          <w:b/>
          <w:i/>
          <w:color w:val="000000"/>
          <w:sz w:val="20"/>
        </w:rPr>
        <w:t>Controls and Procedures</w:t>
      </w:r>
    </w:p>
    <w:p>
      <w:pPr>
        <w:pStyle w:val="TextBody"/>
        <w:bidi w:val="0"/>
        <w:spacing w:lineRule="auto" w:line="288" w:before="180" w:after="283"/>
        <w:ind w:left="0" w:right="0" w:firstLine="225"/>
        <w:jc w:val="left"/>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An evaluation was carried out under the supervision and with the participation of FICO’s management, including the Chief Executive Officer (“CEO”) and Chief Financial Officer (“CFO”), of the effectiveness of the design and operation of FICO’s disclosure controls and procedures (as defined in Rules 13a-15(e) or 15d-15(e) under the Securities Exchange Act of 1934, as amended (the “Exchange Act”)) as of the end of the period covered by this quarterly report. Based on that evaluation, the CEO and CFO have concluded that FICO’s disclosure controls and procedures were effective as of March 31, 2024 to ensure that information required to be disclosed by FICO in reports that it files or submits under the Exchange Act is recorded, processed, summarized and reported within the time periods specified in SEC rules and forms. In addition, the disclosure controls and procedures are designed to ensure that information required to be disclosed is accumulated and communicated to management, including the CEO and CFO, allowing timely decisions regarding required disclosure.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bed2e1db0b514eea8067dbdd2fa15ab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ind w:left="0" w:right="0" w:firstLine="225"/>
        <w:jc w:val="left"/>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No change in FICO’s internal control over financial reporting was identified in connection with the evaluation required by Rules 13a-15 or 15d-15 of the Exchange Act that occurred during the period covered by this quarterly report and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bed2e1db0b514eea8067dbdd2fa15ab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ans-serif" w:hAnsi="Times New Roman;sans-serif"/>
          <w:b/>
          <w:color w:val="000000"/>
          <w:sz w:val="20"/>
        </w:rPr>
        <w:t>Item 1.</w:t>
      </w:r>
      <w:r>
        <w:rPr>
          <w:color w:val="000000"/>
        </w:rPr>
        <w:t xml:space="preserve"> </w:t>
      </w:r>
      <w:r>
        <w:rPr>
          <w:rFonts w:ascii="Times New Roman;sans-serif" w:hAnsi="Times New Roman;sans-serif"/>
          <w:b/>
          <w:i/>
          <w:color w:val="000000"/>
          <w:sz w:val="20"/>
        </w:rPr>
        <w:t>Legal Proceedings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pPr>
      <w:r>
        <w:rPr>
          <w:rFonts w:ascii="Times New Roman;sans-serif" w:hAnsi="Times New Roman;sans-serif"/>
          <w:b/>
          <w:color w:val="000000"/>
          <w:sz w:val="20"/>
        </w:rPr>
        <w:t xml:space="preserve">Item 1A. </w:t>
      </w:r>
      <w:r>
        <w:rPr>
          <w:rFonts w:ascii="Times New Roman;sans-serif" w:hAnsi="Times New Roman;sans-serif"/>
          <w:b/>
          <w:i/>
          <w:color w:val="000000"/>
          <w:sz w:val="20"/>
        </w:rPr>
        <w:t>Risk Factors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other information set forth in this Quarterly Report, you should carefully consider the factors discussed in Part I, Item 1A “Risk Factors” in our Annual Report on Form 10-K for our fiscal year ended September 30, 2023 (our “Annual Report on Form 10-K”). The risks discussed in our Annual Report on Form 10-K could materially affect our business, financial condition and future results. The risks described in our Annual Report on Form 10-K are not the only risks facing us. Additional risks and uncertainties not currently known to us or that we currently deem to be insignificant also may materially and adversely affect our business, financial condition or operating results in the future. There have been no material changes from the risk factors disclosed in our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283"/>
        <w:jc w:val="left"/>
        <w:rPr/>
      </w:pPr>
      <w:r>
        <w:rPr>
          <w:rFonts w:ascii="Times New Roman;sans-serif" w:hAnsi="Times New Roman;sans-serif"/>
          <w:b/>
          <w:color w:val="000000"/>
          <w:sz w:val="20"/>
        </w:rPr>
        <w:t>Item 2.</w:t>
      </w:r>
      <w:r>
        <w:rPr>
          <w:color w:val="000000"/>
        </w:rPr>
        <w:t xml:space="preserve"> </w:t>
      </w:r>
      <w:r>
        <w:rPr>
          <w:rFonts w:ascii="Times New Roman;sans-serif" w:hAnsi="Times New Roman;sans-serif"/>
          <w:b/>
          <w:i/>
          <w:color w:val="000000"/>
          <w:sz w:val="20"/>
        </w:rPr>
        <w:t>Unregistered Sales of Equity Securities and Use of Proceeds</w:t>
      </w:r>
    </w:p>
    <w:p>
      <w:pPr>
        <w:pStyle w:val="TextBody"/>
        <w:bidi w:val="0"/>
        <w:spacing w:lineRule="auto" w:line="288" w:before="120" w:after="283"/>
        <w:jc w:val="left"/>
        <w:rPr/>
      </w:pPr>
      <w:r>
        <w:rPr>
          <w:rFonts w:ascii="Times New Roman;sans-serif" w:hAnsi="Times New Roman;sans-serif"/>
          <w:b/>
          <w:color w:val="000000"/>
          <w:sz w:val="20"/>
        </w:rPr>
        <w:t>Issuer Purchases of Equity Securities</w:t>
      </w:r>
      <w:r>
        <w:rPr>
          <w:color w:val="000000"/>
        </w:rPr>
        <w:t> </w:t>
      </w:r>
    </w:p>
    <w:tbl>
      <w:tblPr>
        <w:tblW w:w="10070" w:type="dxa"/>
        <w:jc w:val="left"/>
        <w:tblInd w:w="0" w:type="dxa"/>
        <w:tblLayout w:type="fixed"/>
        <w:tblCellMar>
          <w:top w:w="28" w:type="dxa"/>
          <w:left w:w="28" w:type="dxa"/>
          <w:bottom w:w="28" w:type="dxa"/>
          <w:right w:w="28" w:type="dxa"/>
        </w:tblCellMar>
      </w:tblPr>
      <w:tblGrid>
        <w:gridCol w:w="1340"/>
        <w:gridCol w:w="1180"/>
        <w:gridCol w:w="1199"/>
        <w:gridCol w:w="412"/>
        <w:gridCol w:w="414"/>
        <w:gridCol w:w="346"/>
        <w:gridCol w:w="109"/>
        <w:gridCol w:w="109"/>
        <w:gridCol w:w="109"/>
        <w:gridCol w:w="211"/>
        <w:gridCol w:w="871"/>
        <w:gridCol w:w="109"/>
        <w:gridCol w:w="109"/>
        <w:gridCol w:w="109"/>
        <w:gridCol w:w="109"/>
        <w:gridCol w:w="485"/>
        <w:gridCol w:w="485"/>
        <w:gridCol w:w="486"/>
        <w:gridCol w:w="109"/>
        <w:gridCol w:w="109"/>
        <w:gridCol w:w="109"/>
        <w:gridCol w:w="211"/>
        <w:gridCol w:w="1186"/>
        <w:gridCol w:w="154"/>
      </w:tblGrid>
      <w:tr>
        <w:trPr/>
        <w:tc>
          <w:tcPr>
            <w:tcW w:w="1340"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Period</w:t>
            </w:r>
          </w:p>
        </w:tc>
        <w:tc>
          <w:tcPr>
            <w:tcW w:w="117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Total</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Number of</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Shares</w:t>
            </w:r>
          </w:p>
          <w:p>
            <w:pPr>
              <w:pStyle w:val="TableContents"/>
              <w:bidi w:val="0"/>
              <w:spacing w:lineRule="auto" w:line="240" w:before="0" w:after="0"/>
              <w:jc w:val="center"/>
              <w:rPr/>
            </w:pPr>
            <w:r>
              <w:rPr>
                <w:rFonts w:ascii="Times New Roman;sans-serif" w:hAnsi="Times New Roman;sans-serif"/>
                <w:b/>
                <w:color w:val="000000"/>
                <w:sz w:val="16"/>
              </w:rPr>
              <w:t>Purchased</w:t>
            </w:r>
            <w:r>
              <w:rPr>
                <w:color w:val="000000"/>
              </w:rPr>
              <w:t> </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w:t>
              <w:br/>
              <w:t>Price Paid</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Total Number of</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Shares Purchased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as Part of Publicly</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Announced Plans</w:t>
            </w:r>
          </w:p>
          <w:p>
            <w:pPr>
              <w:pStyle w:val="TableContents"/>
              <w:bidi w:val="0"/>
              <w:spacing w:lineRule="auto" w:line="240" w:before="0" w:after="0"/>
              <w:jc w:val="center"/>
              <w:rPr/>
            </w:pPr>
            <w:r>
              <w:rPr>
                <w:rFonts w:ascii="Times New Roman;sans-serif" w:hAnsi="Times New Roman;sans-serif"/>
                <w:b/>
                <w:color w:val="000000"/>
                <w:sz w:val="16"/>
              </w:rPr>
              <w:t>or Programs</w:t>
            </w:r>
            <w:r>
              <w:rPr>
                <w:color w:val="000000"/>
              </w:rPr>
              <w:t xml:space="preserve"> </w:t>
            </w:r>
            <w:r>
              <w:rPr>
                <w:rFonts w:ascii="Times New Roman;sans-serif" w:hAnsi="Times New Roman;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Maximum Dollar</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Value of Shares</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that May Yet Be</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Purchased Under</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the Plans or</w:t>
            </w:r>
          </w:p>
          <w:p>
            <w:pPr>
              <w:pStyle w:val="TableContents"/>
              <w:bidi w:val="0"/>
              <w:spacing w:lineRule="auto" w:line="240" w:before="0" w:after="0"/>
              <w:jc w:val="center"/>
              <w:rPr/>
            </w:pPr>
            <w:r>
              <w:rPr>
                <w:rFonts w:ascii="Times New Roman;sans-serif" w:hAnsi="Times New Roman;sans-serif"/>
                <w:b/>
                <w:color w:val="000000"/>
                <w:sz w:val="16"/>
              </w:rPr>
              <w:t>Programs</w:t>
            </w:r>
            <w:r>
              <w:rPr>
                <w:color w:val="000000"/>
              </w:rPr>
              <w:t xml:space="preserve"> </w:t>
            </w:r>
            <w:r>
              <w:rPr>
                <w:rFonts w:ascii="Times New Roman;sans-serif" w:hAnsi="Times New Roman;sans-serif"/>
                <w:b/>
                <w:color w:val="000000"/>
                <w:sz w:val="10"/>
              </w:rPr>
              <w:t>(2)</w:t>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1, 2024 through January 31, 2024</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42,512 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41,500 </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496,990,469 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 2024 through February 29, 2024</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50,154 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433,093,756 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 2024 through March 31, 2024</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52,830 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52,443 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366,691,341 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145,496 </w:t>
            </w:r>
          </w:p>
        </w:tc>
        <w:tc>
          <w:tcPr>
            <w:tcW w:w="3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143,943 </w:t>
            </w:r>
          </w:p>
        </w:tc>
        <w:tc>
          <w:tcPr>
            <w:tcW w:w="4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366,691,341 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(1)Includes 1,553 shares delivered in satisfaction of the tax withholding obligations resulting from the vesting of restricted stock units held by employees during the quarter ended March 31, 2024.</w:t>
      </w:r>
    </w:p>
    <w:p>
      <w:pPr>
        <w:pStyle w:val="TextBody"/>
        <w:bidi w:val="0"/>
        <w:spacing w:lineRule="auto" w:line="288" w:before="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(2)In January 2024, our Board of Directors approved a new stock repurchase program replacing our previously authorized October 2022 stock repurchase program, which was terminated prior to its expiration. The current program is open-ended and authorizes repurchases of shares of our common stock from time to time up to an aggregate cost of $500.0 million in the open market or in negotiated transactions. This program remains in effect until the total authorized amount is expended or until further action by our Board of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Times New Roman;sans-serif" w:hAnsi="Times New Roman;sans-serif"/>
          <w:b/>
          <w:color w:val="000000"/>
          <w:sz w:val="20"/>
        </w:rPr>
        <w:t>Item 3.</w:t>
      </w:r>
      <w:r>
        <w:rPr>
          <w:color w:val="000000"/>
        </w:rPr>
        <w:t xml:space="preserve"> </w:t>
      </w:r>
      <w:r>
        <w:rPr>
          <w:rFonts w:ascii="Times New Roman;sans-serif" w:hAnsi="Times New Roman;sans-serif"/>
          <w:b/>
          <w:i/>
          <w:color w:val="000000"/>
          <w:sz w:val="20"/>
        </w:rPr>
        <w:t>Defaults Upon Senior Securities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Item 4.</w:t>
      </w:r>
      <w:r>
        <w:rPr>
          <w:color w:val="000000"/>
        </w:rPr>
        <w:t xml:space="preserve"> </w:t>
      </w:r>
      <w:r>
        <w:rPr>
          <w:rFonts w:ascii="Times New Roman;sans-serif" w:hAnsi="Times New Roman;sans-serif"/>
          <w:b/>
          <w:i/>
          <w:color w:val="000000"/>
          <w:sz w:val="20"/>
        </w:rPr>
        <w:t>Mine Safety Disclosures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Item 5.</w:t>
      </w:r>
      <w:r>
        <w:rPr>
          <w:color w:val="000000"/>
        </w:rPr>
        <w:t xml:space="preserve"> </w:t>
      </w:r>
      <w:r>
        <w:rPr>
          <w:rFonts w:ascii="Times New Roman;sans-serif" w:hAnsi="Times New Roman;sans-serif"/>
          <w:b/>
          <w:i/>
          <w:color w:val="000000"/>
          <w:sz w:val="20"/>
        </w:rPr>
        <w:t>Other Information</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Trading Arrangements</w:t>
      </w:r>
    </w:p>
    <w:p>
      <w:pPr>
        <w:pStyle w:val="TextBody"/>
        <w:bidi w:val="0"/>
        <w:spacing w:lineRule="auto" w:line="288" w:before="120" w:after="283"/>
        <w:ind w:left="0" w:right="0" w:firstLine="495"/>
        <w:jc w:val="both"/>
        <w:rPr/>
      </w:pPr>
      <w:r>
        <w:rPr>
          <w:rFonts w:ascii="Times New Roman;sans-serif" w:hAnsi="Times New Roman;sans-serif"/>
          <w:b w:val="false"/>
          <w:color w:val="000000"/>
          <w:sz w:val="20"/>
          <w:shd w:fill="FFFFFF" w:val="clear"/>
        </w:rPr>
        <w:t xml:space="preserve">During the three months ended </w:t>
      </w:r>
      <w:r>
        <w:rPr>
          <w:rFonts w:ascii="Times New Roman;sans-serif" w:hAnsi="Times New Roman;sans-serif"/>
          <w:b w:val="false"/>
          <w:color w:val="000000"/>
          <w:sz w:val="20"/>
        </w:rPr>
        <w:t>March 31, 2024</w:t>
      </w:r>
      <w:r>
        <w:rPr>
          <w:rFonts w:ascii="Times New Roman;sans-serif" w:hAnsi="Times New Roman;sans-serif"/>
          <w:b w:val="false"/>
          <w:color w:val="000000"/>
          <w:sz w:val="20"/>
          <w:shd w:fill="FFFFFF" w:val="clear"/>
        </w:rPr>
        <w:t>, none of our directors or officers (as defined in Rule 16a-1(f) of the Exchange Act) adopted, modified or terminated any contract, instruction, or written plan for the purchase or sale of our securities that was intended to satisfy the affirmative defense conditions of Rule 10b5-1(c) of the Exchange Act or any non-Rule 10b5-1 trading arrangement (as defined in Item 408(c)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bed2e1db0b514eea8067dbdd2fa15ab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pPr>
      <w:r>
        <w:rPr>
          <w:rFonts w:ascii="Times New Roman;sans-serif" w:hAnsi="Times New Roman;sans-serif"/>
          <w:b/>
          <w:color w:val="000000"/>
          <w:sz w:val="20"/>
        </w:rPr>
        <w:t>Item 6.</w:t>
      </w:r>
      <w:r>
        <w:rPr>
          <w:color w:val="000000"/>
        </w:rPr>
        <w:t xml:space="preserve"> </w:t>
      </w:r>
      <w:r>
        <w:rPr>
          <w:rFonts w:ascii="Times New Roman;sans-serif" w:hAnsi="Times New Roman;sans-serif"/>
          <w:b/>
          <w:i/>
          <w:color w:val="000000"/>
          <w:sz w:val="20"/>
        </w:rPr>
        <w:t>Exhibits</w:t>
      </w:r>
      <w:r>
        <w:rPr>
          <w:color w:val="000000"/>
        </w:rPr>
        <w:t> </w:t>
      </w:r>
    </w:p>
    <w:tbl>
      <w:tblPr>
        <w:tblW w:w="10205" w:type="dxa"/>
        <w:jc w:val="left"/>
        <w:tblInd w:w="0" w:type="dxa"/>
        <w:tblLayout w:type="fixed"/>
        <w:tblCellMar>
          <w:top w:w="28" w:type="dxa"/>
          <w:left w:w="28" w:type="dxa"/>
          <w:bottom w:w="28" w:type="dxa"/>
          <w:right w:w="28" w:type="dxa"/>
        </w:tblCellMar>
      </w:tblPr>
      <w:tblGrid>
        <w:gridCol w:w="317"/>
        <w:gridCol w:w="279"/>
        <w:gridCol w:w="281"/>
        <w:gridCol w:w="109"/>
        <w:gridCol w:w="109"/>
        <w:gridCol w:w="109"/>
        <w:gridCol w:w="2626"/>
        <w:gridCol w:w="2626"/>
        <w:gridCol w:w="3749"/>
      </w:tblGrid>
      <w:tr>
        <w:trPr/>
        <w:tc>
          <w:tcPr>
            <w:tcW w:w="31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c>
          <w:tcPr>
            <w:tcW w:w="3749" w:type="dxa"/>
            <w:tcBorders/>
            <w:vAlign w:val="center"/>
          </w:tcPr>
          <w:p>
            <w:pPr>
              <w:pStyle w:val="TableContents"/>
              <w:bidi w:val="0"/>
              <w:spacing w:before="0" w:after="283"/>
              <w:jc w:val="left"/>
              <w:rPr>
                <w:sz w:val="4"/>
                <w:szCs w:val="4"/>
              </w:rPr>
            </w:pPr>
            <w:r>
              <w:rPr>
                <w:sz w:val="4"/>
                <w:szCs w:val="4"/>
              </w:rPr>
            </w:r>
          </w:p>
        </w:tc>
      </w:tr>
      <w:tr>
        <w:trPr/>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Exhibit</w:t>
            </w:r>
          </w:p>
          <w:p>
            <w:pPr>
              <w:pStyle w:val="TableContents"/>
              <w:bidi w:val="0"/>
              <w:spacing w:lineRule="auto" w:line="240" w:before="0" w:after="0"/>
              <w:jc w:val="center"/>
              <w:rPr>
                <w:rFonts w:ascii="Times New Roman;sans-serif" w:hAnsi="Times New Roman;sans-serif"/>
                <w:b/>
                <w:color w:val="000000"/>
                <w:sz w:val="16"/>
                <w:u w:val="single"/>
              </w:rPr>
            </w:pPr>
            <w:r>
              <w:rPr>
                <w:rFonts w:ascii="Times New Roman;sans-serif" w:hAnsi="Times New Roman;sans-serif"/>
                <w:b/>
                <w:color w:val="000000"/>
                <w:sz w:val="16"/>
                <w:u w:val="single"/>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Description</w:t>
            </w:r>
          </w:p>
        </w:tc>
      </w:tr>
      <w:tr>
        <w:trPr/>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ans-serif" w:hAnsi="Times New Roman;sans-serif"/>
                  <w:b w:val="false"/>
                  <w:color w:val="0000FF"/>
                  <w:sz w:val="20"/>
                  <w:u w:val="single"/>
                </w:rPr>
                <w:t>Composite Restated Certificate of Incorporation of Fair Isaac Corporation. (Incorporated by reference to Exhibit 3.2 to the Company’s Form 10-Q for the quarter ended December 31, 2009).</w:t>
              </w:r>
            </w:hyperlink>
          </w:p>
        </w:tc>
      </w:tr>
      <w:tr>
        <w:trPr/>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ans-serif" w:hAnsi="Times New Roman;sans-serif"/>
                  <w:b w:val="false"/>
                  <w:color w:val="0000FF"/>
                  <w:sz w:val="20"/>
                  <w:u w:val="single"/>
                </w:rPr>
                <w:t>By-laws of Fair Isaac Corporation. (Incorporated by reference to Exhibit 3.1 to the Company’s Form 10-Q for the quarter ended December 31, 2009).</w:t>
              </w:r>
            </w:hyperlink>
          </w:p>
        </w:tc>
      </w:tr>
      <w:tr>
        <w:trPr/>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icoex311q22024.htm">
              <w:r>
                <w:rPr>
                  <w:rStyle w:val="InternetLink"/>
                  <w:rFonts w:ascii="Times New Roman;sans-serif" w:hAnsi="Times New Roman;sans-serif"/>
                  <w:b w:val="false"/>
                  <w:color w:val="0000FF"/>
                  <w:sz w:val="20"/>
                  <w:u w:val="single"/>
                </w:rPr>
                <w:t>Rule 13a-14(a)/15d-14(a) Certifications of CEO.</w:t>
              </w:r>
            </w:hyperlink>
          </w:p>
        </w:tc>
      </w:tr>
      <w:tr>
        <w:trPr/>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icoex312q22024.htm">
              <w:r>
                <w:rPr>
                  <w:rStyle w:val="InternetLink"/>
                  <w:rFonts w:ascii="Times New Roman;sans-serif" w:hAnsi="Times New Roman;sans-serif"/>
                  <w:b w:val="false"/>
                  <w:color w:val="0000FF"/>
                  <w:sz w:val="20"/>
                  <w:u w:val="single"/>
                </w:rPr>
                <w:t>Rule 13a-14(a)/15d-14(a) Certifications of CFO.</w:t>
              </w:r>
            </w:hyperlink>
          </w:p>
        </w:tc>
      </w:tr>
      <w:tr>
        <w:trPr/>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icoex321q22024.htm">
              <w:r>
                <w:rPr>
                  <w:rStyle w:val="InternetLink"/>
                  <w:rFonts w:ascii="Times New Roman;sans-serif" w:hAnsi="Times New Roman;sans-serif"/>
                  <w:b w:val="false"/>
                  <w:color w:val="0000FF"/>
                  <w:sz w:val="20"/>
                  <w:u w:val="single"/>
                </w:rPr>
                <w:t>Section 1350 Certification of CEO.</w:t>
              </w:r>
            </w:hyperlink>
          </w:p>
        </w:tc>
      </w:tr>
      <w:tr>
        <w:trPr/>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icoex322q22024.htm">
              <w:r>
                <w:rPr>
                  <w:rStyle w:val="InternetLink"/>
                  <w:rFonts w:ascii="Times New Roman;sans-serif" w:hAnsi="Times New Roman;sans-serif"/>
                  <w:b w:val="false"/>
                  <w:color w:val="0000FF"/>
                  <w:sz w:val="20"/>
                  <w:u w:val="single"/>
                </w:rPr>
                <w:t>Section 1350 Certification of CFO.</w:t>
              </w:r>
            </w:hyperlink>
          </w:p>
        </w:tc>
      </w:tr>
      <w:tr>
        <w:trPr/>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r>
      <w:tr>
        <w:trPr/>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707" w:type="dxa"/>
        <w:jc w:val="left"/>
        <w:tblInd w:w="0" w:type="dxa"/>
        <w:tblLayout w:type="fixed"/>
        <w:tblCellMar>
          <w:top w:w="28" w:type="dxa"/>
          <w:left w:w="28" w:type="dxa"/>
          <w:bottom w:w="28" w:type="dxa"/>
          <w:right w:w="28" w:type="dxa"/>
        </w:tblCellMar>
      </w:tblPr>
      <w:tblGrid>
        <w:gridCol w:w="124"/>
        <w:gridCol w:w="109"/>
        <w:gridCol w:w="109"/>
        <w:gridCol w:w="400"/>
        <w:gridCol w:w="400"/>
        <w:gridCol w:w="5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bed2e1db0b514eea8067dbdd2fa15ab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as amended, the Registrant has duly caused this report to be signed on its behalf by the undersigned, thereunto duly authorized.</w:t>
      </w:r>
    </w:p>
    <w:tbl>
      <w:tblPr>
        <w:tblW w:w="7696" w:type="dxa"/>
        <w:jc w:val="left"/>
        <w:tblInd w:w="0" w:type="dxa"/>
        <w:tblLayout w:type="fixed"/>
        <w:tblCellMar>
          <w:top w:w="28" w:type="dxa"/>
          <w:left w:w="28" w:type="dxa"/>
          <w:bottom w:w="28" w:type="dxa"/>
          <w:right w:w="28" w:type="dxa"/>
        </w:tblCellMar>
      </w:tblPr>
      <w:tblGrid>
        <w:gridCol w:w="249"/>
        <w:gridCol w:w="220"/>
        <w:gridCol w:w="221"/>
        <w:gridCol w:w="429"/>
        <w:gridCol w:w="429"/>
        <w:gridCol w:w="431"/>
        <w:gridCol w:w="406"/>
        <w:gridCol w:w="406"/>
        <w:gridCol w:w="406"/>
        <w:gridCol w:w="1314"/>
        <w:gridCol w:w="1314"/>
        <w:gridCol w:w="1871"/>
      </w:tblGrid>
      <w:tr>
        <w:trPr/>
        <w:tc>
          <w:tcPr>
            <w:tcW w:w="24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ISAAC CORPORATION</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25, 2024</w:t>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STEVEN P. WEBER</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Steven P. Weber</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Executive Vice President and Chief Financial Officer</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(for Registrant as duly authorized officer and</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as Principal Financial Officer)</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25, 2024</w:t>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MICHAEL S. LEONARD</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Michael S. Leonard</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Vice President and Chief Accounting Officer</w:t>
              <w:br/>
              <w:t>(Principal Accounting Officer)</w:t>
            </w:r>
          </w:p>
        </w:tc>
      </w:tr>
    </w:tbl>
    <w:p>
      <w:pPr>
        <w:pStyle w:val="TextBody"/>
        <w:bidi w:val="0"/>
        <w:spacing w:before="0" w:after="0"/>
        <w:jc w:val="left"/>
        <w:rPr/>
      </w:pPr>
      <w:r>
        <w:rPr/>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31.1</w:t>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CERTIFICATIONS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William J. Lansing,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Fair Isaac Corporation;</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April 25, 2024 </w:t>
      </w:r>
    </w:p>
    <w:tbl>
      <w:tblPr>
        <w:tblW w:w="2621" w:type="dxa"/>
        <w:jc w:val="left"/>
        <w:tblInd w:w="0" w:type="dxa"/>
        <w:tblLayout w:type="fixed"/>
        <w:tblCellMar>
          <w:top w:w="28" w:type="dxa"/>
          <w:left w:w="28" w:type="dxa"/>
          <w:bottom w:w="28" w:type="dxa"/>
          <w:right w:w="28" w:type="dxa"/>
        </w:tblCellMar>
      </w:tblPr>
      <w:tblGrid>
        <w:gridCol w:w="813"/>
        <w:gridCol w:w="716"/>
        <w:gridCol w:w="720"/>
        <w:gridCol w:w="109"/>
        <w:gridCol w:w="109"/>
        <w:gridCol w:w="154"/>
      </w:tblGrid>
      <w:tr>
        <w:trPr/>
        <w:tc>
          <w:tcPr>
            <w:tcW w:w="813"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WILLIAM J. LANSING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William J. Lansing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31.2</w:t>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CERTIFICATIONS</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Steven P. Weber,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Fair Isaac Corporation;</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April 25, 2024 </w:t>
      </w:r>
    </w:p>
    <w:tbl>
      <w:tblPr>
        <w:tblW w:w="4841" w:type="dxa"/>
        <w:jc w:val="left"/>
        <w:tblInd w:w="0" w:type="dxa"/>
        <w:tblLayout w:type="fixed"/>
        <w:tblCellMar>
          <w:top w:w="28" w:type="dxa"/>
          <w:left w:w="28" w:type="dxa"/>
          <w:bottom w:w="28" w:type="dxa"/>
          <w:right w:w="28" w:type="dxa"/>
        </w:tblCellMar>
      </w:tblPr>
      <w:tblGrid>
        <w:gridCol w:w="1620"/>
        <w:gridCol w:w="1421"/>
        <w:gridCol w:w="1428"/>
        <w:gridCol w:w="109"/>
        <w:gridCol w:w="109"/>
        <w:gridCol w:w="154"/>
      </w:tblGrid>
      <w:tr>
        <w:trPr/>
        <w:tc>
          <w:tcPr>
            <w:tcW w:w="1620"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STEVEN P. WEBER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Steven P. Weber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Executive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32.1</w:t>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CERTIFICATION UNDER SECTION 906</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Section 906 of the Sarbanes-Oxley Act of 2002, the undersigned certifies that this periodic report fully complies with the requirements of Section 13(a) or 15(d) of the Securities Exchange Act of 1934 and that information contained in this periodic report fairly presents, in all material respects, the financial condition and results of operations of Fair Isaac Corporation.</w:t>
      </w:r>
    </w:p>
    <w:p>
      <w:pPr>
        <w:pStyle w:val="TextBody"/>
        <w:bidi w:val="0"/>
        <w:spacing w:lineRule="auto" w:line="288" w:before="0" w:after="0"/>
        <w:jc w:val="left"/>
        <w:rPr>
          <w:color w:val="000000"/>
        </w:rPr>
      </w:pPr>
      <w:r>
        <w:rPr>
          <w:color w:val="000000"/>
        </w:rPr>
        <w:t> </w:t>
      </w:r>
    </w:p>
    <w:tbl>
      <w:tblPr>
        <w:tblW w:w="4124" w:type="dxa"/>
        <w:jc w:val="left"/>
        <w:tblInd w:w="0" w:type="dxa"/>
        <w:tblLayout w:type="fixed"/>
        <w:tblCellMar>
          <w:top w:w="28" w:type="dxa"/>
          <w:left w:w="28" w:type="dxa"/>
          <w:bottom w:w="28" w:type="dxa"/>
          <w:right w:w="28" w:type="dxa"/>
        </w:tblCellMar>
      </w:tblPr>
      <w:tblGrid>
        <w:gridCol w:w="200"/>
        <w:gridCol w:w="177"/>
        <w:gridCol w:w="178"/>
        <w:gridCol w:w="429"/>
        <w:gridCol w:w="429"/>
        <w:gridCol w:w="431"/>
        <w:gridCol w:w="666"/>
        <w:gridCol w:w="666"/>
        <w:gridCol w:w="94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25, 2024</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WILLIAM J. LANSING</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William J. Lansing</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32.2</w:t>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CERTIFICATION UNDER SECTION 906</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Section 906 of the Sarbanes-Oxley Act of 2002, the undersigned certifies that this periodic report fully complies with the requirements of Section 13(a) or 15(d) of the Securities Exchange Act of 1934 and that information contained in this periodic report fairly presents, in all material respects, the financial condition and results of operations of Fair Isaac Corporation.</w:t>
      </w:r>
    </w:p>
    <w:p>
      <w:pPr>
        <w:pStyle w:val="TextBody"/>
        <w:bidi w:val="0"/>
        <w:spacing w:lineRule="auto" w:line="288" w:before="0" w:after="0"/>
        <w:jc w:val="left"/>
        <w:rPr>
          <w:color w:val="000000"/>
        </w:rPr>
      </w:pPr>
      <w:r>
        <w:rPr>
          <w:color w:val="000000"/>
        </w:rPr>
        <w:t> </w:t>
      </w:r>
    </w:p>
    <w:tbl>
      <w:tblPr>
        <w:tblW w:w="6344" w:type="dxa"/>
        <w:jc w:val="left"/>
        <w:tblInd w:w="0" w:type="dxa"/>
        <w:tblLayout w:type="fixed"/>
        <w:tblCellMar>
          <w:top w:w="28" w:type="dxa"/>
          <w:left w:w="28" w:type="dxa"/>
          <w:bottom w:w="28" w:type="dxa"/>
          <w:right w:w="28" w:type="dxa"/>
        </w:tblCellMar>
      </w:tblPr>
      <w:tblGrid>
        <w:gridCol w:w="200"/>
        <w:gridCol w:w="177"/>
        <w:gridCol w:w="178"/>
        <w:gridCol w:w="429"/>
        <w:gridCol w:w="429"/>
        <w:gridCol w:w="431"/>
        <w:gridCol w:w="1316"/>
        <w:gridCol w:w="1316"/>
        <w:gridCol w:w="186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25, 2024</w:t>
            </w:r>
          </w:p>
        </w:tc>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STEVEN P. WEBER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Steven P. Weber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Executive Vice President and 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14547/000095012310009970/c56194exv3w2.htm" TargetMode="External"/><Relationship Id="rId3" Type="http://schemas.openxmlformats.org/officeDocument/2006/relationships/hyperlink" Target="https://www.sec.gov/Archives/edgar/data/814547/000095012310009970/c56194exv3w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17151</Words>
  <Characters>94842</Characters>
  <CharactersWithSpaces>110415</CharactersWithSpaces>
  <Paragraphs>3406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