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80" w:lineRule="exact"/>
        <w:rPr>
          <w:sz w:val="24"/>
          <w:szCs w:val="24"/>
          <w:color w:val="auto"/>
        </w:rPr>
      </w:pPr>
    </w:p>
    <w:tbl>
      <w:tblPr>
        <w:tblLayout w:type="fixed"/>
        <w:tblInd w:w="5" w:type="dxa"/>
        <w:tblCellMar>
          <w:top w:w="0" w:type="dxa"/>
          <w:left w:w="0" w:type="dxa"/>
          <w:bottom w:w="0" w:type="dxa"/>
          <w:right w:w="0" w:type="dxa"/>
        </w:tblCellMar>
      </w:tblPr>
      <w:tr>
        <w:trPr>
          <w:trHeight w:val="172"/>
        </w:trPr>
        <w:tc>
          <w:tcPr>
            <w:tcW w:w="2540" w:type="dxa"/>
            <w:vAlign w:val="bottom"/>
          </w:tcPr>
          <w:p>
            <w:pPr>
              <w:spacing w:after="0"/>
              <w:rPr>
                <w:sz w:val="14"/>
                <w:szCs w:val="14"/>
                <w:color w:val="auto"/>
              </w:rPr>
            </w:pPr>
          </w:p>
        </w:tc>
        <w:tc>
          <w:tcPr>
            <w:tcW w:w="2300" w:type="dxa"/>
            <w:vAlign w:val="bottom"/>
          </w:tcPr>
          <w:p>
            <w:pPr>
              <w:ind w:left="40"/>
              <w:spacing w:after="0"/>
              <w:rPr>
                <w:sz w:val="20"/>
                <w:szCs w:val="20"/>
                <w:color w:val="auto"/>
              </w:rPr>
            </w:pPr>
            <w:r>
              <w:rPr>
                <w:rFonts w:ascii="Courier New" w:cs="Courier New" w:eastAsia="Courier New" w:hAnsi="Courier New"/>
                <w:sz w:val="15"/>
                <w:szCs w:val="15"/>
                <w:color w:val="auto"/>
              </w:rPr>
              <w:t>SCHEDULE 14A INFORMATION</w:t>
            </w:r>
          </w:p>
        </w:tc>
        <w:tc>
          <w:tcPr>
            <w:tcW w:w="2540" w:type="dxa"/>
            <w:vAlign w:val="bottom"/>
          </w:tcPr>
          <w:p>
            <w:pPr>
              <w:spacing w:after="0"/>
              <w:rPr>
                <w:sz w:val="14"/>
                <w:szCs w:val="14"/>
                <w:color w:val="auto"/>
              </w:rPr>
            </w:pPr>
          </w:p>
        </w:tc>
      </w:tr>
      <w:tr>
        <w:trPr>
          <w:trHeight w:val="177"/>
        </w:trPr>
        <w:tc>
          <w:tcPr>
            <w:tcW w:w="2540" w:type="dxa"/>
            <w:vAlign w:val="bottom"/>
          </w:tcPr>
          <w:p>
            <w:pPr>
              <w:spacing w:after="0"/>
              <w:rPr>
                <w:sz w:val="20"/>
                <w:szCs w:val="20"/>
                <w:color w:val="auto"/>
              </w:rPr>
            </w:pPr>
            <w:r>
              <w:rPr>
                <w:rFonts w:ascii="Courier New" w:cs="Courier New" w:eastAsia="Courier New" w:hAnsi="Courier New"/>
                <w:sz w:val="15"/>
                <w:szCs w:val="15"/>
                <w:color w:val="auto"/>
              </w:rPr>
              <w:t>Proxy Statement Pursuant to</w:t>
            </w:r>
          </w:p>
        </w:tc>
        <w:tc>
          <w:tcPr>
            <w:tcW w:w="484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Section 14(a) of the Securities Exchange Act of 1934</w:t>
            </w:r>
          </w:p>
        </w:tc>
      </w:tr>
      <w:tr>
        <w:trPr>
          <w:trHeight w:val="532"/>
        </w:trPr>
        <w:tc>
          <w:tcPr>
            <w:tcW w:w="2540" w:type="dxa"/>
            <w:vAlign w:val="bottom"/>
          </w:tcPr>
          <w:p>
            <w:pPr>
              <w:spacing w:after="0"/>
              <w:rPr>
                <w:sz w:val="20"/>
                <w:szCs w:val="20"/>
                <w:color w:val="auto"/>
              </w:rPr>
            </w:pPr>
            <w:r>
              <w:rPr>
                <w:rFonts w:ascii="Courier New" w:cs="Courier New" w:eastAsia="Courier New" w:hAnsi="Courier New"/>
                <w:sz w:val="15"/>
                <w:szCs w:val="15"/>
                <w:color w:val="auto"/>
              </w:rPr>
              <w:t>Filed by the Registrant</w:t>
            </w:r>
          </w:p>
        </w:tc>
        <w:tc>
          <w:tcPr>
            <w:tcW w:w="2300" w:type="dxa"/>
            <w:vAlign w:val="bottom"/>
          </w:tcPr>
          <w:p>
            <w:pPr>
              <w:spacing w:after="0"/>
              <w:rPr>
                <w:sz w:val="24"/>
                <w:szCs w:val="24"/>
                <w:color w:val="auto"/>
              </w:rPr>
            </w:pPr>
          </w:p>
        </w:tc>
        <w:tc>
          <w:tcPr>
            <w:tcW w:w="2540" w:type="dxa"/>
            <w:vAlign w:val="bottom"/>
          </w:tcPr>
          <w:p>
            <w:pPr>
              <w:ind w:left="40"/>
              <w:spacing w:after="0"/>
              <w:rPr>
                <w:sz w:val="20"/>
                <w:szCs w:val="20"/>
                <w:color w:val="auto"/>
              </w:rPr>
            </w:pPr>
            <w:r>
              <w:rPr>
                <w:rFonts w:ascii="Courier New" w:cs="Courier New" w:eastAsia="Courier New" w:hAnsi="Courier New"/>
                <w:sz w:val="15"/>
                <w:szCs w:val="15"/>
                <w:color w:val="auto"/>
              </w:rPr>
              <w:t>[X]</w:t>
            </w:r>
          </w:p>
        </w:tc>
      </w:tr>
      <w:tr>
        <w:trPr>
          <w:trHeight w:val="177"/>
        </w:trPr>
        <w:tc>
          <w:tcPr>
            <w:tcW w:w="2540" w:type="dxa"/>
            <w:vAlign w:val="bottom"/>
          </w:tcPr>
          <w:p>
            <w:pPr>
              <w:spacing w:after="0"/>
              <w:rPr>
                <w:sz w:val="20"/>
                <w:szCs w:val="20"/>
                <w:color w:val="auto"/>
              </w:rPr>
            </w:pPr>
            <w:r>
              <w:rPr>
                <w:rFonts w:ascii="Courier New" w:cs="Courier New" w:eastAsia="Courier New" w:hAnsi="Courier New"/>
                <w:sz w:val="15"/>
                <w:szCs w:val="15"/>
                <w:color w:val="auto"/>
              </w:rPr>
              <w:t>Filed by a Party other than</w:t>
            </w:r>
          </w:p>
        </w:tc>
        <w:tc>
          <w:tcPr>
            <w:tcW w:w="2300" w:type="dxa"/>
            <w:vAlign w:val="bottom"/>
          </w:tcPr>
          <w:p>
            <w:pPr>
              <w:ind w:left="40"/>
              <w:spacing w:after="0"/>
              <w:rPr>
                <w:sz w:val="20"/>
                <w:szCs w:val="20"/>
                <w:color w:val="auto"/>
              </w:rPr>
            </w:pPr>
            <w:r>
              <w:rPr>
                <w:rFonts w:ascii="Courier New" w:cs="Courier New" w:eastAsia="Courier New" w:hAnsi="Courier New"/>
                <w:sz w:val="15"/>
                <w:szCs w:val="15"/>
                <w:color w:val="auto"/>
              </w:rPr>
              <w:t>the Registrant</w:t>
            </w:r>
          </w:p>
        </w:tc>
        <w:tc>
          <w:tcPr>
            <w:tcW w:w="2540" w:type="dxa"/>
            <w:vAlign w:val="bottom"/>
          </w:tcPr>
          <w:p>
            <w:pPr>
              <w:ind w:left="40"/>
              <w:spacing w:after="0"/>
              <w:rPr>
                <w:sz w:val="20"/>
                <w:szCs w:val="20"/>
                <w:color w:val="auto"/>
              </w:rPr>
            </w:pPr>
            <w:r>
              <w:rPr>
                <w:rFonts w:ascii="Courier New" w:cs="Courier New" w:eastAsia="Courier New" w:hAnsi="Courier New"/>
                <w:sz w:val="15"/>
                <w:szCs w:val="15"/>
                <w:color w:val="auto"/>
              </w:rPr>
              <w:t>[ ]</w:t>
            </w:r>
          </w:p>
        </w:tc>
      </w:tr>
    </w:tbl>
    <w:p>
      <w:pPr>
        <w:spacing w:after="0" w:line="183" w:lineRule="exact"/>
        <w:rPr>
          <w:sz w:val="24"/>
          <w:szCs w:val="24"/>
          <w:color w:val="auto"/>
        </w:rPr>
      </w:pPr>
    </w:p>
    <w:p>
      <w:pPr>
        <w:ind w:left="5"/>
        <w:spacing w:after="0"/>
        <w:rPr>
          <w:sz w:val="20"/>
          <w:szCs w:val="20"/>
          <w:color w:val="auto"/>
        </w:rPr>
      </w:pPr>
      <w:r>
        <w:rPr>
          <w:rFonts w:ascii="Courier New" w:cs="Courier New" w:eastAsia="Courier New" w:hAnsi="Courier New"/>
          <w:sz w:val="15"/>
          <w:szCs w:val="15"/>
          <w:color w:val="auto"/>
        </w:rPr>
        <w:t>Check the appropriate box:</w:t>
      </w:r>
    </w:p>
    <w:p>
      <w:pPr>
        <w:spacing w:after="0" w:line="185" w:lineRule="exact"/>
        <w:rPr>
          <w:sz w:val="24"/>
          <w:szCs w:val="24"/>
          <w:color w:val="auto"/>
        </w:rPr>
      </w:pPr>
    </w:p>
    <w:p>
      <w:pPr>
        <w:ind w:left="5"/>
        <w:spacing w:after="0"/>
        <w:tabs>
          <w:tab w:leader="none" w:pos="725" w:val="left"/>
        </w:tabs>
        <w:rPr>
          <w:sz w:val="20"/>
          <w:szCs w:val="20"/>
          <w:color w:val="auto"/>
        </w:rPr>
      </w:pP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5"/>
          <w:szCs w:val="15"/>
          <w:color w:val="auto"/>
        </w:rPr>
        <w:t>Preliminary Proxy Statement</w:t>
      </w:r>
    </w:p>
    <w:p>
      <w:pPr>
        <w:spacing w:after="0" w:line="8" w:lineRule="exact"/>
        <w:rPr>
          <w:sz w:val="24"/>
          <w:szCs w:val="24"/>
          <w:color w:val="auto"/>
        </w:rPr>
      </w:pPr>
    </w:p>
    <w:p>
      <w:pPr>
        <w:ind w:left="745" w:hanging="745"/>
        <w:spacing w:after="0"/>
        <w:tabs>
          <w:tab w:leader="none" w:pos="745"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Definitive Proxy Statement</w:t>
      </w:r>
    </w:p>
    <w:p>
      <w:pPr>
        <w:spacing w:after="0" w:line="8" w:lineRule="exact"/>
        <w:rPr>
          <w:sz w:val="24"/>
          <w:szCs w:val="24"/>
          <w:color w:val="auto"/>
        </w:rPr>
      </w:pPr>
    </w:p>
    <w:p>
      <w:pPr>
        <w:ind w:left="5"/>
        <w:spacing w:after="0"/>
        <w:tabs>
          <w:tab w:leader="none" w:pos="725" w:val="left"/>
        </w:tabs>
        <w:rPr>
          <w:sz w:val="20"/>
          <w:szCs w:val="20"/>
          <w:color w:val="auto"/>
        </w:rPr>
      </w:pP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5"/>
          <w:szCs w:val="15"/>
          <w:color w:val="auto"/>
        </w:rPr>
        <w:t>Definitive Additional Materials</w:t>
      </w:r>
    </w:p>
    <w:p>
      <w:pPr>
        <w:spacing w:after="0" w:line="8" w:lineRule="exact"/>
        <w:rPr>
          <w:sz w:val="24"/>
          <w:szCs w:val="24"/>
          <w:color w:val="auto"/>
        </w:rPr>
      </w:pPr>
    </w:p>
    <w:p>
      <w:pPr>
        <w:ind w:left="5"/>
        <w:spacing w:after="0"/>
        <w:tabs>
          <w:tab w:leader="none" w:pos="725" w:val="left"/>
        </w:tabs>
        <w:rPr>
          <w:sz w:val="20"/>
          <w:szCs w:val="20"/>
          <w:color w:val="auto"/>
        </w:rPr>
      </w:pP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5"/>
          <w:szCs w:val="15"/>
          <w:color w:val="auto"/>
        </w:rPr>
        <w:t>Soliciting Material Pursuant to ss. 240.14a-11(c) or ss. 240.14a-12</w:t>
      </w:r>
    </w:p>
    <w:p>
      <w:pPr>
        <w:spacing w:after="0" w:line="185" w:lineRule="exact"/>
        <w:rPr>
          <w:sz w:val="24"/>
          <w:szCs w:val="24"/>
          <w:color w:val="auto"/>
        </w:rPr>
      </w:pPr>
    </w:p>
    <w:p>
      <w:pPr>
        <w:ind w:left="2025"/>
        <w:spacing w:after="0"/>
        <w:rPr>
          <w:sz w:val="20"/>
          <w:szCs w:val="20"/>
          <w:color w:val="auto"/>
        </w:rPr>
      </w:pPr>
      <w:r>
        <w:rPr>
          <w:rFonts w:ascii="Courier New" w:cs="Courier New" w:eastAsia="Courier New" w:hAnsi="Courier New"/>
          <w:sz w:val="15"/>
          <w:szCs w:val="15"/>
          <w:color w:val="auto"/>
        </w:rPr>
        <w:t>FAIR, ISSAC AND COMPANY, INCORPORATED</w:t>
      </w:r>
    </w:p>
    <w:p>
      <w:pPr>
        <w:spacing w:after="0" w:line="8" w:lineRule="exact"/>
        <w:rPr>
          <w:sz w:val="24"/>
          <w:szCs w:val="24"/>
          <w:color w:val="auto"/>
        </w:rPr>
      </w:pPr>
    </w:p>
    <w:p>
      <w:pPr>
        <w:ind w:left="185" w:hanging="185"/>
        <w:spacing w:after="0"/>
        <w:tabs>
          <w:tab w:leader="none" w:pos="185"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7" w:lineRule="exact"/>
        <w:rPr>
          <w:rFonts w:ascii="Courier New" w:cs="Courier New" w:eastAsia="Courier New" w:hAnsi="Courier New"/>
          <w:sz w:val="15"/>
          <w:szCs w:val="15"/>
          <w:color w:val="auto"/>
        </w:rPr>
      </w:pPr>
    </w:p>
    <w:p>
      <w:pPr>
        <w:ind w:left="1485"/>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(Name of Registrant as Specified In Its Charter)</w:t>
      </w:r>
    </w:p>
    <w:p>
      <w:pPr>
        <w:spacing w:after="0" w:line="185" w:lineRule="exact"/>
        <w:rPr>
          <w:sz w:val="24"/>
          <w:szCs w:val="24"/>
          <w:color w:val="auto"/>
        </w:rPr>
      </w:pPr>
    </w:p>
    <w:p>
      <w:pPr>
        <w:ind w:left="2025"/>
        <w:spacing w:after="0"/>
        <w:rPr>
          <w:sz w:val="20"/>
          <w:szCs w:val="20"/>
          <w:color w:val="auto"/>
        </w:rPr>
      </w:pPr>
      <w:r>
        <w:rPr>
          <w:rFonts w:ascii="Courier New" w:cs="Courier New" w:eastAsia="Courier New" w:hAnsi="Courier New"/>
          <w:sz w:val="15"/>
          <w:szCs w:val="15"/>
          <w:color w:val="auto"/>
        </w:rPr>
        <w:t>FAIR, ISSAC AND COMPANY, INCORPORATED</w:t>
      </w:r>
    </w:p>
    <w:p>
      <w:pPr>
        <w:spacing w:after="0" w:line="8" w:lineRule="exact"/>
        <w:rPr>
          <w:sz w:val="24"/>
          <w:szCs w:val="24"/>
          <w:color w:val="auto"/>
        </w:rPr>
      </w:pPr>
    </w:p>
    <w:p>
      <w:pPr>
        <w:ind w:left="185" w:hanging="185"/>
        <w:spacing w:after="0"/>
        <w:tabs>
          <w:tab w:leader="none" w:pos="185"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7" w:lineRule="exact"/>
        <w:rPr>
          <w:rFonts w:ascii="Courier New" w:cs="Courier New" w:eastAsia="Courier New" w:hAnsi="Courier New"/>
          <w:sz w:val="15"/>
          <w:szCs w:val="15"/>
          <w:color w:val="auto"/>
        </w:rPr>
      </w:pPr>
    </w:p>
    <w:p>
      <w:pPr>
        <w:ind w:left="1745"/>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(Name of Person(s) Filing Proxy Statement)</w:t>
      </w:r>
    </w:p>
    <w:p>
      <w:pPr>
        <w:spacing w:after="0" w:line="185" w:lineRule="exact"/>
        <w:rPr>
          <w:sz w:val="24"/>
          <w:szCs w:val="24"/>
          <w:color w:val="auto"/>
        </w:rPr>
      </w:pPr>
    </w:p>
    <w:p>
      <w:pPr>
        <w:ind w:left="5"/>
        <w:spacing w:after="0"/>
        <w:rPr>
          <w:sz w:val="20"/>
          <w:szCs w:val="20"/>
          <w:color w:val="auto"/>
        </w:rPr>
      </w:pPr>
      <w:r>
        <w:rPr>
          <w:rFonts w:ascii="Courier New" w:cs="Courier New" w:eastAsia="Courier New" w:hAnsi="Courier New"/>
          <w:sz w:val="15"/>
          <w:szCs w:val="15"/>
          <w:color w:val="auto"/>
        </w:rPr>
        <w:t>Payment of Filing Fee (Check the appropriate box)</w:t>
      </w:r>
    </w:p>
    <w:p>
      <w:pPr>
        <w:spacing w:after="0" w:line="185" w:lineRule="exact"/>
        <w:rPr>
          <w:sz w:val="24"/>
          <w:szCs w:val="24"/>
          <w:color w:val="auto"/>
        </w:rPr>
      </w:pPr>
    </w:p>
    <w:p>
      <w:pPr>
        <w:ind w:left="185" w:hanging="185"/>
        <w:spacing w:after="0"/>
        <w:tabs>
          <w:tab w:leader="none" w:pos="185"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]$125 per Exchange Act Rules 0-11(c)(1)(ii), 14a-6(i)(1), or 14a-6(j)(2).</w:t>
      </w:r>
    </w:p>
    <w:p>
      <w:pPr>
        <w:spacing w:after="0" w:line="7" w:lineRule="exact"/>
        <w:rPr>
          <w:rFonts w:ascii="Courier New" w:cs="Courier New" w:eastAsia="Courier New" w:hAnsi="Courier New"/>
          <w:sz w:val="15"/>
          <w:szCs w:val="15"/>
          <w:color w:val="auto"/>
        </w:rPr>
      </w:pPr>
    </w:p>
    <w:p>
      <w:pPr>
        <w:ind w:left="745" w:right="3219" w:hanging="745"/>
        <w:spacing w:after="0" w:line="250" w:lineRule="auto"/>
        <w:tabs>
          <w:tab w:leader="none" w:pos="10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]$500 per each party to the controversy pursuant to Exchange Act Rule 14a-6(i)(3).</w:t>
      </w:r>
    </w:p>
    <w:p>
      <w:pPr>
        <w:ind w:left="185" w:hanging="185"/>
        <w:spacing w:after="0"/>
        <w:tabs>
          <w:tab w:leader="none" w:pos="185"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]Fee computed on table below per Exchange Act Rules 14a-6(i)(4) and 0-11.</w:t>
      </w:r>
    </w:p>
    <w:p>
      <w:pPr>
        <w:spacing w:after="0" w:line="184" w:lineRule="exact"/>
        <w:rPr>
          <w:rFonts w:ascii="Courier New" w:cs="Courier New" w:eastAsia="Courier New" w:hAnsi="Courier New"/>
          <w:sz w:val="15"/>
          <w:szCs w:val="15"/>
          <w:color w:val="auto"/>
        </w:rPr>
      </w:pPr>
    </w:p>
    <w:p>
      <w:pPr>
        <w:ind w:left="825" w:hanging="272"/>
        <w:spacing w:after="0"/>
        <w:tabs>
          <w:tab w:leader="none" w:pos="825" w:val="left"/>
        </w:tabs>
        <w:numPr>
          <w:ilvl w:val="1"/>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Title of each class of securities to which transaction applies:</w:t>
      </w:r>
    </w:p>
    <w:p>
      <w:pPr>
        <w:spacing w:after="0" w:line="185" w:lineRule="exact"/>
        <w:rPr>
          <w:sz w:val="24"/>
          <w:szCs w:val="24"/>
          <w:color w:val="auto"/>
        </w:rPr>
      </w:pPr>
    </w:p>
    <w:p>
      <w:pPr>
        <w:ind w:left="185" w:hanging="185"/>
        <w:spacing w:after="0"/>
        <w:tabs>
          <w:tab w:leader="none" w:pos="185"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84" w:lineRule="exact"/>
        <w:rPr>
          <w:rFonts w:ascii="Courier New" w:cs="Courier New" w:eastAsia="Courier New" w:hAnsi="Courier New"/>
          <w:sz w:val="15"/>
          <w:szCs w:val="15"/>
          <w:color w:val="auto"/>
        </w:rPr>
      </w:pPr>
    </w:p>
    <w:p>
      <w:pPr>
        <w:ind w:left="825" w:hanging="272"/>
        <w:spacing w:after="0"/>
        <w:tabs>
          <w:tab w:leader="none" w:pos="825" w:val="left"/>
        </w:tabs>
        <w:numPr>
          <w:ilvl w:val="1"/>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Aggregate number of securities to which transaction applies:</w:t>
      </w:r>
    </w:p>
    <w:p>
      <w:pPr>
        <w:spacing w:after="0" w:line="184" w:lineRule="exact"/>
        <w:rPr>
          <w:rFonts w:ascii="Courier New" w:cs="Courier New" w:eastAsia="Courier New" w:hAnsi="Courier New"/>
          <w:sz w:val="15"/>
          <w:szCs w:val="15"/>
          <w:color w:val="auto"/>
        </w:rPr>
      </w:pPr>
    </w:p>
    <w:p>
      <w:pPr>
        <w:ind w:left="185" w:hanging="185"/>
        <w:spacing w:after="0"/>
        <w:tabs>
          <w:tab w:leader="none" w:pos="185"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84" w:lineRule="exact"/>
        <w:rPr>
          <w:rFonts w:ascii="Courier New" w:cs="Courier New" w:eastAsia="Courier New" w:hAnsi="Courier New"/>
          <w:sz w:val="15"/>
          <w:szCs w:val="15"/>
          <w:color w:val="auto"/>
        </w:rPr>
      </w:pPr>
    </w:p>
    <w:p>
      <w:pPr>
        <w:ind w:left="5" w:right="2839" w:firstLine="548"/>
        <w:spacing w:after="0" w:line="253" w:lineRule="auto"/>
        <w:tabs>
          <w:tab w:leader="none" w:pos="928" w:val="left"/>
        </w:tabs>
        <w:numPr>
          <w:ilvl w:val="1"/>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Per unit price or other underlying value of transaction computed pursuant to Exchange Act Rule 0-11:(1)</w:t>
      </w:r>
    </w:p>
    <w:p>
      <w:pPr>
        <w:spacing w:after="0" w:line="174" w:lineRule="exact"/>
        <w:rPr>
          <w:rFonts w:ascii="Courier New" w:cs="Courier New" w:eastAsia="Courier New" w:hAnsi="Courier New"/>
          <w:sz w:val="15"/>
          <w:szCs w:val="15"/>
          <w:color w:val="auto"/>
        </w:rPr>
      </w:pPr>
    </w:p>
    <w:p>
      <w:pPr>
        <w:ind w:left="185" w:hanging="185"/>
        <w:spacing w:after="0"/>
        <w:tabs>
          <w:tab w:leader="none" w:pos="185"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84" w:lineRule="exact"/>
        <w:rPr>
          <w:rFonts w:ascii="Courier New" w:cs="Courier New" w:eastAsia="Courier New" w:hAnsi="Courier New"/>
          <w:sz w:val="15"/>
          <w:szCs w:val="15"/>
          <w:color w:val="auto"/>
        </w:rPr>
      </w:pPr>
    </w:p>
    <w:p>
      <w:pPr>
        <w:ind w:left="825" w:hanging="272"/>
        <w:spacing w:after="0"/>
        <w:tabs>
          <w:tab w:leader="none" w:pos="825" w:val="left"/>
        </w:tabs>
        <w:numPr>
          <w:ilvl w:val="1"/>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Proposed maximum aggregate value of transaction:</w:t>
      </w:r>
    </w:p>
    <w:p>
      <w:pPr>
        <w:spacing w:after="0" w:line="184" w:lineRule="exact"/>
        <w:rPr>
          <w:rFonts w:ascii="Courier New" w:cs="Courier New" w:eastAsia="Courier New" w:hAnsi="Courier New"/>
          <w:sz w:val="15"/>
          <w:szCs w:val="15"/>
          <w:color w:val="auto"/>
        </w:rPr>
      </w:pPr>
    </w:p>
    <w:p>
      <w:pPr>
        <w:ind w:left="185" w:hanging="185"/>
        <w:spacing w:after="0"/>
        <w:tabs>
          <w:tab w:leader="none" w:pos="185"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85" w:lineRule="exact"/>
        <w:rPr>
          <w:sz w:val="24"/>
          <w:szCs w:val="24"/>
          <w:color w:val="auto"/>
        </w:rPr>
      </w:pPr>
    </w:p>
    <w:p>
      <w:pPr>
        <w:ind w:left="5" w:right="2839" w:firstLine="548"/>
        <w:spacing w:after="0" w:line="253" w:lineRule="auto"/>
        <w:tabs>
          <w:tab w:leader="none" w:pos="928"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Set forth the amount on which the filing fee is calculated and state how it was determined.</w:t>
      </w:r>
    </w:p>
    <w:p>
      <w:pPr>
        <w:spacing w:after="0" w:line="174" w:lineRule="exact"/>
        <w:rPr>
          <w:sz w:val="24"/>
          <w:szCs w:val="24"/>
          <w:color w:val="auto"/>
        </w:rPr>
      </w:pPr>
    </w:p>
    <w:p>
      <w:pPr>
        <w:jc w:val="both"/>
        <w:ind w:left="545" w:right="2839" w:hanging="545"/>
        <w:spacing w:after="0" w:line="251" w:lineRule="auto"/>
        <w:tabs>
          <w:tab w:leader="none" w:pos="545"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 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76" w:lineRule="exact"/>
        <w:rPr>
          <w:rFonts w:ascii="Courier New" w:cs="Courier New" w:eastAsia="Courier New" w:hAnsi="Courier New"/>
          <w:sz w:val="15"/>
          <w:szCs w:val="15"/>
          <w:color w:val="auto"/>
        </w:rPr>
      </w:pPr>
    </w:p>
    <w:p>
      <w:pPr>
        <w:ind w:left="825" w:hanging="272"/>
        <w:spacing w:after="0"/>
        <w:tabs>
          <w:tab w:leader="none" w:pos="825" w:val="left"/>
        </w:tabs>
        <w:numPr>
          <w:ilvl w:val="1"/>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Amount Previously Paid:</w:t>
      </w:r>
    </w:p>
    <w:p>
      <w:pPr>
        <w:spacing w:after="0" w:line="184" w:lineRule="exact"/>
        <w:rPr>
          <w:rFonts w:ascii="Courier New" w:cs="Courier New" w:eastAsia="Courier New" w:hAnsi="Courier New"/>
          <w:sz w:val="15"/>
          <w:szCs w:val="15"/>
          <w:color w:val="auto"/>
        </w:rPr>
      </w:pPr>
    </w:p>
    <w:p>
      <w:pPr>
        <w:ind w:left="825" w:hanging="272"/>
        <w:spacing w:after="0"/>
        <w:tabs>
          <w:tab w:leader="none" w:pos="825" w:val="left"/>
        </w:tabs>
        <w:numPr>
          <w:ilvl w:val="1"/>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Form, Schedule or Registration Statement No.:</w:t>
      </w:r>
    </w:p>
    <w:p>
      <w:pPr>
        <w:spacing w:after="0" w:line="184" w:lineRule="exact"/>
        <w:rPr>
          <w:rFonts w:ascii="Courier New" w:cs="Courier New" w:eastAsia="Courier New" w:hAnsi="Courier New"/>
          <w:sz w:val="15"/>
          <w:szCs w:val="15"/>
          <w:color w:val="auto"/>
        </w:rPr>
      </w:pPr>
    </w:p>
    <w:p>
      <w:pPr>
        <w:ind w:left="825" w:hanging="272"/>
        <w:spacing w:after="0"/>
        <w:tabs>
          <w:tab w:leader="none" w:pos="825" w:val="left"/>
        </w:tabs>
        <w:numPr>
          <w:ilvl w:val="1"/>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Filing Party:</w:t>
      </w:r>
    </w:p>
    <w:p>
      <w:pPr>
        <w:spacing w:after="0" w:line="184" w:lineRule="exact"/>
        <w:rPr>
          <w:rFonts w:ascii="Courier New" w:cs="Courier New" w:eastAsia="Courier New" w:hAnsi="Courier New"/>
          <w:sz w:val="15"/>
          <w:szCs w:val="15"/>
          <w:color w:val="auto"/>
        </w:rPr>
      </w:pPr>
    </w:p>
    <w:p>
      <w:pPr>
        <w:ind w:left="825" w:hanging="272"/>
        <w:spacing w:after="0"/>
        <w:tabs>
          <w:tab w:leader="none" w:pos="825" w:val="left"/>
        </w:tabs>
        <w:numPr>
          <w:ilvl w:val="1"/>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Date Filed:</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3" w:lineRule="exact"/>
        <w:rPr>
          <w:sz w:val="24"/>
          <w:szCs w:val="24"/>
          <w:color w:val="auto"/>
        </w:rPr>
      </w:pPr>
    </w:p>
    <w:p>
      <w:pPr>
        <w:ind w:left="1485"/>
        <w:spacing w:after="0"/>
        <w:rPr>
          <w:sz w:val="20"/>
          <w:szCs w:val="20"/>
          <w:color w:val="auto"/>
        </w:rPr>
      </w:pPr>
      <w:r>
        <w:rPr>
          <w:rFonts w:ascii="Courier New" w:cs="Courier New" w:eastAsia="Courier New" w:hAnsi="Courier New"/>
          <w:sz w:val="15"/>
          <w:szCs w:val="15"/>
          <w:color w:val="auto"/>
        </w:rPr>
        <w:t>NOTICE OF ANNUAL MEETING OF STOCKHOLDERS</w:t>
      </w:r>
    </w:p>
    <w:p>
      <w:pPr>
        <w:spacing w:after="0" w:line="8" w:lineRule="exact"/>
        <w:rPr>
          <w:sz w:val="24"/>
          <w:szCs w:val="24"/>
          <w:color w:val="auto"/>
        </w:rPr>
      </w:pPr>
    </w:p>
    <w:p>
      <w:pPr>
        <w:ind w:left="2945"/>
        <w:spacing w:after="0"/>
        <w:rPr>
          <w:sz w:val="20"/>
          <w:szCs w:val="20"/>
          <w:color w:val="auto"/>
        </w:rPr>
      </w:pPr>
      <w:r>
        <w:rPr>
          <w:rFonts w:ascii="Courier New" w:cs="Courier New" w:eastAsia="Courier New" w:hAnsi="Courier New"/>
          <w:sz w:val="15"/>
          <w:szCs w:val="15"/>
          <w:color w:val="auto"/>
        </w:rPr>
        <w:t>February 4, 1997</w:t>
      </w:r>
    </w:p>
    <w:p>
      <w:pPr>
        <w:spacing w:after="0" w:line="362" w:lineRule="exact"/>
        <w:rPr>
          <w:sz w:val="24"/>
          <w:szCs w:val="24"/>
          <w:color w:val="auto"/>
        </w:rPr>
      </w:pPr>
    </w:p>
    <w:p>
      <w:pPr>
        <w:ind w:left="5"/>
        <w:spacing w:after="0"/>
        <w:rPr>
          <w:sz w:val="20"/>
          <w:szCs w:val="20"/>
          <w:color w:val="auto"/>
        </w:rPr>
      </w:pPr>
      <w:r>
        <w:rPr>
          <w:rFonts w:ascii="Courier New" w:cs="Courier New" w:eastAsia="Courier New" w:hAnsi="Courier New"/>
          <w:sz w:val="15"/>
          <w:szCs w:val="15"/>
          <w:color w:val="auto"/>
        </w:rPr>
        <w:t>To the Stockholders:</w:t>
      </w:r>
    </w:p>
    <w:p>
      <w:pPr>
        <w:spacing w:after="0" w:line="185" w:lineRule="exact"/>
        <w:rPr>
          <w:sz w:val="24"/>
          <w:szCs w:val="24"/>
          <w:color w:val="auto"/>
        </w:rPr>
      </w:pPr>
    </w:p>
    <w:p>
      <w:pPr>
        <w:jc w:val="both"/>
        <w:ind w:left="5" w:right="2839"/>
        <w:spacing w:after="0" w:line="251" w:lineRule="auto"/>
        <w:rPr>
          <w:sz w:val="20"/>
          <w:szCs w:val="20"/>
          <w:color w:val="auto"/>
        </w:rPr>
      </w:pPr>
      <w:r>
        <w:rPr>
          <w:rFonts w:ascii="Courier New" w:cs="Courier New" w:eastAsia="Courier New" w:hAnsi="Courier New"/>
          <w:sz w:val="15"/>
          <w:szCs w:val="15"/>
          <w:color w:val="auto"/>
        </w:rPr>
        <w:t>Notice is hereby given that the Annual Meeting of Stockholders of Fair, Isaac and Company, Incorporated (the "Company") will be held at 9:30 A.M., P.S.T., on Tuesday, February 4, 1997, at Fair, Isaac's Conference Center, 111 Smith Ranch Road, San Rafael, California, for the following purposes:</w:t>
      </w:r>
    </w:p>
    <w:p>
      <w:pPr>
        <w:spacing w:after="0" w:line="176" w:lineRule="exact"/>
        <w:rPr>
          <w:sz w:val="24"/>
          <w:szCs w:val="24"/>
          <w:color w:val="auto"/>
        </w:rPr>
      </w:pPr>
    </w:p>
    <w:p>
      <w:pPr>
        <w:ind w:left="465" w:right="2839" w:hanging="465"/>
        <w:spacing w:after="0" w:line="253" w:lineRule="auto"/>
        <w:tabs>
          <w:tab w:leader="none" w:pos="465"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elect directors to serve until the 1998 Annual Meeting of Stockholders and thereafter until their successors are elected and qualified.</w:t>
      </w:r>
    </w:p>
    <w:p>
      <w:pPr>
        <w:spacing w:after="0" w:line="174" w:lineRule="exact"/>
        <w:rPr>
          <w:rFonts w:ascii="Courier New" w:cs="Courier New" w:eastAsia="Courier New" w:hAnsi="Courier New"/>
          <w:sz w:val="15"/>
          <w:szCs w:val="15"/>
          <w:color w:val="auto"/>
        </w:rPr>
      </w:pPr>
    </w:p>
    <w:p>
      <w:pPr>
        <w:ind w:left="465" w:hanging="465"/>
        <w:spacing w:after="0"/>
        <w:tabs>
          <w:tab w:leader="none" w:pos="465"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ratify the appointment of the independent auditors of the Company.</w:t>
      </w:r>
    </w:p>
    <w:p>
      <w:pPr>
        <w:spacing w:after="0" w:line="184" w:lineRule="exact"/>
        <w:rPr>
          <w:rFonts w:ascii="Courier New" w:cs="Courier New" w:eastAsia="Courier New" w:hAnsi="Courier New"/>
          <w:sz w:val="15"/>
          <w:szCs w:val="15"/>
          <w:color w:val="auto"/>
        </w:rPr>
      </w:pPr>
    </w:p>
    <w:p>
      <w:pPr>
        <w:ind w:left="465" w:right="2839" w:hanging="465"/>
        <w:spacing w:after="0" w:line="253" w:lineRule="auto"/>
        <w:tabs>
          <w:tab w:leader="none" w:pos="465"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transact such other business as may properly come before the meeting or any adjournment thereof.</w:t>
      </w:r>
    </w:p>
    <w:p>
      <w:pPr>
        <w:spacing w:after="0" w:line="174" w:lineRule="exact"/>
        <w:rPr>
          <w:sz w:val="24"/>
          <w:szCs w:val="24"/>
          <w:color w:val="auto"/>
        </w:rPr>
      </w:pPr>
    </w:p>
    <w:p>
      <w:pPr>
        <w:jc w:val="both"/>
        <w:ind w:left="5" w:right="2839"/>
        <w:spacing w:after="0" w:line="253" w:lineRule="auto"/>
        <w:rPr>
          <w:sz w:val="20"/>
          <w:szCs w:val="20"/>
          <w:color w:val="auto"/>
        </w:rPr>
      </w:pPr>
      <w:r>
        <w:rPr>
          <w:rFonts w:ascii="Courier New" w:cs="Courier New" w:eastAsia="Courier New" w:hAnsi="Courier New"/>
          <w:sz w:val="15"/>
          <w:szCs w:val="15"/>
          <w:color w:val="auto"/>
        </w:rPr>
        <w:t>All of the above matters are more fully described in the accompanying Proxy Statement. Only stockholders of record at the close of business on Friday,</w:t>
      </w:r>
    </w:p>
    <w:p>
      <w:pPr>
        <w:sectPr>
          <w:pgSz w:w="11900" w:h="16918" w:orient="portrait"/>
          <w:cols w:equalWidth="0" w:num="1">
            <w:col w:w="10225"/>
          </w:cols>
          <w:pgMar w:left="235" w:top="768" w:right="1440" w:bottom="0" w:gutter="0" w:footer="0" w:header="0"/>
        </w:sectPr>
      </w:pPr>
    </w:p>
    <w:bookmarkStart w:id="1" w:name="page2"/>
    <w:bookmarkEnd w:id="1"/>
    <w:p>
      <w:pPr>
        <w:jc w:val="both"/>
        <w:ind w:left="5" w:right="2839"/>
        <w:spacing w:after="0" w:line="252" w:lineRule="auto"/>
        <w:rPr>
          <w:sz w:val="20"/>
          <w:szCs w:val="20"/>
          <w:color w:val="auto"/>
        </w:rPr>
      </w:pPr>
      <w:r>
        <w:rPr>
          <w:rFonts w:ascii="Courier New" w:cs="Courier New" w:eastAsia="Courier New" w:hAnsi="Courier New"/>
          <w:sz w:val="15"/>
          <w:szCs w:val="15"/>
          <w:color w:val="auto"/>
        </w:rPr>
        <w:t>December 6, 1996, are entitled to notice of and to vote at the meeting or any postponement or adjournment thereof. A list of stockholders entitled to vote at the Annual Meeting will be available for inspection at the Company's offices, 111 Smith Ranch Road, San Rafael, California, at least 10 days before the meeting.</w:t>
      </w:r>
    </w:p>
    <w:p>
      <w:pPr>
        <w:spacing w:after="0" w:line="351" w:lineRule="exact"/>
        <w:rPr>
          <w:sz w:val="20"/>
          <w:szCs w:val="20"/>
          <w:color w:val="auto"/>
        </w:rPr>
      </w:pPr>
    </w:p>
    <w:p>
      <w:pPr>
        <w:jc w:val="both"/>
        <w:ind w:left="5" w:right="2839"/>
        <w:spacing w:after="0" w:line="251" w:lineRule="auto"/>
        <w:rPr>
          <w:sz w:val="20"/>
          <w:szCs w:val="20"/>
          <w:color w:val="auto"/>
        </w:rPr>
      </w:pPr>
      <w:r>
        <w:rPr>
          <w:rFonts w:ascii="Courier New" w:cs="Courier New" w:eastAsia="Courier New" w:hAnsi="Courier New"/>
          <w:sz w:val="15"/>
          <w:szCs w:val="15"/>
          <w:color w:val="auto"/>
        </w:rPr>
        <w:t>All stockholders are cordially invited to attend the meeting in person. However, to assure your representation at the meeting, you are urged to mark, sign, date and return the enclosed proxy as promptly as possible in the postage prepaid envelope enclosed for that purpose. Any stockholder attending the meeting may vote in person even if he or she returned a proxy.</w:t>
      </w:r>
    </w:p>
    <w:p>
      <w:pPr>
        <w:spacing w:after="0" w:line="176" w:lineRule="exact"/>
        <w:rPr>
          <w:sz w:val="20"/>
          <w:szCs w:val="20"/>
          <w:color w:val="auto"/>
        </w:rPr>
      </w:pPr>
    </w:p>
    <w:p>
      <w:pPr>
        <w:ind w:left="3785"/>
        <w:spacing w:after="0"/>
        <w:rPr>
          <w:sz w:val="20"/>
          <w:szCs w:val="20"/>
          <w:color w:val="auto"/>
        </w:rPr>
      </w:pPr>
      <w:r>
        <w:rPr>
          <w:rFonts w:ascii="Courier New" w:cs="Courier New" w:eastAsia="Courier New" w:hAnsi="Courier New"/>
          <w:sz w:val="15"/>
          <w:szCs w:val="15"/>
          <w:color w:val="auto"/>
        </w:rPr>
        <w:t>Sincerely,</w:t>
      </w:r>
    </w:p>
    <w:p>
      <w:pPr>
        <w:spacing w:after="0" w:line="362" w:lineRule="exact"/>
        <w:rPr>
          <w:sz w:val="20"/>
          <w:szCs w:val="20"/>
          <w:color w:val="auto"/>
        </w:rPr>
      </w:pPr>
    </w:p>
    <w:p>
      <w:pPr>
        <w:ind w:left="3785"/>
        <w:spacing w:after="0"/>
        <w:rPr>
          <w:sz w:val="20"/>
          <w:szCs w:val="20"/>
          <w:color w:val="auto"/>
        </w:rPr>
      </w:pPr>
      <w:r>
        <w:rPr>
          <w:rFonts w:ascii="Courier New" w:cs="Courier New" w:eastAsia="Courier New" w:hAnsi="Courier New"/>
          <w:sz w:val="15"/>
          <w:szCs w:val="15"/>
          <w:color w:val="auto"/>
        </w:rPr>
        <w:t>Peter L. McCorkell</w:t>
      </w:r>
    </w:p>
    <w:p>
      <w:pPr>
        <w:spacing w:after="0" w:line="8" w:lineRule="exact"/>
        <w:rPr>
          <w:sz w:val="20"/>
          <w:szCs w:val="20"/>
          <w:color w:val="auto"/>
        </w:rPr>
      </w:pPr>
    </w:p>
    <w:p>
      <w:pPr>
        <w:ind w:left="3785"/>
        <w:spacing w:after="0"/>
        <w:rPr>
          <w:sz w:val="20"/>
          <w:szCs w:val="20"/>
          <w:color w:val="auto"/>
        </w:rPr>
      </w:pPr>
      <w:r>
        <w:rPr>
          <w:rFonts w:ascii="Courier New" w:cs="Courier New" w:eastAsia="Courier New" w:hAnsi="Courier New"/>
          <w:sz w:val="15"/>
          <w:szCs w:val="15"/>
          <w:color w:val="auto"/>
        </w:rPr>
        <w:t>Senior Vice President and Secretary</w:t>
      </w:r>
    </w:p>
    <w:p>
      <w:pPr>
        <w:spacing w:after="0" w:line="185"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San Rafael, California</w:t>
      </w:r>
    </w:p>
    <w:p>
      <w:pPr>
        <w:spacing w:after="0" w:line="8"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December 30, 1996</w:t>
      </w:r>
    </w:p>
    <w:p>
      <w:pPr>
        <w:spacing w:after="0" w:line="185" w:lineRule="exact"/>
        <w:rPr>
          <w:sz w:val="20"/>
          <w:szCs w:val="20"/>
          <w:color w:val="auto"/>
        </w:rPr>
      </w:pPr>
    </w:p>
    <w:p>
      <w:pPr>
        <w:ind w:left="185" w:hanging="185"/>
        <w:spacing w:after="0"/>
        <w:tabs>
          <w:tab w:leader="none" w:pos="185"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7" w:lineRule="exact"/>
        <w:rPr>
          <w:rFonts w:ascii="Courier New" w:cs="Courier New" w:eastAsia="Courier New" w:hAnsi="Courier New"/>
          <w:sz w:val="15"/>
          <w:szCs w:val="15"/>
          <w:color w:val="auto"/>
        </w:rPr>
      </w:pPr>
    </w:p>
    <w:p>
      <w:pPr>
        <w:jc w:val="both"/>
        <w:ind w:left="5" w:right="2839"/>
        <w:spacing w:after="0" w:line="251"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Your Vote is Important. In order to assure your representation at the meeting, you are requested to complete, sign and date the enclosed proxy as promptly as possible and return it in the enclosed envelope (to which no postage need be affixed if mailed in the United States).</w:t>
      </w:r>
    </w:p>
    <w:p>
      <w:pPr>
        <w:sectPr>
          <w:pgSz w:w="11900" w:h="16838" w:orient="portrait"/>
          <w:cols w:equalWidth="0" w:num="1">
            <w:col w:w="10225"/>
          </w:cols>
          <w:pgMar w:left="235" w:top="142" w:right="1440" w:bottom="1440" w:gutter="0" w:footer="0" w:header="0"/>
        </w:sectPr>
      </w:pPr>
    </w:p>
    <w:bookmarkStart w:id="2" w:name="page3"/>
    <w:bookmarkEnd w:id="2"/>
    <w:p>
      <w:pPr>
        <w:spacing w:after="0"/>
        <w:rPr>
          <w:sz w:val="20"/>
          <w:szCs w:val="20"/>
          <w:color w:val="auto"/>
        </w:rPr>
      </w:pPr>
      <w:r>
        <w:rPr>
          <w:rFonts w:ascii="Courier New" w:cs="Courier New" w:eastAsia="Courier New" w:hAnsi="Courier New"/>
          <w:sz w:val="15"/>
          <w:szCs w:val="15"/>
          <w:color w:val="auto"/>
        </w:rPr>
        <w:t>Proxy Statement</w:t>
      </w:r>
    </w:p>
    <w:p>
      <w:pPr>
        <w:spacing w:after="0" w:line="185" w:lineRule="exact"/>
        <w:rPr>
          <w:sz w:val="20"/>
          <w:szCs w:val="20"/>
          <w:color w:val="auto"/>
        </w:rPr>
      </w:pPr>
    </w:p>
    <w:p>
      <w:pPr>
        <w:jc w:val="both"/>
        <w:ind w:right="2839" w:firstLine="461"/>
        <w:spacing w:after="0" w:line="250" w:lineRule="auto"/>
        <w:rPr>
          <w:sz w:val="20"/>
          <w:szCs w:val="20"/>
          <w:color w:val="auto"/>
        </w:rPr>
      </w:pPr>
      <w:r>
        <w:rPr>
          <w:rFonts w:ascii="Courier New" w:cs="Courier New" w:eastAsia="Courier New" w:hAnsi="Courier New"/>
          <w:sz w:val="15"/>
          <w:szCs w:val="15"/>
          <w:color w:val="auto"/>
        </w:rPr>
        <w:t>This Proxy Statement is furnished in connection with the solicitation by and on behalf of the Board of Directors of Fair, Isaac and Company, Incorporated (the "Company") of proxies to be used at the Annual Meeting of Stockholders of the Company (the "Annual Meeting") to be held on Tuesday, February 4, 1997, and any postponement or adjournment thereof. A copy of the Company's Annual Report to Stockholders for the fiscal year ended September 30, 1996, which includes the Company's financial statements as of September 30, 1996, accompanies this Proxy Statement. Stockholders may obtain a copy of the Company's Annual Report on Form 10-K and a list of the exhibits thereto without charge by written request to Peter L. McCorkell, Corporate Secretary, 120 North Redwood Drive, San Rafael, CA 94903. This Proxy Statement and the accompanying form of proxy are being mailed to stockholders on or about December 30, 1996.</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Proxy Solicitation</w:t>
      </w:r>
    </w:p>
    <w:p>
      <w:pPr>
        <w:spacing w:after="0" w:line="185" w:lineRule="exact"/>
        <w:rPr>
          <w:sz w:val="20"/>
          <w:szCs w:val="20"/>
          <w:color w:val="auto"/>
        </w:rPr>
      </w:pPr>
    </w:p>
    <w:p>
      <w:pPr>
        <w:jc w:val="both"/>
        <w:ind w:right="2839" w:firstLine="461"/>
        <w:spacing w:after="0" w:line="250" w:lineRule="auto"/>
        <w:rPr>
          <w:sz w:val="20"/>
          <w:szCs w:val="20"/>
          <w:color w:val="auto"/>
        </w:rPr>
      </w:pPr>
      <w:r>
        <w:rPr>
          <w:rFonts w:ascii="Courier New" w:cs="Courier New" w:eastAsia="Courier New" w:hAnsi="Courier New"/>
          <w:sz w:val="15"/>
          <w:szCs w:val="15"/>
          <w:color w:val="auto"/>
        </w:rPr>
        <w:t>The shares represented by the proxies received pursuant to this solicitation and not revoked will be voted at the Annual Meeting. A stockholder who has given a proxy may revoke it by giving written notice of revocation to the Secretary of the Company or by giving a duly executed proxy bearing a later date. Attendance in person at the Annual Meeting does not of itself revoke a proxy; however, any stockholder who does attend the Annual Meeting may revoke a proxy previously submitted by voting in person. Subject to any such revocation, all shares represented by properly executed proxies will be voted in accordance with specifications on the enclosed proxy. If no such specifications are made, proxies will be voted FOR the election of the nine nominees for director listed in this Proxy Statement and FOR the ratification of the appointment of KPMG Peat Marwick LLP as the Company's auditors for the current fiscal year.</w:t>
      </w:r>
    </w:p>
    <w:p>
      <w:pPr>
        <w:spacing w:after="0" w:line="183" w:lineRule="exact"/>
        <w:rPr>
          <w:sz w:val="20"/>
          <w:szCs w:val="20"/>
          <w:color w:val="auto"/>
        </w:rPr>
      </w:pPr>
    </w:p>
    <w:p>
      <w:pPr>
        <w:jc w:val="both"/>
        <w:ind w:right="2839" w:firstLine="461"/>
        <w:spacing w:after="0" w:line="250" w:lineRule="auto"/>
        <w:rPr>
          <w:sz w:val="20"/>
          <w:szCs w:val="20"/>
          <w:color w:val="auto"/>
        </w:rPr>
      </w:pPr>
      <w:r>
        <w:rPr>
          <w:rFonts w:ascii="Courier New" w:cs="Courier New" w:eastAsia="Courier New" w:hAnsi="Courier New"/>
          <w:sz w:val="15"/>
          <w:szCs w:val="15"/>
          <w:color w:val="auto"/>
        </w:rPr>
        <w:t>The Company will bear the expense of preparing, printing and mailing this Proxy Statement and the proxies solicited hereby and will reimburse banks, brokerage firms and nominees for their reasonable expenses in forwarding solicitation materials to beneficial owners of shares held of record by such banks, brokerage firms and nominees. In addition to the solicitation of proxies by mail, officers and regular employees of the Company may communicate with stockholders either in person or by telephone for the purpose of soliciting such proxies; no additional compensation will be paid for such solicitation. The Company has retained Skinner &amp; Co. to assist in the solicitation of proxies at a cost of $3,500 plus normal out-of-pocket expenses.</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Outstanding Shares and Voting Rights</w:t>
      </w:r>
    </w:p>
    <w:p>
      <w:pPr>
        <w:spacing w:after="0" w:line="185" w:lineRule="exact"/>
        <w:rPr>
          <w:sz w:val="20"/>
          <w:szCs w:val="20"/>
          <w:color w:val="auto"/>
        </w:rPr>
      </w:pPr>
    </w:p>
    <w:p>
      <w:pPr>
        <w:jc w:val="both"/>
        <w:ind w:right="2839" w:firstLine="461"/>
        <w:spacing w:after="0" w:line="251" w:lineRule="auto"/>
        <w:rPr>
          <w:sz w:val="20"/>
          <w:szCs w:val="20"/>
          <w:color w:val="auto"/>
        </w:rPr>
      </w:pPr>
      <w:r>
        <w:rPr>
          <w:rFonts w:ascii="Courier New" w:cs="Courier New" w:eastAsia="Courier New" w:hAnsi="Courier New"/>
          <w:sz w:val="15"/>
          <w:szCs w:val="15"/>
          <w:color w:val="auto"/>
        </w:rPr>
        <w:t>Only stockholders of record at the close of business on December 6, 1996 (the "record date") are entitled to notice of and to vote at the Annual Meeting. At the close of business on the record date, there were 12,631,049 shares of the Company's Common Stock, $0.01 par value (the "Common Stock"), issued and outstanding, excluding 3,057 shares of Common Stock held as treasury stock by the Company. The shares held as treasury stock are not entitled to be voted. Each share of Common</w:t>
      </w:r>
    </w:p>
    <w:p>
      <w:pPr>
        <w:spacing w:after="0" w:line="176" w:lineRule="exact"/>
        <w:rPr>
          <w:sz w:val="20"/>
          <w:szCs w:val="20"/>
          <w:color w:val="auto"/>
        </w:rPr>
      </w:pPr>
    </w:p>
    <w:p>
      <w:pPr>
        <w:jc w:val="right"/>
        <w:ind w:right="2839"/>
        <w:spacing w:after="0"/>
        <w:rPr>
          <w:sz w:val="20"/>
          <w:szCs w:val="20"/>
          <w:color w:val="auto"/>
        </w:rPr>
      </w:pPr>
      <w:r>
        <w:rPr>
          <w:rFonts w:ascii="Courier New" w:cs="Courier New" w:eastAsia="Courier New" w:hAnsi="Courier New"/>
          <w:sz w:val="15"/>
          <w:szCs w:val="15"/>
          <w:color w:val="auto"/>
        </w:rPr>
        <w:t>1</w:t>
      </w:r>
    </w:p>
    <w:p>
      <w:pPr>
        <w:sectPr>
          <w:pgSz w:w="11900" w:h="16838" w:orient="portrait"/>
          <w:cols w:equalWidth="0" w:num="1">
            <w:col w:w="10219"/>
          </w:cols>
          <w:pgMar w:left="240" w:top="650" w:right="1440" w:bottom="1440" w:gutter="0" w:footer="0" w:header="0"/>
        </w:sectPr>
      </w:pPr>
    </w:p>
    <w:bookmarkStart w:id="3" w:name="page4"/>
    <w:bookmarkEnd w:id="3"/>
    <w:p>
      <w:pPr>
        <w:jc w:val="both"/>
        <w:ind w:right="2839"/>
        <w:spacing w:after="0" w:line="250" w:lineRule="auto"/>
        <w:rPr>
          <w:sz w:val="20"/>
          <w:szCs w:val="20"/>
          <w:color w:val="auto"/>
        </w:rPr>
      </w:pPr>
      <w:r>
        <w:rPr>
          <w:rFonts w:ascii="Courier New" w:cs="Courier New" w:eastAsia="Courier New" w:hAnsi="Courier New"/>
          <w:sz w:val="15"/>
          <w:szCs w:val="15"/>
          <w:color w:val="auto"/>
        </w:rPr>
        <w:t>Stock is entitled to one vote with respect to each matter to be voted on at the Annual Meeting subject to the provisions regarding cumulative voting in the election of directors as described below. A plurality of the votes cast is required for the election of the nine nominees for director listed in this Proxy Statement and a majority of the votes cast is required to ratify the appointment of KPMG Peat Marwick LLP as the company's auditors for the current fiscal year. Abstentions with respect to any matter are treated as shares present or represented by proxy and entitled to vote on that matter and thus have the same effect as negative votes. Broker non-votes and other circumstances in which proxy authority has been withheld do not constitute abstentions.</w:t>
      </w:r>
    </w:p>
    <w:p>
      <w:pPr>
        <w:spacing w:after="0" w:line="182" w:lineRule="exact"/>
        <w:rPr>
          <w:sz w:val="20"/>
          <w:szCs w:val="20"/>
          <w:color w:val="auto"/>
        </w:rPr>
      </w:pPr>
    </w:p>
    <w:p>
      <w:pPr>
        <w:jc w:val="both"/>
        <w:ind w:right="2839" w:firstLine="461"/>
        <w:spacing w:after="0" w:line="250" w:lineRule="auto"/>
        <w:rPr>
          <w:sz w:val="20"/>
          <w:szCs w:val="20"/>
          <w:color w:val="auto"/>
        </w:rPr>
      </w:pPr>
      <w:r>
        <w:rPr>
          <w:rFonts w:ascii="Courier New" w:cs="Courier New" w:eastAsia="Courier New" w:hAnsi="Courier New"/>
          <w:sz w:val="15"/>
          <w:szCs w:val="15"/>
          <w:color w:val="auto"/>
        </w:rPr>
        <w:t>In the election of the directors, each stockholder is entitled to one vote per share multiplied by the number of directors to be elected, and the stockholder may cast all of such votes for a single candidate or may distribute them among the number of directors to be voted for, or for any two or more of them as the stockholder may see fit; provided, however, that no stockholder shall be entitled so to cumulate votes unless such candidate's or candidates' names have been placed in nomination prior to the voting and the stockholder has given notice at the meeting prior to the voting of the stockholder's intention to cumulate votes. If any one stockholder has given such notice, all stockholders may cumulate their votes for candidates in nomination. The persons authorized to vote shares represented by executed proxies in the enclosed form (if authority to vote for the election of directors is not withheld) will have full discretion and authority to vote cumulatively and to allocate votes among any or all of the Board of Directors' nominees as they may determine or, if authority to vote for a specified candidate or candidates has been withheld, among those candidates for whom authority to vote has not been withheld.</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Election of Directors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Nominees</w:t>
      </w:r>
    </w:p>
    <w:p>
      <w:pPr>
        <w:spacing w:after="0" w:line="185" w:lineRule="exact"/>
        <w:rPr>
          <w:sz w:val="20"/>
          <w:szCs w:val="20"/>
          <w:color w:val="auto"/>
        </w:rPr>
      </w:pPr>
    </w:p>
    <w:p>
      <w:pPr>
        <w:jc w:val="both"/>
        <w:ind w:right="2839" w:firstLine="461"/>
        <w:spacing w:after="0" w:line="251" w:lineRule="auto"/>
        <w:rPr>
          <w:sz w:val="20"/>
          <w:szCs w:val="20"/>
          <w:color w:val="auto"/>
        </w:rPr>
      </w:pPr>
      <w:r>
        <w:rPr>
          <w:rFonts w:ascii="Courier New" w:cs="Courier New" w:eastAsia="Courier New" w:hAnsi="Courier New"/>
          <w:sz w:val="15"/>
          <w:szCs w:val="15"/>
          <w:color w:val="auto"/>
        </w:rPr>
        <w:t>There are currently nine directors. The Board of Directors has nominated the following persons, all of whom currently are serving as directors, for election as directors to serve until the 1998 Annual Meeting of Stockholders and thereafter until their respective successors are duly elected and qualified.</w:t>
      </w:r>
    </w:p>
    <w:p>
      <w:pPr>
        <w:spacing w:after="0" w:line="176" w:lineRule="exact"/>
        <w:rPr>
          <w:sz w:val="20"/>
          <w:szCs w:val="20"/>
          <w:color w:val="auto"/>
        </w:rPr>
      </w:pPr>
    </w:p>
    <w:p>
      <w:pPr>
        <w:jc w:val="both"/>
        <w:ind w:right="2839" w:firstLine="461"/>
        <w:spacing w:after="0" w:line="250" w:lineRule="auto"/>
        <w:rPr>
          <w:sz w:val="20"/>
          <w:szCs w:val="20"/>
          <w:color w:val="auto"/>
        </w:rPr>
      </w:pPr>
      <w:r>
        <w:rPr>
          <w:rFonts w:ascii="Courier New" w:cs="Courier New" w:eastAsia="Courier New" w:hAnsi="Courier New"/>
          <w:sz w:val="15"/>
          <w:szCs w:val="15"/>
          <w:color w:val="auto"/>
        </w:rPr>
        <w:t>A. George Battle, Director. Mr. Battle was elected a director in August, 1996. From 1968 until his retirement in 1995, Mr. Battle was an employee and then partner of Arthur Andersen and Andersen Consulting. Mr. Battle's last position at Andersen Consulting was Managing Partner, Market Development. In that role he was responsible for Andersen Consulting's worldwide industry activities, its Change Management and Strategic Services offerings, and worldwide marketing and advertising. He served as a Presidential Exchange Executive with the United States Department of Health, Education and Welfare during 1975-1976. Mr. Battle is a Senior Fellow of the Aspen Institute and a director of PeopleSoft, Inc., Barra, Inc., and Alaska Travel Adventures. He is also President of the Board of Trustees of the Berkeley Repertory Theatre, a trustee and treasurer of the Head Royce School and a national trustee of the Marcus A. Foster Educational Institute. Mr. Battle received a</w:t>
      </w:r>
    </w:p>
    <w:p>
      <w:pPr>
        <w:spacing w:after="0" w:line="183" w:lineRule="exact"/>
        <w:rPr>
          <w:sz w:val="20"/>
          <w:szCs w:val="20"/>
          <w:color w:val="auto"/>
        </w:rPr>
      </w:pPr>
    </w:p>
    <w:p>
      <w:pPr>
        <w:jc w:val="right"/>
        <w:ind w:right="2839"/>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650" w:right="1440" w:bottom="1440" w:gutter="0" w:footer="0" w:header="0"/>
        </w:sectPr>
      </w:pPr>
    </w:p>
    <w:bookmarkStart w:id="4" w:name="page5"/>
    <w:bookmarkEnd w:id="4"/>
    <w:p>
      <w:pPr>
        <w:jc w:val="both"/>
        <w:ind w:right="2839"/>
        <w:spacing w:after="0" w:line="253" w:lineRule="auto"/>
        <w:rPr>
          <w:sz w:val="20"/>
          <w:szCs w:val="20"/>
          <w:color w:val="auto"/>
        </w:rPr>
      </w:pPr>
      <w:r>
        <w:rPr>
          <w:rFonts w:ascii="Courier New" w:cs="Courier New" w:eastAsia="Courier New" w:hAnsi="Courier New"/>
          <w:sz w:val="15"/>
          <w:szCs w:val="15"/>
          <w:color w:val="auto"/>
        </w:rPr>
        <w:t>degree in economics from Dartmouth College and an M.B.A. from the Stanford University Business School. Mr. Battle is 52 years old.</w:t>
      </w:r>
    </w:p>
    <w:p>
      <w:pPr>
        <w:spacing w:after="0" w:line="174" w:lineRule="exact"/>
        <w:rPr>
          <w:sz w:val="20"/>
          <w:szCs w:val="20"/>
          <w:color w:val="auto"/>
        </w:rPr>
      </w:pPr>
    </w:p>
    <w:p>
      <w:pPr>
        <w:jc w:val="both"/>
        <w:ind w:right="2839" w:firstLine="461"/>
        <w:spacing w:after="0" w:line="250" w:lineRule="auto"/>
        <w:rPr>
          <w:sz w:val="20"/>
          <w:szCs w:val="20"/>
          <w:color w:val="auto"/>
        </w:rPr>
      </w:pPr>
      <w:r>
        <w:rPr>
          <w:rFonts w:ascii="Courier New" w:cs="Courier New" w:eastAsia="Courier New" w:hAnsi="Courier New"/>
          <w:sz w:val="15"/>
          <w:szCs w:val="15"/>
          <w:color w:val="auto"/>
        </w:rPr>
        <w:t>Bryant J. Brooks, Jr., Director. Mr. Brooks was elected a director in February 1989. Since 1975 Mr. Brooks has been an independent financial consultant in San Francisco, California, specializing in the valuation of the securities of privately held companies. He provided such services for the Company's Employee Stock Ownership Plan prior to the Company's initial public offering in July 1987. From 1968 to 1974, he was the president of Boothe Computer Investment Corporation and its successor, Bay Equities, Inc. Prior to that he held a number of financial and management positions in other companies. He is currently a director of McGrath RentCorp of San Lorenzo, California. Mr. Brooks received a B.S. in Economics from Yale University in 1950 and an M.B.A. from Harvard in 1955. Mr. Brooks is 69 years old.</w:t>
      </w:r>
    </w:p>
    <w:p>
      <w:pPr>
        <w:spacing w:after="0" w:line="182" w:lineRule="exact"/>
        <w:rPr>
          <w:sz w:val="20"/>
          <w:szCs w:val="20"/>
          <w:color w:val="auto"/>
        </w:rPr>
      </w:pPr>
    </w:p>
    <w:p>
      <w:pPr>
        <w:jc w:val="both"/>
        <w:ind w:right="2839" w:firstLine="461"/>
        <w:spacing w:after="0" w:line="250" w:lineRule="auto"/>
        <w:rPr>
          <w:sz w:val="20"/>
          <w:szCs w:val="20"/>
          <w:color w:val="auto"/>
        </w:rPr>
      </w:pPr>
      <w:r>
        <w:rPr>
          <w:rFonts w:ascii="Courier New" w:cs="Courier New" w:eastAsia="Courier New" w:hAnsi="Courier New"/>
          <w:sz w:val="15"/>
          <w:szCs w:val="15"/>
          <w:color w:val="auto"/>
        </w:rPr>
        <w:t>H. Robert Heller, Director and Executive Vice President. Dr. Heller was elected a director in February 1994 and an Executive Vice President of the Company in September 1996. He was President of International Payments Institute from December 1994 to September 1996. He was President and Chief Executive Officer of Visa U.S.A., Inc. from 1991 to 1993, and an Executive Vice President of Visa International from 1989 to 1991. He served as a member of the Board of Governors of the Federal Reserve System from 1986 to 1989. Prior to that, Dr. Heller held positions with the Bank of America and the International Monetary Fund and taught economics at the University of California, Los Angeles, and the University of Hawaii. He holds an M.A. in Economics from the University of Minnesota and a Ph.D. in Economics from the University of California, Berkeley. Dr. Heller is 56 years old.</w:t>
      </w:r>
    </w:p>
    <w:p>
      <w:pPr>
        <w:spacing w:after="0" w:line="183" w:lineRule="exact"/>
        <w:rPr>
          <w:sz w:val="20"/>
          <w:szCs w:val="20"/>
          <w:color w:val="auto"/>
        </w:rPr>
      </w:pPr>
    </w:p>
    <w:p>
      <w:pPr>
        <w:jc w:val="both"/>
        <w:ind w:right="2839" w:firstLine="461"/>
        <w:spacing w:after="0" w:line="250" w:lineRule="auto"/>
        <w:rPr>
          <w:sz w:val="20"/>
          <w:szCs w:val="20"/>
          <w:color w:val="auto"/>
        </w:rPr>
      </w:pPr>
      <w:r>
        <w:rPr>
          <w:rFonts w:ascii="Courier New" w:cs="Courier New" w:eastAsia="Courier New" w:hAnsi="Courier New"/>
          <w:sz w:val="15"/>
          <w:szCs w:val="15"/>
          <w:color w:val="auto"/>
        </w:rPr>
        <w:t>Guy R. Henshaw, Director. Mr. Henshaw was elected a director in February 1994. He is a partner in Henshaw, Vierra &amp; Associates and was Chairman of Payday, The Payroll Company, from November 1992 to April 1996 and its Chief Executive Officer from March 1993 to April 1996. He served as a Director of Payday since 1989. From 1984 to 1992 he was President, Chief Financial Officer and a Director of Civic BanCorp and Treasurer and a Director of the CivicBank of Commerce. Prior to that, Mr. Henshaw held positions with the Bank of America and Security National Bank. He holds a B.A. in Economics from Ripon College and an M.B.A. from the Wharton School of Business at the University of Pennsylvania. Mr. Henshaw is 50 years old.</w:t>
      </w:r>
    </w:p>
    <w:p>
      <w:pPr>
        <w:spacing w:after="0" w:line="182" w:lineRule="exact"/>
        <w:rPr>
          <w:sz w:val="20"/>
          <w:szCs w:val="20"/>
          <w:color w:val="auto"/>
        </w:rPr>
      </w:pPr>
    </w:p>
    <w:p>
      <w:pPr>
        <w:jc w:val="both"/>
        <w:ind w:right="2839" w:firstLine="461"/>
        <w:spacing w:after="0" w:line="250" w:lineRule="auto"/>
        <w:rPr>
          <w:sz w:val="20"/>
          <w:szCs w:val="20"/>
          <w:color w:val="auto"/>
        </w:rPr>
      </w:pPr>
      <w:r>
        <w:rPr>
          <w:rFonts w:ascii="Courier New" w:cs="Courier New" w:eastAsia="Courier New" w:hAnsi="Courier New"/>
          <w:sz w:val="15"/>
          <w:szCs w:val="15"/>
          <w:color w:val="auto"/>
        </w:rPr>
        <w:t>David S. P. Hopkins, Director. Dr. Hopkins was elected a director in August 1994. He is Director of Health Information Improvement at the Pacific Business Group on Health, a non-profit coalition of 32 large private and public sector employers dedicated to improving the quality of health care while moderating costs. From January 1995 until November 1996, he was an independent consultant in health care. Prior to that, he was Vice President, Client Services and Corporate Development of International Severity Information Systems, Inc., a medical severity indexing software and consulting firm. From 1971 to 1993 he held a number of senior management positions at Stanford University and its University Hospital, Medical Center and Medical School. A graduate of Harvard University, he earned</w:t>
      </w:r>
    </w:p>
    <w:p>
      <w:pPr>
        <w:spacing w:after="0" w:line="182" w:lineRule="exact"/>
        <w:rPr>
          <w:sz w:val="20"/>
          <w:szCs w:val="20"/>
          <w:color w:val="auto"/>
        </w:rPr>
      </w:pPr>
    </w:p>
    <w:p>
      <w:pPr>
        <w:jc w:val="right"/>
        <w:ind w:right="2839"/>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19"/>
          </w:cols>
          <w:pgMar w:left="240" w:top="650" w:right="1440" w:bottom="1440" w:gutter="0" w:footer="0" w:header="0"/>
        </w:sectPr>
      </w:pPr>
    </w:p>
    <w:bookmarkStart w:id="5" w:name="page6"/>
    <w:bookmarkEnd w:id="5"/>
    <w:p>
      <w:pPr>
        <w:jc w:val="both"/>
        <w:ind w:right="2839"/>
        <w:spacing w:after="0" w:line="253" w:lineRule="auto"/>
        <w:rPr>
          <w:sz w:val="20"/>
          <w:szCs w:val="20"/>
          <w:color w:val="auto"/>
        </w:rPr>
      </w:pPr>
      <w:r>
        <w:rPr>
          <w:rFonts w:ascii="Courier New" w:cs="Courier New" w:eastAsia="Courier New" w:hAnsi="Courier New"/>
          <w:sz w:val="15"/>
          <w:szCs w:val="15"/>
          <w:color w:val="auto"/>
        </w:rPr>
        <w:t>both his Ph.D. in operations research and his M.S. in statistics at Stanford University. Dr. Hopkins is 53 years old.</w:t>
      </w:r>
    </w:p>
    <w:p>
      <w:pPr>
        <w:spacing w:after="0" w:line="174" w:lineRule="exact"/>
        <w:rPr>
          <w:sz w:val="20"/>
          <w:szCs w:val="20"/>
          <w:color w:val="auto"/>
        </w:rPr>
      </w:pPr>
    </w:p>
    <w:p>
      <w:pPr>
        <w:jc w:val="both"/>
        <w:ind w:right="2839" w:firstLine="461"/>
        <w:spacing w:after="0" w:line="250" w:lineRule="auto"/>
        <w:rPr>
          <w:sz w:val="20"/>
          <w:szCs w:val="20"/>
          <w:color w:val="auto"/>
        </w:rPr>
      </w:pPr>
      <w:r>
        <w:rPr>
          <w:rFonts w:ascii="Courier New" w:cs="Courier New" w:eastAsia="Courier New" w:hAnsi="Courier New"/>
          <w:sz w:val="15"/>
          <w:szCs w:val="15"/>
          <w:color w:val="auto"/>
        </w:rPr>
        <w:t>Robert M. Oliver, Chairman of the Board of Directors. Dr. Oliver has been a director of the Company since December 1986 and was elected Chairman of the Board in January 1996. He was a Professor of Engineering Science in the College of Engineering, University of California, Berkeley, from 1960 until his retirement in January 1993. He is also a Director, Trustee and Chairman of the Board of the AnSer Corporation of Arlington, Virginia, and is a former member and President of the Board of Directors of the Berkeley Repertory Theater. He received his Ph.D. in Physics and Operations Research from the Massachusetts Institute of Technology in 1957, following a year as a Fulbright Scholar at the University of London. He has served as the President of the Operations Research Society of America and was the recipient of the Lanchester Prize, the senior award in the field of Operations Research. Dr. Oliver is 65 years old.</w:t>
      </w:r>
    </w:p>
    <w:p>
      <w:pPr>
        <w:spacing w:after="0" w:line="183" w:lineRule="exact"/>
        <w:rPr>
          <w:sz w:val="20"/>
          <w:szCs w:val="20"/>
          <w:color w:val="auto"/>
        </w:rPr>
      </w:pPr>
    </w:p>
    <w:p>
      <w:pPr>
        <w:jc w:val="both"/>
        <w:ind w:right="2839" w:firstLine="461"/>
        <w:spacing w:after="0" w:line="251" w:lineRule="auto"/>
        <w:rPr>
          <w:sz w:val="20"/>
          <w:szCs w:val="20"/>
          <w:color w:val="auto"/>
        </w:rPr>
      </w:pPr>
      <w:r>
        <w:rPr>
          <w:rFonts w:ascii="Courier New" w:cs="Courier New" w:eastAsia="Courier New" w:hAnsi="Courier New"/>
          <w:sz w:val="15"/>
          <w:szCs w:val="15"/>
          <w:color w:val="auto"/>
        </w:rPr>
        <w:t>Larry E. Rosenberger, Director, President and Chief Executive Officer. Mr. Rosenberger has been employed by the Company since 1974 and was elected a director in December 1983. In December 1977 Mr. Rosenberger was named a Vice President, in June 1983 he was named a Senior Vice President, and in January 1985 he became an Executive Vice President. In March 1991 he was named President and Chief Executive Officer. He received a B.S. in Physics from the Massachusetts Institute of Technology, and an M.S. in Physics, an M.S. in Operations Research and an M. Eng. in Operations Research from the University of California, Berkeley. Mr. Rosenberger is 50 years old.</w:t>
      </w:r>
    </w:p>
    <w:p>
      <w:pPr>
        <w:spacing w:after="0" w:line="175" w:lineRule="exact"/>
        <w:rPr>
          <w:sz w:val="20"/>
          <w:szCs w:val="20"/>
          <w:color w:val="auto"/>
        </w:rPr>
      </w:pPr>
    </w:p>
    <w:p>
      <w:pPr>
        <w:jc w:val="both"/>
        <w:ind w:right="2839" w:firstLine="461"/>
        <w:spacing w:after="0" w:line="250" w:lineRule="auto"/>
        <w:rPr>
          <w:sz w:val="20"/>
          <w:szCs w:val="20"/>
          <w:color w:val="auto"/>
        </w:rPr>
      </w:pPr>
      <w:r>
        <w:rPr>
          <w:rFonts w:ascii="Courier New" w:cs="Courier New" w:eastAsia="Courier New" w:hAnsi="Courier New"/>
          <w:sz w:val="15"/>
          <w:szCs w:val="15"/>
          <w:color w:val="auto"/>
        </w:rPr>
        <w:t>Robert D. Sanderson, Director. Dr. Sanderson was elected a director in March 1977. Until his retirement as an officer of the Company effective September 30, 1995, he had served the Company since 1969 and was elected a Vice President in May 1974, a Senior Vice President in June 1983, an Executive Vice President in January 1985 and Chief Operating Officer in February 1989. On November 1, 1995 he was appointed a director of TF International, LLC, a joint venture between the Company and Trans Union Corporation. He received a B.S. degree in Mathematics at Cornell University and an M.S. and a Ph.D. in Industrial Engineering and Operations Research from the University of California, Berkeley. Dr. Sanderson is 53 years old.</w:t>
      </w:r>
    </w:p>
    <w:p>
      <w:pPr>
        <w:spacing w:after="0" w:line="182" w:lineRule="exact"/>
        <w:rPr>
          <w:sz w:val="20"/>
          <w:szCs w:val="20"/>
          <w:color w:val="auto"/>
        </w:rPr>
      </w:pPr>
    </w:p>
    <w:p>
      <w:pPr>
        <w:jc w:val="both"/>
        <w:ind w:right="2839" w:firstLine="461"/>
        <w:spacing w:after="0" w:line="251" w:lineRule="auto"/>
        <w:rPr>
          <w:sz w:val="20"/>
          <w:szCs w:val="20"/>
          <w:color w:val="auto"/>
        </w:rPr>
      </w:pPr>
      <w:r>
        <w:rPr>
          <w:rFonts w:ascii="Courier New" w:cs="Courier New" w:eastAsia="Courier New" w:hAnsi="Courier New"/>
          <w:sz w:val="15"/>
          <w:szCs w:val="15"/>
          <w:color w:val="auto"/>
        </w:rPr>
        <w:t>John D. Woldrich, Director, Executive Vice President and Chief Operating Officer. Mr. Woldrich joined the Company in 1972 and was elected a director in December 1983. Mr. Woldrich was named a Vice President in December 1977, a Senior Vice President in June 1983, appointed Executive Vice President in January 1985 and Chief Operating Officer effective August 1, 1995. Prior to August 1, 1995, Mr. Woldrich was in charge of the Company's Marketing and New Business Development Division. Mr. Woldrich has a B.S. in Electrical Engineering from the University of Santa Clara and an M.B.A. from the Wharton School of Business at the University of Pennsylvania. Mr. Woldrich is 53 years old.</w:t>
      </w:r>
    </w:p>
    <w:p>
      <w:pPr>
        <w:spacing w:after="0" w:line="175" w:lineRule="exact"/>
        <w:rPr>
          <w:sz w:val="20"/>
          <w:szCs w:val="20"/>
          <w:color w:val="auto"/>
        </w:rPr>
      </w:pPr>
    </w:p>
    <w:p>
      <w:pPr>
        <w:jc w:val="right"/>
        <w:ind w:right="2839"/>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19"/>
          </w:cols>
          <w:pgMar w:left="240" w:top="650" w:right="1440" w:bottom="1440" w:gutter="0" w:footer="0" w:header="0"/>
        </w:sectPr>
      </w:pPr>
    </w:p>
    <w:bookmarkStart w:id="6" w:name="page7"/>
    <w:bookmarkEnd w:id="6"/>
    <w:p>
      <w:pPr>
        <w:jc w:val="both"/>
        <w:ind w:right="2839" w:firstLine="461"/>
        <w:spacing w:after="0" w:line="251" w:lineRule="auto"/>
        <w:rPr>
          <w:sz w:val="20"/>
          <w:szCs w:val="20"/>
          <w:color w:val="auto"/>
        </w:rPr>
      </w:pPr>
      <w:r>
        <w:rPr>
          <w:rFonts w:ascii="Courier New" w:cs="Courier New" w:eastAsia="Courier New" w:hAnsi="Courier New"/>
          <w:sz w:val="15"/>
          <w:szCs w:val="15"/>
          <w:color w:val="auto"/>
        </w:rPr>
        <w:t>If any nominee is unable or declines to serve (a contingency which the Company does not now foresee), the proxies in the accompanying form will be voted for any nominee who may be nominated by the present Board of Directors to fill such vacancy or the size of the Board may be reduced accordingly.</w:t>
      </w:r>
    </w:p>
    <w:p>
      <w:pPr>
        <w:spacing w:after="0" w:line="176" w:lineRule="exact"/>
        <w:rPr>
          <w:sz w:val="20"/>
          <w:szCs w:val="20"/>
          <w:color w:val="auto"/>
        </w:rPr>
      </w:pPr>
    </w:p>
    <w:p>
      <w:pPr>
        <w:jc w:val="both"/>
        <w:ind w:right="2839" w:firstLine="461"/>
        <w:spacing w:after="0" w:line="251" w:lineRule="auto"/>
        <w:rPr>
          <w:sz w:val="20"/>
          <w:szCs w:val="20"/>
          <w:color w:val="auto"/>
        </w:rPr>
      </w:pPr>
      <w:r>
        <w:rPr>
          <w:rFonts w:ascii="Courier New" w:cs="Courier New" w:eastAsia="Courier New" w:hAnsi="Courier New"/>
          <w:sz w:val="15"/>
          <w:szCs w:val="15"/>
          <w:color w:val="auto"/>
        </w:rPr>
        <w:t>Officers are elected at the first meeting of the Board of Directors following the Annual Meeting of Stockholders at which the directors are elected and serve until their successors are elected and qualified. There are no family relationships between any of the directors, nominees for director and any executive officer.</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Board and Committee Meetings</w:t>
      </w:r>
    </w:p>
    <w:p>
      <w:pPr>
        <w:spacing w:after="0" w:line="185" w:lineRule="exact"/>
        <w:rPr>
          <w:sz w:val="20"/>
          <w:szCs w:val="20"/>
          <w:color w:val="auto"/>
        </w:rPr>
      </w:pPr>
    </w:p>
    <w:p>
      <w:pPr>
        <w:jc w:val="both"/>
        <w:ind w:right="2839" w:firstLine="461"/>
        <w:spacing w:after="0" w:line="253" w:lineRule="auto"/>
        <w:rPr>
          <w:sz w:val="20"/>
          <w:szCs w:val="20"/>
          <w:color w:val="auto"/>
        </w:rPr>
      </w:pPr>
      <w:r>
        <w:rPr>
          <w:rFonts w:ascii="Courier New" w:cs="Courier New" w:eastAsia="Courier New" w:hAnsi="Courier New"/>
          <w:sz w:val="15"/>
          <w:szCs w:val="15"/>
          <w:color w:val="auto"/>
        </w:rPr>
        <w:t>The Company has standing audit and compensation committees of the Board of Directors.</w:t>
      </w:r>
    </w:p>
    <w:p>
      <w:pPr>
        <w:spacing w:after="0" w:line="174" w:lineRule="exact"/>
        <w:rPr>
          <w:sz w:val="20"/>
          <w:szCs w:val="20"/>
          <w:color w:val="auto"/>
        </w:rPr>
      </w:pPr>
    </w:p>
    <w:p>
      <w:pPr>
        <w:jc w:val="both"/>
        <w:ind w:right="2839" w:firstLine="461"/>
        <w:spacing w:after="0" w:line="251" w:lineRule="auto"/>
        <w:rPr>
          <w:sz w:val="20"/>
          <w:szCs w:val="20"/>
          <w:color w:val="auto"/>
        </w:rPr>
      </w:pPr>
      <w:r>
        <w:rPr>
          <w:rFonts w:ascii="Courier New" w:cs="Courier New" w:eastAsia="Courier New" w:hAnsi="Courier New"/>
          <w:sz w:val="15"/>
          <w:szCs w:val="15"/>
          <w:color w:val="auto"/>
        </w:rPr>
        <w:t>The audit committee consists of Bryant J. Brooks, Guy R. Henshaw and David S. P. Hopkins. The audit committee monitors the effectiveness of the audit conducted by the Company's independent auditors and of the Company's internal financial and accounting controls, and reports its findings to the Board of Directors. The committee meets with management and the independent auditors as may be required. The independent auditors have full and free access to the audit committee without the presence of management. The audit committee held five meetings during fiscal 1996.</w:t>
      </w:r>
    </w:p>
    <w:p>
      <w:pPr>
        <w:spacing w:after="0" w:line="175" w:lineRule="exact"/>
        <w:rPr>
          <w:sz w:val="20"/>
          <w:szCs w:val="20"/>
          <w:color w:val="auto"/>
        </w:rPr>
      </w:pPr>
    </w:p>
    <w:p>
      <w:pPr>
        <w:jc w:val="both"/>
        <w:ind w:right="2839" w:firstLine="461"/>
        <w:spacing w:after="0" w:line="251" w:lineRule="auto"/>
        <w:rPr>
          <w:sz w:val="20"/>
          <w:szCs w:val="20"/>
          <w:color w:val="auto"/>
        </w:rPr>
      </w:pPr>
      <w:r>
        <w:rPr>
          <w:rFonts w:ascii="Courier New" w:cs="Courier New" w:eastAsia="Courier New" w:hAnsi="Courier New"/>
          <w:sz w:val="15"/>
          <w:szCs w:val="15"/>
          <w:color w:val="auto"/>
        </w:rPr>
        <w:t>The compensation committee consists of Bryant J. Brooks, Guy R. Henshaw and A. George Battle. This committee determines all aspects of the compensation of the Company's president, executive vice presidents and the heads of strategic business units. This Committee also administers the Company's 1992 Long-term Incentive Plan. The compensation committee held three meetings in fiscal 1996.</w:t>
      </w:r>
    </w:p>
    <w:p>
      <w:pPr>
        <w:spacing w:after="0" w:line="176" w:lineRule="exact"/>
        <w:rPr>
          <w:sz w:val="20"/>
          <w:szCs w:val="20"/>
          <w:color w:val="auto"/>
        </w:rPr>
      </w:pPr>
    </w:p>
    <w:p>
      <w:pPr>
        <w:jc w:val="both"/>
        <w:ind w:right="2839" w:firstLine="461"/>
        <w:spacing w:after="0" w:line="251" w:lineRule="auto"/>
        <w:rPr>
          <w:sz w:val="20"/>
          <w:szCs w:val="20"/>
          <w:color w:val="auto"/>
        </w:rPr>
      </w:pPr>
      <w:r>
        <w:rPr>
          <w:rFonts w:ascii="Courier New" w:cs="Courier New" w:eastAsia="Courier New" w:hAnsi="Courier New"/>
          <w:sz w:val="15"/>
          <w:szCs w:val="15"/>
          <w:color w:val="auto"/>
        </w:rPr>
        <w:t>During the past fiscal year, there were four regular meetings and two special meetings of the Board of Directors. Each incumbent director attended more than 75 percent of the aggregate number of all board meetings and meetings of committees on which he served during fiscal 1996.</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Stock Ownership</w:t>
      </w:r>
    </w:p>
    <w:p>
      <w:pPr>
        <w:spacing w:after="0" w:line="185" w:lineRule="exact"/>
        <w:rPr>
          <w:sz w:val="20"/>
          <w:szCs w:val="20"/>
          <w:color w:val="auto"/>
        </w:rPr>
      </w:pPr>
    </w:p>
    <w:p>
      <w:pPr>
        <w:jc w:val="both"/>
        <w:ind w:right="2839" w:firstLine="461"/>
        <w:spacing w:after="0" w:line="251" w:lineRule="auto"/>
        <w:rPr>
          <w:sz w:val="20"/>
          <w:szCs w:val="20"/>
          <w:color w:val="auto"/>
        </w:rPr>
      </w:pPr>
      <w:r>
        <w:rPr>
          <w:rFonts w:ascii="Courier New" w:cs="Courier New" w:eastAsia="Courier New" w:hAnsi="Courier New"/>
          <w:sz w:val="15"/>
          <w:szCs w:val="15"/>
          <w:color w:val="auto"/>
        </w:rPr>
        <w:t>The following table sets forth certain information regarding the beneficial ownership of the Company's Common Stock as of December 6, 1996, by (i) each of the Company's directors and nominees for director, (ii) each of the executive officers named in the Summary Compensation Table below, (iii) all executive officers and directors of the Company as a group, and (iv) each person known to the Company who beneficially owns more than 5% of the outstanding shares of its Common Stock.</w:t>
      </w:r>
    </w:p>
    <w:p>
      <w:pPr>
        <w:spacing w:after="0" w:line="176" w:lineRule="exact"/>
        <w:rPr>
          <w:sz w:val="20"/>
          <w:szCs w:val="20"/>
          <w:color w:val="auto"/>
        </w:rPr>
      </w:pPr>
    </w:p>
    <w:p>
      <w:pPr>
        <w:jc w:val="right"/>
        <w:ind w:right="2839"/>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19"/>
          </w:cols>
          <w:pgMar w:left="240" w:top="828" w:right="1440" w:bottom="1440" w:gutter="0" w:footer="0" w:header="0"/>
        </w:sectPr>
      </w:pPr>
    </w:p>
    <w:bookmarkStart w:id="7" w:name="page8"/>
    <w:bookmarkEnd w:id="7"/>
    <w:p>
      <w:pPr>
        <w:ind w:left="5"/>
        <w:spacing w:after="0"/>
        <w:rPr>
          <w:sz w:val="20"/>
          <w:szCs w:val="20"/>
          <w:color w:val="auto"/>
        </w:rPr>
      </w:pPr>
      <w:r>
        <w:rPr>
          <w:rFonts w:ascii="Courier New" w:cs="Courier New" w:eastAsia="Courier New" w:hAnsi="Courier New"/>
          <w:sz w:val="15"/>
          <w:szCs w:val="15"/>
          <w:color w:val="auto"/>
        </w:rPr>
        <w:t>Stock Ownership Table</w:t>
      </w:r>
    </w:p>
    <w:p>
      <w:pPr>
        <w:spacing w:after="0" w:line="362" w:lineRule="exact"/>
        <w:rPr>
          <w:sz w:val="20"/>
          <w:szCs w:val="20"/>
          <w:color w:val="auto"/>
        </w:rPr>
      </w:pPr>
    </w:p>
    <w:p>
      <w:pPr>
        <w:ind w:left="7005"/>
        <w:spacing w:after="0"/>
        <w:rPr>
          <w:sz w:val="20"/>
          <w:szCs w:val="20"/>
          <w:color w:val="auto"/>
        </w:rPr>
      </w:pPr>
      <w:r>
        <w:rPr>
          <w:rFonts w:ascii="Courier New" w:cs="Courier New" w:eastAsia="Courier New" w:hAnsi="Courier New"/>
          <w:sz w:val="15"/>
          <w:szCs w:val="15"/>
          <w:color w:val="auto"/>
        </w:rPr>
        <w:t>Beneficial Ownership(1)</w:t>
      </w:r>
    </w:p>
    <w:p>
      <w:pPr>
        <w:spacing w:after="0" w:line="8" w:lineRule="exact"/>
        <w:rPr>
          <w:sz w:val="20"/>
          <w:szCs w:val="20"/>
          <w:color w:val="auto"/>
        </w:rPr>
      </w:pPr>
    </w:p>
    <w:p>
      <w:pPr>
        <w:ind w:left="5"/>
        <w:spacing w:after="0"/>
        <w:tabs>
          <w:tab w:leader="none" w:pos="6525" w:val="left"/>
        </w:tabs>
        <w:rPr>
          <w:sz w:val="20"/>
          <w:szCs w:val="20"/>
          <w:color w:val="auto"/>
        </w:rPr>
      </w:pPr>
      <w:r>
        <w:rPr>
          <w:rFonts w:ascii="Courier New" w:cs="Courier New" w:eastAsia="Courier New" w:hAnsi="Courier New"/>
          <w:sz w:val="15"/>
          <w:szCs w:val="15"/>
          <w:color w:val="auto"/>
        </w:rPr>
        <w:t>Directors, Nominees, Executive Officers</w:t>
      </w:r>
      <w:r>
        <w:rPr>
          <w:sz w:val="20"/>
          <w:szCs w:val="20"/>
          <w:color w:val="auto"/>
        </w:rPr>
        <w:tab/>
      </w:r>
      <w:r>
        <w:rPr>
          <w:rFonts w:ascii="Courier New" w:cs="Courier New" w:eastAsia="Courier New" w:hAnsi="Courier New"/>
          <w:sz w:val="15"/>
          <w:szCs w:val="15"/>
          <w:color w:val="auto"/>
        </w:rPr>
        <w:t>-----------------------------------</w:t>
      </w:r>
    </w:p>
    <w:p>
      <w:pPr>
        <w:spacing w:after="0" w:line="8" w:lineRule="exact"/>
        <w:rPr>
          <w:sz w:val="20"/>
          <w:szCs w:val="20"/>
          <w:color w:val="auto"/>
        </w:rPr>
      </w:pPr>
    </w:p>
    <w:p>
      <w:pPr>
        <w:ind w:left="5"/>
        <w:spacing w:after="0"/>
        <w:tabs>
          <w:tab w:leader="none" w:pos="6525" w:val="left"/>
          <w:tab w:leader="none" w:pos="8925" w:val="left"/>
        </w:tabs>
        <w:rPr>
          <w:sz w:val="20"/>
          <w:szCs w:val="20"/>
          <w:color w:val="auto"/>
        </w:rPr>
      </w:pPr>
      <w:r>
        <w:rPr>
          <w:rFonts w:ascii="Courier New" w:cs="Courier New" w:eastAsia="Courier New" w:hAnsi="Courier New"/>
          <w:sz w:val="15"/>
          <w:szCs w:val="15"/>
          <w:color w:val="auto"/>
        </w:rPr>
        <w:t>and 5% Stockholders</w:t>
      </w:r>
      <w:r>
        <w:rPr>
          <w:sz w:val="20"/>
          <w:szCs w:val="20"/>
          <w:color w:val="auto"/>
        </w:rPr>
        <w:tab/>
      </w:r>
      <w:r>
        <w:rPr>
          <w:rFonts w:ascii="Courier New" w:cs="Courier New" w:eastAsia="Courier New" w:hAnsi="Courier New"/>
          <w:sz w:val="15"/>
          <w:szCs w:val="15"/>
          <w:color w:val="auto"/>
        </w:rPr>
        <w:t>Number</w:t>
      </w:r>
      <w:r>
        <w:rPr>
          <w:sz w:val="20"/>
          <w:szCs w:val="20"/>
          <w:color w:val="auto"/>
        </w:rPr>
        <w:tab/>
      </w:r>
      <w:r>
        <w:rPr>
          <w:rFonts w:ascii="Courier New" w:cs="Courier New" w:eastAsia="Courier New" w:hAnsi="Courier New"/>
          <w:sz w:val="15"/>
          <w:szCs w:val="15"/>
          <w:color w:val="auto"/>
        </w:rPr>
        <w:t>Percent</w:t>
      </w:r>
    </w:p>
    <w:p>
      <w:pPr>
        <w:spacing w:after="0" w:line="8"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 ----------------------------------------------------------------------------------------------------------</w:t>
      </w:r>
    </w:p>
    <w:p>
      <w:pPr>
        <w:spacing w:after="0" w:line="185" w:lineRule="exact"/>
        <w:rPr>
          <w:sz w:val="20"/>
          <w:szCs w:val="20"/>
          <w:color w:val="auto"/>
        </w:rPr>
      </w:pPr>
    </w:p>
    <w:tbl>
      <w:tblPr>
        <w:tblLayout w:type="fixed"/>
        <w:tblInd w:w="5" w:type="dxa"/>
        <w:tblCellMar>
          <w:top w:w="0" w:type="dxa"/>
          <w:left w:w="0" w:type="dxa"/>
          <w:bottom w:w="0" w:type="dxa"/>
          <w:right w:w="0" w:type="dxa"/>
        </w:tblCellMar>
      </w:tblPr>
      <w:tr>
        <w:trPr>
          <w:trHeight w:val="172"/>
        </w:trPr>
        <w:tc>
          <w:tcPr>
            <w:tcW w:w="780" w:type="dxa"/>
            <w:vAlign w:val="bottom"/>
          </w:tcPr>
          <w:p>
            <w:pPr>
              <w:spacing w:after="0"/>
              <w:rPr>
                <w:sz w:val="20"/>
                <w:szCs w:val="20"/>
                <w:color w:val="auto"/>
              </w:rPr>
            </w:pPr>
            <w:r>
              <w:rPr>
                <w:rFonts w:ascii="Courier New" w:cs="Courier New" w:eastAsia="Courier New" w:hAnsi="Courier New"/>
                <w:sz w:val="15"/>
                <w:szCs w:val="15"/>
                <w:color w:val="auto"/>
              </w:rPr>
              <w:t>Inger J.</w:t>
            </w:r>
          </w:p>
        </w:tc>
        <w:tc>
          <w:tcPr>
            <w:tcW w:w="4480" w:type="dxa"/>
            <w:vAlign w:val="bottom"/>
          </w:tcPr>
          <w:p>
            <w:pPr>
              <w:ind w:left="40"/>
              <w:spacing w:after="0"/>
              <w:rPr>
                <w:sz w:val="20"/>
                <w:szCs w:val="20"/>
                <w:color w:val="auto"/>
              </w:rPr>
            </w:pPr>
            <w:r>
              <w:rPr>
                <w:rFonts w:ascii="Courier New" w:cs="Courier New" w:eastAsia="Courier New" w:hAnsi="Courier New"/>
                <w:sz w:val="15"/>
                <w:szCs w:val="15"/>
                <w:color w:val="auto"/>
              </w:rPr>
              <w:t>Fair(2)</w:t>
            </w:r>
          </w:p>
        </w:tc>
        <w:tc>
          <w:tcPr>
            <w:tcW w:w="3080" w:type="dxa"/>
            <w:vAlign w:val="bottom"/>
          </w:tcPr>
          <w:p>
            <w:pPr>
              <w:jc w:val="right"/>
              <w:ind w:right="883"/>
              <w:spacing w:after="0"/>
              <w:rPr>
                <w:sz w:val="20"/>
                <w:szCs w:val="20"/>
                <w:color w:val="auto"/>
              </w:rPr>
            </w:pPr>
            <w:r>
              <w:rPr>
                <w:rFonts w:ascii="Courier New" w:cs="Courier New" w:eastAsia="Courier New" w:hAnsi="Courier New"/>
                <w:sz w:val="15"/>
                <w:szCs w:val="15"/>
                <w:color w:val="auto"/>
              </w:rPr>
              <w:t>1,824,361</w:t>
            </w:r>
          </w:p>
        </w:tc>
        <w:tc>
          <w:tcPr>
            <w:tcW w:w="1440" w:type="dxa"/>
            <w:vAlign w:val="bottom"/>
          </w:tcPr>
          <w:p>
            <w:pPr>
              <w:jc w:val="right"/>
              <w:spacing w:after="0"/>
              <w:rPr>
                <w:sz w:val="20"/>
                <w:szCs w:val="20"/>
                <w:color w:val="auto"/>
              </w:rPr>
            </w:pPr>
            <w:r>
              <w:rPr>
                <w:rFonts w:ascii="Courier New" w:cs="Courier New" w:eastAsia="Courier New" w:hAnsi="Courier New"/>
                <w:sz w:val="15"/>
                <w:szCs w:val="15"/>
                <w:color w:val="auto"/>
              </w:rPr>
              <w:t>14.4%</w:t>
            </w:r>
          </w:p>
        </w:tc>
      </w:tr>
      <w:tr>
        <w:trPr>
          <w:trHeight w:val="177"/>
        </w:trPr>
        <w:tc>
          <w:tcPr>
            <w:tcW w:w="780" w:type="dxa"/>
            <w:vAlign w:val="bottom"/>
          </w:tcPr>
          <w:p>
            <w:pPr>
              <w:ind w:left="460"/>
              <w:spacing w:after="0"/>
              <w:rPr>
                <w:sz w:val="20"/>
                <w:szCs w:val="20"/>
                <w:color w:val="auto"/>
              </w:rPr>
            </w:pPr>
            <w:r>
              <w:rPr>
                <w:rFonts w:ascii="Courier New" w:cs="Courier New" w:eastAsia="Courier New" w:hAnsi="Courier New"/>
                <w:sz w:val="15"/>
                <w:szCs w:val="15"/>
                <w:color w:val="auto"/>
              </w:rPr>
              <w:t>120</w:t>
            </w:r>
          </w:p>
        </w:tc>
        <w:tc>
          <w:tcPr>
            <w:tcW w:w="4480" w:type="dxa"/>
            <w:vAlign w:val="bottom"/>
          </w:tcPr>
          <w:p>
            <w:pPr>
              <w:ind w:left="40"/>
              <w:spacing w:after="0"/>
              <w:rPr>
                <w:sz w:val="20"/>
                <w:szCs w:val="20"/>
                <w:color w:val="auto"/>
              </w:rPr>
            </w:pPr>
            <w:r>
              <w:rPr>
                <w:rFonts w:ascii="Courier New" w:cs="Courier New" w:eastAsia="Courier New" w:hAnsi="Courier New"/>
                <w:sz w:val="15"/>
                <w:szCs w:val="15"/>
                <w:color w:val="auto"/>
              </w:rPr>
              <w:t>North Redwood Drive</w:t>
            </w:r>
          </w:p>
        </w:tc>
        <w:tc>
          <w:tcPr>
            <w:tcW w:w="3080" w:type="dxa"/>
            <w:vAlign w:val="bottom"/>
          </w:tcPr>
          <w:p>
            <w:pPr>
              <w:spacing w:after="0"/>
              <w:rPr>
                <w:sz w:val="15"/>
                <w:szCs w:val="15"/>
                <w:color w:val="auto"/>
              </w:rPr>
            </w:pPr>
          </w:p>
        </w:tc>
        <w:tc>
          <w:tcPr>
            <w:tcW w:w="1440" w:type="dxa"/>
            <w:vAlign w:val="bottom"/>
          </w:tcPr>
          <w:p>
            <w:pPr>
              <w:spacing w:after="0"/>
              <w:rPr>
                <w:sz w:val="15"/>
                <w:szCs w:val="15"/>
                <w:color w:val="auto"/>
              </w:rPr>
            </w:pPr>
          </w:p>
        </w:tc>
      </w:tr>
      <w:tr>
        <w:trPr>
          <w:trHeight w:val="177"/>
        </w:trPr>
        <w:tc>
          <w:tcPr>
            <w:tcW w:w="780" w:type="dxa"/>
            <w:vAlign w:val="bottom"/>
          </w:tcPr>
          <w:p>
            <w:pPr>
              <w:ind w:left="460"/>
              <w:spacing w:after="0"/>
              <w:rPr>
                <w:sz w:val="20"/>
                <w:szCs w:val="20"/>
                <w:color w:val="auto"/>
              </w:rPr>
            </w:pPr>
            <w:r>
              <w:rPr>
                <w:rFonts w:ascii="Courier New" w:cs="Courier New" w:eastAsia="Courier New" w:hAnsi="Courier New"/>
                <w:sz w:val="15"/>
                <w:szCs w:val="15"/>
                <w:color w:val="auto"/>
              </w:rPr>
              <w:t>San</w:t>
            </w:r>
          </w:p>
        </w:tc>
        <w:tc>
          <w:tcPr>
            <w:tcW w:w="4480" w:type="dxa"/>
            <w:vAlign w:val="bottom"/>
          </w:tcPr>
          <w:p>
            <w:pPr>
              <w:ind w:left="40"/>
              <w:spacing w:after="0"/>
              <w:rPr>
                <w:sz w:val="20"/>
                <w:szCs w:val="20"/>
                <w:color w:val="auto"/>
              </w:rPr>
            </w:pPr>
            <w:r>
              <w:rPr>
                <w:rFonts w:ascii="Courier New" w:cs="Courier New" w:eastAsia="Courier New" w:hAnsi="Courier New"/>
                <w:sz w:val="15"/>
                <w:szCs w:val="15"/>
                <w:color w:val="auto"/>
              </w:rPr>
              <w:t>Rafael, CA 94903</w:t>
            </w:r>
          </w:p>
        </w:tc>
        <w:tc>
          <w:tcPr>
            <w:tcW w:w="3080" w:type="dxa"/>
            <w:vAlign w:val="bottom"/>
          </w:tcPr>
          <w:p>
            <w:pPr>
              <w:spacing w:after="0"/>
              <w:rPr>
                <w:sz w:val="15"/>
                <w:szCs w:val="15"/>
                <w:color w:val="auto"/>
              </w:rPr>
            </w:pPr>
          </w:p>
        </w:tc>
        <w:tc>
          <w:tcPr>
            <w:tcW w:w="1440" w:type="dxa"/>
            <w:vAlign w:val="bottom"/>
          </w:tcPr>
          <w:p>
            <w:pPr>
              <w:spacing w:after="0"/>
              <w:rPr>
                <w:sz w:val="15"/>
                <w:szCs w:val="15"/>
                <w:color w:val="auto"/>
              </w:rPr>
            </w:pPr>
          </w:p>
        </w:tc>
      </w:tr>
      <w:tr>
        <w:trPr>
          <w:trHeight w:val="355"/>
        </w:trPr>
        <w:tc>
          <w:tcPr>
            <w:tcW w:w="5260" w:type="dxa"/>
            <w:vAlign w:val="bottom"/>
            <w:gridSpan w:val="2"/>
          </w:tcPr>
          <w:p>
            <w:pPr>
              <w:spacing w:after="0"/>
              <w:rPr>
                <w:sz w:val="20"/>
                <w:szCs w:val="20"/>
                <w:color w:val="auto"/>
              </w:rPr>
            </w:pPr>
            <w:r>
              <w:rPr>
                <w:rFonts w:ascii="Courier New" w:cs="Courier New" w:eastAsia="Courier New" w:hAnsi="Courier New"/>
                <w:sz w:val="15"/>
                <w:szCs w:val="15"/>
                <w:color w:val="auto"/>
              </w:rPr>
              <w:t>Christian I. Fair(2)</w:t>
            </w:r>
          </w:p>
        </w:tc>
        <w:tc>
          <w:tcPr>
            <w:tcW w:w="3080" w:type="dxa"/>
            <w:vAlign w:val="bottom"/>
          </w:tcPr>
          <w:p>
            <w:pPr>
              <w:jc w:val="right"/>
              <w:ind w:right="883"/>
              <w:spacing w:after="0"/>
              <w:rPr>
                <w:sz w:val="20"/>
                <w:szCs w:val="20"/>
                <w:color w:val="auto"/>
              </w:rPr>
            </w:pPr>
            <w:r>
              <w:rPr>
                <w:rFonts w:ascii="Courier New" w:cs="Courier New" w:eastAsia="Courier New" w:hAnsi="Courier New"/>
                <w:sz w:val="15"/>
                <w:szCs w:val="15"/>
                <w:color w:val="auto"/>
              </w:rPr>
              <w:t>2,100,246</w:t>
            </w:r>
          </w:p>
        </w:tc>
        <w:tc>
          <w:tcPr>
            <w:tcW w:w="1440" w:type="dxa"/>
            <w:vAlign w:val="bottom"/>
          </w:tcPr>
          <w:p>
            <w:pPr>
              <w:jc w:val="right"/>
              <w:spacing w:after="0"/>
              <w:rPr>
                <w:sz w:val="20"/>
                <w:szCs w:val="20"/>
                <w:color w:val="auto"/>
              </w:rPr>
            </w:pPr>
            <w:r>
              <w:rPr>
                <w:rFonts w:ascii="Courier New" w:cs="Courier New" w:eastAsia="Courier New" w:hAnsi="Courier New"/>
                <w:sz w:val="15"/>
                <w:szCs w:val="15"/>
                <w:color w:val="auto"/>
              </w:rPr>
              <w:t>16.6%</w:t>
            </w:r>
          </w:p>
        </w:tc>
      </w:tr>
      <w:tr>
        <w:trPr>
          <w:trHeight w:val="177"/>
        </w:trPr>
        <w:tc>
          <w:tcPr>
            <w:tcW w:w="780" w:type="dxa"/>
            <w:vAlign w:val="bottom"/>
          </w:tcPr>
          <w:p>
            <w:pPr>
              <w:ind w:left="460"/>
              <w:spacing w:after="0"/>
              <w:rPr>
                <w:sz w:val="20"/>
                <w:szCs w:val="20"/>
                <w:color w:val="auto"/>
              </w:rPr>
            </w:pPr>
            <w:r>
              <w:rPr>
                <w:rFonts w:ascii="Courier New" w:cs="Courier New" w:eastAsia="Courier New" w:hAnsi="Courier New"/>
                <w:sz w:val="15"/>
                <w:szCs w:val="15"/>
                <w:color w:val="auto"/>
              </w:rPr>
              <w:t>120</w:t>
            </w:r>
          </w:p>
        </w:tc>
        <w:tc>
          <w:tcPr>
            <w:tcW w:w="4480" w:type="dxa"/>
            <w:vAlign w:val="bottom"/>
          </w:tcPr>
          <w:p>
            <w:pPr>
              <w:ind w:left="40"/>
              <w:spacing w:after="0"/>
              <w:rPr>
                <w:sz w:val="20"/>
                <w:szCs w:val="20"/>
                <w:color w:val="auto"/>
              </w:rPr>
            </w:pPr>
            <w:r>
              <w:rPr>
                <w:rFonts w:ascii="Courier New" w:cs="Courier New" w:eastAsia="Courier New" w:hAnsi="Courier New"/>
                <w:sz w:val="15"/>
                <w:szCs w:val="15"/>
                <w:color w:val="auto"/>
              </w:rPr>
              <w:t>North Redwood Drive</w:t>
            </w:r>
          </w:p>
        </w:tc>
        <w:tc>
          <w:tcPr>
            <w:tcW w:w="3080" w:type="dxa"/>
            <w:vAlign w:val="bottom"/>
          </w:tcPr>
          <w:p>
            <w:pPr>
              <w:spacing w:after="0"/>
              <w:rPr>
                <w:sz w:val="15"/>
                <w:szCs w:val="15"/>
                <w:color w:val="auto"/>
              </w:rPr>
            </w:pPr>
          </w:p>
        </w:tc>
        <w:tc>
          <w:tcPr>
            <w:tcW w:w="1440" w:type="dxa"/>
            <w:vAlign w:val="bottom"/>
          </w:tcPr>
          <w:p>
            <w:pPr>
              <w:spacing w:after="0"/>
              <w:rPr>
                <w:sz w:val="15"/>
                <w:szCs w:val="15"/>
                <w:color w:val="auto"/>
              </w:rPr>
            </w:pPr>
          </w:p>
        </w:tc>
      </w:tr>
      <w:tr>
        <w:trPr>
          <w:trHeight w:val="177"/>
        </w:trPr>
        <w:tc>
          <w:tcPr>
            <w:tcW w:w="780" w:type="dxa"/>
            <w:vAlign w:val="bottom"/>
          </w:tcPr>
          <w:p>
            <w:pPr>
              <w:ind w:left="460"/>
              <w:spacing w:after="0"/>
              <w:rPr>
                <w:sz w:val="20"/>
                <w:szCs w:val="20"/>
                <w:color w:val="auto"/>
              </w:rPr>
            </w:pPr>
            <w:r>
              <w:rPr>
                <w:rFonts w:ascii="Courier New" w:cs="Courier New" w:eastAsia="Courier New" w:hAnsi="Courier New"/>
                <w:sz w:val="15"/>
                <w:szCs w:val="15"/>
                <w:color w:val="auto"/>
              </w:rPr>
              <w:t>San</w:t>
            </w:r>
          </w:p>
        </w:tc>
        <w:tc>
          <w:tcPr>
            <w:tcW w:w="4480" w:type="dxa"/>
            <w:vAlign w:val="bottom"/>
          </w:tcPr>
          <w:p>
            <w:pPr>
              <w:ind w:left="40"/>
              <w:spacing w:after="0"/>
              <w:rPr>
                <w:sz w:val="20"/>
                <w:szCs w:val="20"/>
                <w:color w:val="auto"/>
              </w:rPr>
            </w:pPr>
            <w:r>
              <w:rPr>
                <w:rFonts w:ascii="Courier New" w:cs="Courier New" w:eastAsia="Courier New" w:hAnsi="Courier New"/>
                <w:sz w:val="15"/>
                <w:szCs w:val="15"/>
                <w:color w:val="auto"/>
              </w:rPr>
              <w:t>Rafael, CA 94903</w:t>
            </w:r>
          </w:p>
        </w:tc>
        <w:tc>
          <w:tcPr>
            <w:tcW w:w="3080" w:type="dxa"/>
            <w:vAlign w:val="bottom"/>
          </w:tcPr>
          <w:p>
            <w:pPr>
              <w:spacing w:after="0"/>
              <w:rPr>
                <w:sz w:val="15"/>
                <w:szCs w:val="15"/>
                <w:color w:val="auto"/>
              </w:rPr>
            </w:pPr>
          </w:p>
        </w:tc>
        <w:tc>
          <w:tcPr>
            <w:tcW w:w="1440" w:type="dxa"/>
            <w:vAlign w:val="bottom"/>
          </w:tcPr>
          <w:p>
            <w:pPr>
              <w:spacing w:after="0"/>
              <w:rPr>
                <w:sz w:val="15"/>
                <w:szCs w:val="15"/>
                <w:color w:val="auto"/>
              </w:rPr>
            </w:pPr>
          </w:p>
        </w:tc>
      </w:tr>
      <w:tr>
        <w:trPr>
          <w:trHeight w:val="355"/>
        </w:trPr>
        <w:tc>
          <w:tcPr>
            <w:tcW w:w="780" w:type="dxa"/>
            <w:vAlign w:val="bottom"/>
          </w:tcPr>
          <w:p>
            <w:pPr>
              <w:spacing w:after="0"/>
              <w:rPr>
                <w:sz w:val="20"/>
                <w:szCs w:val="20"/>
                <w:color w:val="auto"/>
              </w:rPr>
            </w:pPr>
            <w:r>
              <w:rPr>
                <w:rFonts w:ascii="Courier New" w:cs="Courier New" w:eastAsia="Courier New" w:hAnsi="Courier New"/>
                <w:sz w:val="15"/>
                <w:szCs w:val="15"/>
                <w:color w:val="auto"/>
              </w:rPr>
              <w:t>Ellen I.</w:t>
            </w:r>
          </w:p>
        </w:tc>
        <w:tc>
          <w:tcPr>
            <w:tcW w:w="4480" w:type="dxa"/>
            <w:vAlign w:val="bottom"/>
          </w:tcPr>
          <w:p>
            <w:pPr>
              <w:ind w:left="40"/>
              <w:spacing w:after="0"/>
              <w:rPr>
                <w:sz w:val="20"/>
                <w:szCs w:val="20"/>
                <w:color w:val="auto"/>
              </w:rPr>
            </w:pPr>
            <w:r>
              <w:rPr>
                <w:rFonts w:ascii="Courier New" w:cs="Courier New" w:eastAsia="Courier New" w:hAnsi="Courier New"/>
                <w:sz w:val="15"/>
                <w:szCs w:val="15"/>
                <w:color w:val="auto"/>
              </w:rPr>
              <w:t>Fair(2)</w:t>
            </w:r>
          </w:p>
        </w:tc>
        <w:tc>
          <w:tcPr>
            <w:tcW w:w="3080" w:type="dxa"/>
            <w:vAlign w:val="bottom"/>
          </w:tcPr>
          <w:p>
            <w:pPr>
              <w:jc w:val="right"/>
              <w:ind w:right="883"/>
              <w:spacing w:after="0"/>
              <w:rPr>
                <w:sz w:val="20"/>
                <w:szCs w:val="20"/>
                <w:color w:val="auto"/>
              </w:rPr>
            </w:pPr>
            <w:r>
              <w:rPr>
                <w:rFonts w:ascii="Courier New" w:cs="Courier New" w:eastAsia="Courier New" w:hAnsi="Courier New"/>
                <w:sz w:val="15"/>
                <w:szCs w:val="15"/>
                <w:color w:val="auto"/>
              </w:rPr>
              <w:t>1,978,217</w:t>
            </w:r>
          </w:p>
        </w:tc>
        <w:tc>
          <w:tcPr>
            <w:tcW w:w="1440" w:type="dxa"/>
            <w:vAlign w:val="bottom"/>
          </w:tcPr>
          <w:p>
            <w:pPr>
              <w:jc w:val="right"/>
              <w:spacing w:after="0"/>
              <w:rPr>
                <w:sz w:val="20"/>
                <w:szCs w:val="20"/>
                <w:color w:val="auto"/>
              </w:rPr>
            </w:pPr>
            <w:r>
              <w:rPr>
                <w:rFonts w:ascii="Courier New" w:cs="Courier New" w:eastAsia="Courier New" w:hAnsi="Courier New"/>
                <w:sz w:val="15"/>
                <w:szCs w:val="15"/>
                <w:color w:val="auto"/>
              </w:rPr>
              <w:t>15.7%</w:t>
            </w:r>
          </w:p>
        </w:tc>
      </w:tr>
      <w:tr>
        <w:trPr>
          <w:trHeight w:val="177"/>
        </w:trPr>
        <w:tc>
          <w:tcPr>
            <w:tcW w:w="780" w:type="dxa"/>
            <w:vAlign w:val="bottom"/>
          </w:tcPr>
          <w:p>
            <w:pPr>
              <w:ind w:left="460"/>
              <w:spacing w:after="0"/>
              <w:rPr>
                <w:sz w:val="20"/>
                <w:szCs w:val="20"/>
                <w:color w:val="auto"/>
              </w:rPr>
            </w:pPr>
            <w:r>
              <w:rPr>
                <w:rFonts w:ascii="Courier New" w:cs="Courier New" w:eastAsia="Courier New" w:hAnsi="Courier New"/>
                <w:sz w:val="15"/>
                <w:szCs w:val="15"/>
                <w:color w:val="auto"/>
              </w:rPr>
              <w:t>120</w:t>
            </w:r>
          </w:p>
        </w:tc>
        <w:tc>
          <w:tcPr>
            <w:tcW w:w="4480" w:type="dxa"/>
            <w:vAlign w:val="bottom"/>
          </w:tcPr>
          <w:p>
            <w:pPr>
              <w:ind w:left="40"/>
              <w:spacing w:after="0"/>
              <w:rPr>
                <w:sz w:val="20"/>
                <w:szCs w:val="20"/>
                <w:color w:val="auto"/>
              </w:rPr>
            </w:pPr>
            <w:r>
              <w:rPr>
                <w:rFonts w:ascii="Courier New" w:cs="Courier New" w:eastAsia="Courier New" w:hAnsi="Courier New"/>
                <w:sz w:val="15"/>
                <w:szCs w:val="15"/>
                <w:color w:val="auto"/>
              </w:rPr>
              <w:t>North Redwood Drive</w:t>
            </w:r>
          </w:p>
        </w:tc>
        <w:tc>
          <w:tcPr>
            <w:tcW w:w="3080" w:type="dxa"/>
            <w:vAlign w:val="bottom"/>
          </w:tcPr>
          <w:p>
            <w:pPr>
              <w:spacing w:after="0"/>
              <w:rPr>
                <w:sz w:val="15"/>
                <w:szCs w:val="15"/>
                <w:color w:val="auto"/>
              </w:rPr>
            </w:pPr>
          </w:p>
        </w:tc>
        <w:tc>
          <w:tcPr>
            <w:tcW w:w="1440" w:type="dxa"/>
            <w:vAlign w:val="bottom"/>
          </w:tcPr>
          <w:p>
            <w:pPr>
              <w:spacing w:after="0"/>
              <w:rPr>
                <w:sz w:val="15"/>
                <w:szCs w:val="15"/>
                <w:color w:val="auto"/>
              </w:rPr>
            </w:pPr>
          </w:p>
        </w:tc>
      </w:tr>
      <w:tr>
        <w:trPr>
          <w:trHeight w:val="177"/>
        </w:trPr>
        <w:tc>
          <w:tcPr>
            <w:tcW w:w="5260" w:type="dxa"/>
            <w:vAlign w:val="bottom"/>
            <w:gridSpan w:val="2"/>
          </w:tcPr>
          <w:p>
            <w:pPr>
              <w:ind w:left="460"/>
              <w:spacing w:after="0"/>
              <w:rPr>
                <w:sz w:val="20"/>
                <w:szCs w:val="20"/>
                <w:color w:val="auto"/>
              </w:rPr>
            </w:pPr>
            <w:r>
              <w:rPr>
                <w:rFonts w:ascii="Courier New" w:cs="Courier New" w:eastAsia="Courier New" w:hAnsi="Courier New"/>
                <w:sz w:val="15"/>
                <w:szCs w:val="15"/>
                <w:color w:val="auto"/>
              </w:rPr>
              <w:t>San Rafael, CA 94903</w:t>
            </w:r>
          </w:p>
        </w:tc>
        <w:tc>
          <w:tcPr>
            <w:tcW w:w="3080" w:type="dxa"/>
            <w:vAlign w:val="bottom"/>
          </w:tcPr>
          <w:p>
            <w:pPr>
              <w:spacing w:after="0"/>
              <w:rPr>
                <w:sz w:val="15"/>
                <w:szCs w:val="15"/>
                <w:color w:val="auto"/>
              </w:rPr>
            </w:pPr>
          </w:p>
        </w:tc>
        <w:tc>
          <w:tcPr>
            <w:tcW w:w="1440" w:type="dxa"/>
            <w:vAlign w:val="bottom"/>
          </w:tcPr>
          <w:p>
            <w:pPr>
              <w:spacing w:after="0"/>
              <w:rPr>
                <w:sz w:val="15"/>
                <w:szCs w:val="15"/>
                <w:color w:val="auto"/>
              </w:rPr>
            </w:pPr>
          </w:p>
        </w:tc>
      </w:tr>
      <w:tr>
        <w:trPr>
          <w:trHeight w:val="355"/>
        </w:trPr>
        <w:tc>
          <w:tcPr>
            <w:tcW w:w="5260" w:type="dxa"/>
            <w:vAlign w:val="bottom"/>
            <w:gridSpan w:val="2"/>
          </w:tcPr>
          <w:p>
            <w:pPr>
              <w:spacing w:after="0"/>
              <w:rPr>
                <w:sz w:val="20"/>
                <w:szCs w:val="20"/>
                <w:color w:val="auto"/>
              </w:rPr>
            </w:pPr>
            <w:r>
              <w:rPr>
                <w:rFonts w:ascii="Courier New" w:cs="Courier New" w:eastAsia="Courier New" w:hAnsi="Courier New"/>
                <w:sz w:val="15"/>
                <w:szCs w:val="15"/>
                <w:color w:val="auto"/>
              </w:rPr>
              <w:t>Erik E. Fair(2)</w:t>
            </w:r>
          </w:p>
        </w:tc>
        <w:tc>
          <w:tcPr>
            <w:tcW w:w="3080" w:type="dxa"/>
            <w:vAlign w:val="bottom"/>
          </w:tcPr>
          <w:p>
            <w:pPr>
              <w:jc w:val="right"/>
              <w:ind w:right="883"/>
              <w:spacing w:after="0"/>
              <w:rPr>
                <w:sz w:val="20"/>
                <w:szCs w:val="20"/>
                <w:color w:val="auto"/>
              </w:rPr>
            </w:pPr>
            <w:r>
              <w:rPr>
                <w:rFonts w:ascii="Courier New" w:cs="Courier New" w:eastAsia="Courier New" w:hAnsi="Courier New"/>
                <w:sz w:val="15"/>
                <w:szCs w:val="15"/>
                <w:color w:val="auto"/>
              </w:rPr>
              <w:t>1,995,802</w:t>
            </w:r>
          </w:p>
        </w:tc>
        <w:tc>
          <w:tcPr>
            <w:tcW w:w="1440" w:type="dxa"/>
            <w:vAlign w:val="bottom"/>
          </w:tcPr>
          <w:p>
            <w:pPr>
              <w:jc w:val="right"/>
              <w:spacing w:after="0"/>
              <w:rPr>
                <w:sz w:val="20"/>
                <w:szCs w:val="20"/>
                <w:color w:val="auto"/>
              </w:rPr>
            </w:pPr>
            <w:r>
              <w:rPr>
                <w:rFonts w:ascii="Courier New" w:cs="Courier New" w:eastAsia="Courier New" w:hAnsi="Courier New"/>
                <w:sz w:val="15"/>
                <w:szCs w:val="15"/>
                <w:color w:val="auto"/>
              </w:rPr>
              <w:t>15.8%</w:t>
            </w:r>
          </w:p>
        </w:tc>
      </w:tr>
      <w:tr>
        <w:trPr>
          <w:trHeight w:val="177"/>
        </w:trPr>
        <w:tc>
          <w:tcPr>
            <w:tcW w:w="780" w:type="dxa"/>
            <w:vAlign w:val="bottom"/>
          </w:tcPr>
          <w:p>
            <w:pPr>
              <w:ind w:left="460"/>
              <w:spacing w:after="0"/>
              <w:rPr>
                <w:sz w:val="20"/>
                <w:szCs w:val="20"/>
                <w:color w:val="auto"/>
              </w:rPr>
            </w:pPr>
            <w:r>
              <w:rPr>
                <w:rFonts w:ascii="Courier New" w:cs="Courier New" w:eastAsia="Courier New" w:hAnsi="Courier New"/>
                <w:sz w:val="15"/>
                <w:szCs w:val="15"/>
                <w:color w:val="auto"/>
              </w:rPr>
              <w:t>120</w:t>
            </w:r>
          </w:p>
        </w:tc>
        <w:tc>
          <w:tcPr>
            <w:tcW w:w="4480" w:type="dxa"/>
            <w:vAlign w:val="bottom"/>
          </w:tcPr>
          <w:p>
            <w:pPr>
              <w:ind w:left="40"/>
              <w:spacing w:after="0"/>
              <w:rPr>
                <w:sz w:val="20"/>
                <w:szCs w:val="20"/>
                <w:color w:val="auto"/>
              </w:rPr>
            </w:pPr>
            <w:r>
              <w:rPr>
                <w:rFonts w:ascii="Courier New" w:cs="Courier New" w:eastAsia="Courier New" w:hAnsi="Courier New"/>
                <w:sz w:val="15"/>
                <w:szCs w:val="15"/>
                <w:color w:val="auto"/>
              </w:rPr>
              <w:t>North Redwood Drive</w:t>
            </w:r>
          </w:p>
        </w:tc>
        <w:tc>
          <w:tcPr>
            <w:tcW w:w="3080" w:type="dxa"/>
            <w:vAlign w:val="bottom"/>
          </w:tcPr>
          <w:p>
            <w:pPr>
              <w:spacing w:after="0"/>
              <w:rPr>
                <w:sz w:val="15"/>
                <w:szCs w:val="15"/>
                <w:color w:val="auto"/>
              </w:rPr>
            </w:pPr>
          </w:p>
        </w:tc>
        <w:tc>
          <w:tcPr>
            <w:tcW w:w="1440" w:type="dxa"/>
            <w:vAlign w:val="bottom"/>
          </w:tcPr>
          <w:p>
            <w:pPr>
              <w:spacing w:after="0"/>
              <w:rPr>
                <w:sz w:val="15"/>
                <w:szCs w:val="15"/>
                <w:color w:val="auto"/>
              </w:rPr>
            </w:pPr>
          </w:p>
        </w:tc>
      </w:tr>
      <w:tr>
        <w:trPr>
          <w:trHeight w:val="177"/>
        </w:trPr>
        <w:tc>
          <w:tcPr>
            <w:tcW w:w="780" w:type="dxa"/>
            <w:vAlign w:val="bottom"/>
          </w:tcPr>
          <w:p>
            <w:pPr>
              <w:ind w:left="460"/>
              <w:spacing w:after="0"/>
              <w:rPr>
                <w:sz w:val="20"/>
                <w:szCs w:val="20"/>
                <w:color w:val="auto"/>
              </w:rPr>
            </w:pPr>
            <w:r>
              <w:rPr>
                <w:rFonts w:ascii="Courier New" w:cs="Courier New" w:eastAsia="Courier New" w:hAnsi="Courier New"/>
                <w:sz w:val="15"/>
                <w:szCs w:val="15"/>
                <w:color w:val="auto"/>
              </w:rPr>
              <w:t>San</w:t>
            </w:r>
          </w:p>
        </w:tc>
        <w:tc>
          <w:tcPr>
            <w:tcW w:w="4480" w:type="dxa"/>
            <w:vAlign w:val="bottom"/>
          </w:tcPr>
          <w:p>
            <w:pPr>
              <w:ind w:left="40"/>
              <w:spacing w:after="0"/>
              <w:rPr>
                <w:sz w:val="20"/>
                <w:szCs w:val="20"/>
                <w:color w:val="auto"/>
              </w:rPr>
            </w:pPr>
            <w:r>
              <w:rPr>
                <w:rFonts w:ascii="Courier New" w:cs="Courier New" w:eastAsia="Courier New" w:hAnsi="Courier New"/>
                <w:sz w:val="15"/>
                <w:szCs w:val="15"/>
                <w:color w:val="auto"/>
              </w:rPr>
              <w:t>Rafael, CA 94903</w:t>
            </w:r>
          </w:p>
        </w:tc>
        <w:tc>
          <w:tcPr>
            <w:tcW w:w="3080" w:type="dxa"/>
            <w:vAlign w:val="bottom"/>
          </w:tcPr>
          <w:p>
            <w:pPr>
              <w:spacing w:after="0"/>
              <w:rPr>
                <w:sz w:val="15"/>
                <w:szCs w:val="15"/>
                <w:color w:val="auto"/>
              </w:rPr>
            </w:pPr>
          </w:p>
        </w:tc>
        <w:tc>
          <w:tcPr>
            <w:tcW w:w="1440" w:type="dxa"/>
            <w:vAlign w:val="bottom"/>
          </w:tcPr>
          <w:p>
            <w:pPr>
              <w:spacing w:after="0"/>
              <w:rPr>
                <w:sz w:val="15"/>
                <w:szCs w:val="15"/>
                <w:color w:val="auto"/>
              </w:rPr>
            </w:pPr>
          </w:p>
        </w:tc>
      </w:tr>
      <w:tr>
        <w:trPr>
          <w:trHeight w:val="355"/>
        </w:trPr>
        <w:tc>
          <w:tcPr>
            <w:tcW w:w="5260" w:type="dxa"/>
            <w:vAlign w:val="bottom"/>
            <w:gridSpan w:val="2"/>
          </w:tcPr>
          <w:p>
            <w:pPr>
              <w:spacing w:after="0"/>
              <w:rPr>
                <w:sz w:val="20"/>
                <w:szCs w:val="20"/>
                <w:color w:val="auto"/>
              </w:rPr>
            </w:pPr>
            <w:r>
              <w:rPr>
                <w:rFonts w:ascii="Courier New" w:cs="Courier New" w:eastAsia="Courier New" w:hAnsi="Courier New"/>
                <w:sz w:val="15"/>
                <w:szCs w:val="15"/>
                <w:color w:val="auto"/>
              </w:rPr>
              <w:t>Judith W. Isaac(3)</w:t>
            </w:r>
          </w:p>
        </w:tc>
        <w:tc>
          <w:tcPr>
            <w:tcW w:w="3080" w:type="dxa"/>
            <w:vAlign w:val="bottom"/>
          </w:tcPr>
          <w:p>
            <w:pPr>
              <w:jc w:val="right"/>
              <w:ind w:right="883"/>
              <w:spacing w:after="0"/>
              <w:rPr>
                <w:sz w:val="20"/>
                <w:szCs w:val="20"/>
                <w:color w:val="auto"/>
              </w:rPr>
            </w:pPr>
            <w:r>
              <w:rPr>
                <w:rFonts w:ascii="Courier New" w:cs="Courier New" w:eastAsia="Courier New" w:hAnsi="Courier New"/>
                <w:sz w:val="15"/>
                <w:szCs w:val="15"/>
                <w:color w:val="auto"/>
              </w:rPr>
              <w:t>1,591,710</w:t>
            </w:r>
          </w:p>
        </w:tc>
        <w:tc>
          <w:tcPr>
            <w:tcW w:w="1440" w:type="dxa"/>
            <w:vAlign w:val="bottom"/>
          </w:tcPr>
          <w:p>
            <w:pPr>
              <w:jc w:val="right"/>
              <w:spacing w:after="0"/>
              <w:rPr>
                <w:sz w:val="20"/>
                <w:szCs w:val="20"/>
                <w:color w:val="auto"/>
              </w:rPr>
            </w:pPr>
            <w:r>
              <w:rPr>
                <w:rFonts w:ascii="Courier New" w:cs="Courier New" w:eastAsia="Courier New" w:hAnsi="Courier New"/>
                <w:sz w:val="15"/>
                <w:szCs w:val="15"/>
                <w:color w:val="auto"/>
              </w:rPr>
              <w:t>12.6%</w:t>
            </w:r>
          </w:p>
        </w:tc>
      </w:tr>
      <w:tr>
        <w:trPr>
          <w:trHeight w:val="177"/>
        </w:trPr>
        <w:tc>
          <w:tcPr>
            <w:tcW w:w="5260" w:type="dxa"/>
            <w:vAlign w:val="bottom"/>
            <w:gridSpan w:val="2"/>
          </w:tcPr>
          <w:p>
            <w:pPr>
              <w:ind w:left="460"/>
              <w:spacing w:after="0"/>
              <w:rPr>
                <w:sz w:val="20"/>
                <w:szCs w:val="20"/>
                <w:color w:val="auto"/>
              </w:rPr>
            </w:pPr>
            <w:r>
              <w:rPr>
                <w:rFonts w:ascii="Courier New" w:cs="Courier New" w:eastAsia="Courier New" w:hAnsi="Courier New"/>
                <w:sz w:val="15"/>
                <w:szCs w:val="15"/>
                <w:color w:val="auto"/>
              </w:rPr>
              <w:t>5 Capilano Drive</w:t>
            </w:r>
          </w:p>
        </w:tc>
        <w:tc>
          <w:tcPr>
            <w:tcW w:w="3080" w:type="dxa"/>
            <w:vAlign w:val="bottom"/>
          </w:tcPr>
          <w:p>
            <w:pPr>
              <w:spacing w:after="0"/>
              <w:rPr>
                <w:sz w:val="15"/>
                <w:szCs w:val="15"/>
                <w:color w:val="auto"/>
              </w:rPr>
            </w:pPr>
          </w:p>
        </w:tc>
        <w:tc>
          <w:tcPr>
            <w:tcW w:w="1440" w:type="dxa"/>
            <w:vAlign w:val="bottom"/>
          </w:tcPr>
          <w:p>
            <w:pPr>
              <w:spacing w:after="0"/>
              <w:rPr>
                <w:sz w:val="15"/>
                <w:szCs w:val="15"/>
                <w:color w:val="auto"/>
              </w:rPr>
            </w:pPr>
          </w:p>
        </w:tc>
      </w:tr>
      <w:tr>
        <w:trPr>
          <w:trHeight w:val="177"/>
        </w:trPr>
        <w:tc>
          <w:tcPr>
            <w:tcW w:w="5260" w:type="dxa"/>
            <w:vAlign w:val="bottom"/>
            <w:gridSpan w:val="2"/>
          </w:tcPr>
          <w:p>
            <w:pPr>
              <w:ind w:left="460"/>
              <w:spacing w:after="0"/>
              <w:rPr>
                <w:sz w:val="20"/>
                <w:szCs w:val="20"/>
                <w:color w:val="auto"/>
              </w:rPr>
            </w:pPr>
            <w:r>
              <w:rPr>
                <w:rFonts w:ascii="Courier New" w:cs="Courier New" w:eastAsia="Courier New" w:hAnsi="Courier New"/>
                <w:sz w:val="15"/>
                <w:szCs w:val="15"/>
                <w:color w:val="auto"/>
              </w:rPr>
              <w:t>Novato, CA 94947</w:t>
            </w:r>
          </w:p>
        </w:tc>
        <w:tc>
          <w:tcPr>
            <w:tcW w:w="3080" w:type="dxa"/>
            <w:vAlign w:val="bottom"/>
          </w:tcPr>
          <w:p>
            <w:pPr>
              <w:spacing w:after="0"/>
              <w:rPr>
                <w:sz w:val="15"/>
                <w:szCs w:val="15"/>
                <w:color w:val="auto"/>
              </w:rPr>
            </w:pPr>
          </w:p>
        </w:tc>
        <w:tc>
          <w:tcPr>
            <w:tcW w:w="1440" w:type="dxa"/>
            <w:vAlign w:val="bottom"/>
          </w:tcPr>
          <w:p>
            <w:pPr>
              <w:spacing w:after="0"/>
              <w:rPr>
                <w:sz w:val="15"/>
                <w:szCs w:val="15"/>
                <w:color w:val="auto"/>
              </w:rPr>
            </w:pPr>
          </w:p>
        </w:tc>
      </w:tr>
      <w:tr>
        <w:trPr>
          <w:trHeight w:val="355"/>
        </w:trPr>
        <w:tc>
          <w:tcPr>
            <w:tcW w:w="5260" w:type="dxa"/>
            <w:vAlign w:val="bottom"/>
            <w:gridSpan w:val="2"/>
          </w:tcPr>
          <w:p>
            <w:pPr>
              <w:spacing w:after="0"/>
              <w:rPr>
                <w:sz w:val="20"/>
                <w:szCs w:val="20"/>
                <w:color w:val="auto"/>
              </w:rPr>
            </w:pPr>
            <w:r>
              <w:rPr>
                <w:rFonts w:ascii="Courier New" w:cs="Courier New" w:eastAsia="Courier New" w:hAnsi="Courier New"/>
                <w:sz w:val="15"/>
                <w:szCs w:val="15"/>
                <w:color w:val="auto"/>
              </w:rPr>
              <w:t>Michael C. Gordon, Peter L. McCorkel(l)</w:t>
            </w:r>
          </w:p>
        </w:tc>
        <w:tc>
          <w:tcPr>
            <w:tcW w:w="3080" w:type="dxa"/>
            <w:vAlign w:val="bottom"/>
          </w:tcPr>
          <w:p>
            <w:pPr>
              <w:jc w:val="right"/>
              <w:ind w:right="883"/>
              <w:spacing w:after="0"/>
              <w:rPr>
                <w:sz w:val="20"/>
                <w:szCs w:val="20"/>
                <w:color w:val="auto"/>
              </w:rPr>
            </w:pPr>
            <w:r>
              <w:rPr>
                <w:rFonts w:ascii="Courier New" w:cs="Courier New" w:eastAsia="Courier New" w:hAnsi="Courier New"/>
                <w:sz w:val="15"/>
                <w:szCs w:val="15"/>
                <w:color w:val="auto"/>
              </w:rPr>
              <w:t>1,068,186</w:t>
            </w:r>
          </w:p>
        </w:tc>
        <w:tc>
          <w:tcPr>
            <w:tcW w:w="1440" w:type="dxa"/>
            <w:vAlign w:val="bottom"/>
          </w:tcPr>
          <w:p>
            <w:pPr>
              <w:jc w:val="right"/>
              <w:spacing w:after="0"/>
              <w:rPr>
                <w:sz w:val="20"/>
                <w:szCs w:val="20"/>
                <w:color w:val="auto"/>
              </w:rPr>
            </w:pPr>
            <w:r>
              <w:rPr>
                <w:rFonts w:ascii="Courier New" w:cs="Courier New" w:eastAsia="Courier New" w:hAnsi="Courier New"/>
                <w:sz w:val="15"/>
                <w:szCs w:val="15"/>
                <w:color w:val="auto"/>
              </w:rPr>
              <w:t>8.4%</w:t>
            </w:r>
          </w:p>
        </w:tc>
      </w:tr>
      <w:tr>
        <w:trPr>
          <w:trHeight w:val="177"/>
        </w:trPr>
        <w:tc>
          <w:tcPr>
            <w:tcW w:w="5260" w:type="dxa"/>
            <w:vAlign w:val="bottom"/>
            <w:gridSpan w:val="2"/>
          </w:tcPr>
          <w:p>
            <w:pPr>
              <w:spacing w:after="0"/>
              <w:rPr>
                <w:sz w:val="20"/>
                <w:szCs w:val="20"/>
                <w:color w:val="auto"/>
              </w:rPr>
            </w:pPr>
            <w:r>
              <w:rPr>
                <w:rFonts w:ascii="Courier New" w:cs="Courier New" w:eastAsia="Courier New" w:hAnsi="Courier New"/>
                <w:sz w:val="15"/>
                <w:szCs w:val="15"/>
                <w:color w:val="auto"/>
              </w:rPr>
              <w:t>and John Waller,</w:t>
            </w:r>
          </w:p>
        </w:tc>
        <w:tc>
          <w:tcPr>
            <w:tcW w:w="3080" w:type="dxa"/>
            <w:vAlign w:val="bottom"/>
          </w:tcPr>
          <w:p>
            <w:pPr>
              <w:spacing w:after="0"/>
              <w:rPr>
                <w:sz w:val="15"/>
                <w:szCs w:val="15"/>
                <w:color w:val="auto"/>
              </w:rPr>
            </w:pPr>
          </w:p>
        </w:tc>
        <w:tc>
          <w:tcPr>
            <w:tcW w:w="1440" w:type="dxa"/>
            <w:vAlign w:val="bottom"/>
          </w:tcPr>
          <w:p>
            <w:pPr>
              <w:spacing w:after="0"/>
              <w:rPr>
                <w:sz w:val="15"/>
                <w:szCs w:val="15"/>
                <w:color w:val="auto"/>
              </w:rPr>
            </w:pPr>
          </w:p>
        </w:tc>
      </w:tr>
      <w:tr>
        <w:trPr>
          <w:trHeight w:val="177"/>
        </w:trPr>
        <w:tc>
          <w:tcPr>
            <w:tcW w:w="5260" w:type="dxa"/>
            <w:vAlign w:val="bottom"/>
            <w:gridSpan w:val="2"/>
          </w:tcPr>
          <w:p>
            <w:pPr>
              <w:ind w:left="460"/>
              <w:spacing w:after="0"/>
              <w:rPr>
                <w:sz w:val="20"/>
                <w:szCs w:val="20"/>
                <w:color w:val="auto"/>
              </w:rPr>
            </w:pPr>
            <w:r>
              <w:rPr>
                <w:rFonts w:ascii="Courier New" w:cs="Courier New" w:eastAsia="Courier New" w:hAnsi="Courier New"/>
                <w:sz w:val="15"/>
                <w:szCs w:val="15"/>
                <w:color w:val="auto"/>
              </w:rPr>
              <w:t>Trustees for Fair Isaac Employee Stock</w:t>
            </w:r>
          </w:p>
        </w:tc>
        <w:tc>
          <w:tcPr>
            <w:tcW w:w="3080" w:type="dxa"/>
            <w:vAlign w:val="bottom"/>
          </w:tcPr>
          <w:p>
            <w:pPr>
              <w:spacing w:after="0"/>
              <w:rPr>
                <w:sz w:val="15"/>
                <w:szCs w:val="15"/>
                <w:color w:val="auto"/>
              </w:rPr>
            </w:pPr>
          </w:p>
        </w:tc>
        <w:tc>
          <w:tcPr>
            <w:tcW w:w="1440" w:type="dxa"/>
            <w:vAlign w:val="bottom"/>
          </w:tcPr>
          <w:p>
            <w:pPr>
              <w:spacing w:after="0"/>
              <w:rPr>
                <w:sz w:val="15"/>
                <w:szCs w:val="15"/>
                <w:color w:val="auto"/>
              </w:rPr>
            </w:pPr>
          </w:p>
        </w:tc>
      </w:tr>
      <w:tr>
        <w:trPr>
          <w:trHeight w:val="177"/>
        </w:trPr>
        <w:tc>
          <w:tcPr>
            <w:tcW w:w="5260" w:type="dxa"/>
            <w:vAlign w:val="bottom"/>
            <w:gridSpan w:val="2"/>
          </w:tcPr>
          <w:p>
            <w:pPr>
              <w:ind w:left="460"/>
              <w:spacing w:after="0"/>
              <w:rPr>
                <w:sz w:val="20"/>
                <w:szCs w:val="20"/>
                <w:color w:val="auto"/>
              </w:rPr>
            </w:pPr>
            <w:r>
              <w:rPr>
                <w:rFonts w:ascii="Courier New" w:cs="Courier New" w:eastAsia="Courier New" w:hAnsi="Courier New"/>
                <w:sz w:val="15"/>
                <w:szCs w:val="15"/>
                <w:color w:val="auto"/>
              </w:rPr>
              <w:t>Ownership Trust</w:t>
            </w:r>
          </w:p>
        </w:tc>
        <w:tc>
          <w:tcPr>
            <w:tcW w:w="3080" w:type="dxa"/>
            <w:vAlign w:val="bottom"/>
          </w:tcPr>
          <w:p>
            <w:pPr>
              <w:spacing w:after="0"/>
              <w:rPr>
                <w:sz w:val="15"/>
                <w:szCs w:val="15"/>
                <w:color w:val="auto"/>
              </w:rPr>
            </w:pPr>
          </w:p>
        </w:tc>
        <w:tc>
          <w:tcPr>
            <w:tcW w:w="1440" w:type="dxa"/>
            <w:vAlign w:val="bottom"/>
          </w:tcPr>
          <w:p>
            <w:pPr>
              <w:spacing w:after="0"/>
              <w:rPr>
                <w:sz w:val="15"/>
                <w:szCs w:val="15"/>
                <w:color w:val="auto"/>
              </w:rPr>
            </w:pPr>
          </w:p>
        </w:tc>
      </w:tr>
      <w:tr>
        <w:trPr>
          <w:trHeight w:val="177"/>
        </w:trPr>
        <w:tc>
          <w:tcPr>
            <w:tcW w:w="780" w:type="dxa"/>
            <w:vAlign w:val="bottom"/>
          </w:tcPr>
          <w:p>
            <w:pPr>
              <w:ind w:left="460"/>
              <w:spacing w:after="0"/>
              <w:rPr>
                <w:sz w:val="20"/>
                <w:szCs w:val="20"/>
                <w:color w:val="auto"/>
              </w:rPr>
            </w:pPr>
            <w:r>
              <w:rPr>
                <w:rFonts w:ascii="Courier New" w:cs="Courier New" w:eastAsia="Courier New" w:hAnsi="Courier New"/>
                <w:sz w:val="15"/>
                <w:szCs w:val="15"/>
                <w:color w:val="auto"/>
              </w:rPr>
              <w:t>120</w:t>
            </w:r>
          </w:p>
        </w:tc>
        <w:tc>
          <w:tcPr>
            <w:tcW w:w="4480" w:type="dxa"/>
            <w:vAlign w:val="bottom"/>
          </w:tcPr>
          <w:p>
            <w:pPr>
              <w:ind w:left="40"/>
              <w:spacing w:after="0"/>
              <w:rPr>
                <w:sz w:val="20"/>
                <w:szCs w:val="20"/>
                <w:color w:val="auto"/>
              </w:rPr>
            </w:pPr>
            <w:r>
              <w:rPr>
                <w:rFonts w:ascii="Courier New" w:cs="Courier New" w:eastAsia="Courier New" w:hAnsi="Courier New"/>
                <w:sz w:val="15"/>
                <w:szCs w:val="15"/>
                <w:color w:val="auto"/>
              </w:rPr>
              <w:t>North Redwood Drive</w:t>
            </w:r>
          </w:p>
        </w:tc>
        <w:tc>
          <w:tcPr>
            <w:tcW w:w="3080" w:type="dxa"/>
            <w:vAlign w:val="bottom"/>
          </w:tcPr>
          <w:p>
            <w:pPr>
              <w:spacing w:after="0"/>
              <w:rPr>
                <w:sz w:val="15"/>
                <w:szCs w:val="15"/>
                <w:color w:val="auto"/>
              </w:rPr>
            </w:pPr>
          </w:p>
        </w:tc>
        <w:tc>
          <w:tcPr>
            <w:tcW w:w="1440" w:type="dxa"/>
            <w:vAlign w:val="bottom"/>
          </w:tcPr>
          <w:p>
            <w:pPr>
              <w:spacing w:after="0"/>
              <w:rPr>
                <w:sz w:val="15"/>
                <w:szCs w:val="15"/>
                <w:color w:val="auto"/>
              </w:rPr>
            </w:pPr>
          </w:p>
        </w:tc>
      </w:tr>
      <w:tr>
        <w:trPr>
          <w:trHeight w:val="177"/>
        </w:trPr>
        <w:tc>
          <w:tcPr>
            <w:tcW w:w="780" w:type="dxa"/>
            <w:vAlign w:val="bottom"/>
          </w:tcPr>
          <w:p>
            <w:pPr>
              <w:ind w:left="460"/>
              <w:spacing w:after="0"/>
              <w:rPr>
                <w:sz w:val="20"/>
                <w:szCs w:val="20"/>
                <w:color w:val="auto"/>
              </w:rPr>
            </w:pPr>
            <w:r>
              <w:rPr>
                <w:rFonts w:ascii="Courier New" w:cs="Courier New" w:eastAsia="Courier New" w:hAnsi="Courier New"/>
                <w:sz w:val="15"/>
                <w:szCs w:val="15"/>
                <w:color w:val="auto"/>
              </w:rPr>
              <w:t>San</w:t>
            </w:r>
          </w:p>
        </w:tc>
        <w:tc>
          <w:tcPr>
            <w:tcW w:w="4480" w:type="dxa"/>
            <w:vAlign w:val="bottom"/>
          </w:tcPr>
          <w:p>
            <w:pPr>
              <w:ind w:left="40"/>
              <w:spacing w:after="0"/>
              <w:rPr>
                <w:sz w:val="20"/>
                <w:szCs w:val="20"/>
                <w:color w:val="auto"/>
              </w:rPr>
            </w:pPr>
            <w:r>
              <w:rPr>
                <w:rFonts w:ascii="Courier New" w:cs="Courier New" w:eastAsia="Courier New" w:hAnsi="Courier New"/>
                <w:sz w:val="15"/>
                <w:szCs w:val="15"/>
                <w:color w:val="auto"/>
              </w:rPr>
              <w:t>Rafael, CA 94903</w:t>
            </w:r>
          </w:p>
        </w:tc>
        <w:tc>
          <w:tcPr>
            <w:tcW w:w="3080" w:type="dxa"/>
            <w:vAlign w:val="bottom"/>
          </w:tcPr>
          <w:p>
            <w:pPr>
              <w:spacing w:after="0"/>
              <w:rPr>
                <w:sz w:val="15"/>
                <w:szCs w:val="15"/>
                <w:color w:val="auto"/>
              </w:rPr>
            </w:pPr>
          </w:p>
        </w:tc>
        <w:tc>
          <w:tcPr>
            <w:tcW w:w="1440" w:type="dxa"/>
            <w:vAlign w:val="bottom"/>
          </w:tcPr>
          <w:p>
            <w:pPr>
              <w:spacing w:after="0"/>
              <w:rPr>
                <w:sz w:val="15"/>
                <w:szCs w:val="15"/>
                <w:color w:val="auto"/>
              </w:rPr>
            </w:pPr>
          </w:p>
        </w:tc>
      </w:tr>
      <w:tr>
        <w:trPr>
          <w:trHeight w:val="355"/>
        </w:trPr>
        <w:tc>
          <w:tcPr>
            <w:tcW w:w="5260" w:type="dxa"/>
            <w:vAlign w:val="bottom"/>
            <w:gridSpan w:val="2"/>
          </w:tcPr>
          <w:p>
            <w:pPr>
              <w:spacing w:after="0"/>
              <w:rPr>
                <w:sz w:val="20"/>
                <w:szCs w:val="20"/>
                <w:color w:val="auto"/>
              </w:rPr>
            </w:pPr>
            <w:r>
              <w:rPr>
                <w:rFonts w:ascii="Courier New" w:cs="Courier New" w:eastAsia="Courier New" w:hAnsi="Courier New"/>
                <w:sz w:val="15"/>
                <w:szCs w:val="15"/>
                <w:color w:val="auto"/>
              </w:rPr>
              <w:t>Robert D. Sanderson(4)</w:t>
            </w:r>
          </w:p>
        </w:tc>
        <w:tc>
          <w:tcPr>
            <w:tcW w:w="3080" w:type="dxa"/>
            <w:vAlign w:val="bottom"/>
          </w:tcPr>
          <w:p>
            <w:pPr>
              <w:jc w:val="right"/>
              <w:ind w:right="883"/>
              <w:spacing w:after="0"/>
              <w:rPr>
                <w:sz w:val="20"/>
                <w:szCs w:val="20"/>
                <w:color w:val="auto"/>
              </w:rPr>
            </w:pPr>
            <w:r>
              <w:rPr>
                <w:rFonts w:ascii="Courier New" w:cs="Courier New" w:eastAsia="Courier New" w:hAnsi="Courier New"/>
                <w:sz w:val="15"/>
                <w:szCs w:val="15"/>
                <w:color w:val="auto"/>
              </w:rPr>
              <w:t>423,892</w:t>
            </w:r>
          </w:p>
        </w:tc>
        <w:tc>
          <w:tcPr>
            <w:tcW w:w="1440" w:type="dxa"/>
            <w:vAlign w:val="bottom"/>
          </w:tcPr>
          <w:p>
            <w:pPr>
              <w:jc w:val="right"/>
              <w:spacing w:after="0"/>
              <w:rPr>
                <w:sz w:val="20"/>
                <w:szCs w:val="20"/>
                <w:color w:val="auto"/>
              </w:rPr>
            </w:pPr>
            <w:r>
              <w:rPr>
                <w:rFonts w:ascii="Courier New" w:cs="Courier New" w:eastAsia="Courier New" w:hAnsi="Courier New"/>
                <w:sz w:val="15"/>
                <w:szCs w:val="15"/>
                <w:color w:val="auto"/>
              </w:rPr>
              <w:t>3.4%</w:t>
            </w:r>
          </w:p>
        </w:tc>
      </w:tr>
      <w:tr>
        <w:trPr>
          <w:trHeight w:val="177"/>
        </w:trPr>
        <w:tc>
          <w:tcPr>
            <w:tcW w:w="5260" w:type="dxa"/>
            <w:vAlign w:val="bottom"/>
            <w:gridSpan w:val="2"/>
          </w:tcPr>
          <w:p>
            <w:pPr>
              <w:spacing w:after="0"/>
              <w:rPr>
                <w:sz w:val="20"/>
                <w:szCs w:val="20"/>
                <w:color w:val="auto"/>
              </w:rPr>
            </w:pPr>
            <w:r>
              <w:rPr>
                <w:rFonts w:ascii="Courier New" w:cs="Courier New" w:eastAsia="Courier New" w:hAnsi="Courier New"/>
                <w:sz w:val="15"/>
                <w:szCs w:val="15"/>
                <w:color w:val="auto"/>
              </w:rPr>
              <w:t>Larry E. Rosenberger(4)</w:t>
            </w:r>
          </w:p>
        </w:tc>
        <w:tc>
          <w:tcPr>
            <w:tcW w:w="3080" w:type="dxa"/>
            <w:vAlign w:val="bottom"/>
          </w:tcPr>
          <w:p>
            <w:pPr>
              <w:jc w:val="right"/>
              <w:ind w:right="883"/>
              <w:spacing w:after="0"/>
              <w:rPr>
                <w:sz w:val="20"/>
                <w:szCs w:val="20"/>
                <w:color w:val="auto"/>
              </w:rPr>
            </w:pPr>
            <w:r>
              <w:rPr>
                <w:rFonts w:ascii="Courier New" w:cs="Courier New" w:eastAsia="Courier New" w:hAnsi="Courier New"/>
                <w:sz w:val="15"/>
                <w:szCs w:val="15"/>
                <w:color w:val="auto"/>
              </w:rPr>
              <w:t>282,550</w:t>
            </w:r>
          </w:p>
        </w:tc>
        <w:tc>
          <w:tcPr>
            <w:tcW w:w="1440" w:type="dxa"/>
            <w:vAlign w:val="bottom"/>
          </w:tcPr>
          <w:p>
            <w:pPr>
              <w:jc w:val="right"/>
              <w:spacing w:after="0"/>
              <w:rPr>
                <w:sz w:val="20"/>
                <w:szCs w:val="20"/>
                <w:color w:val="auto"/>
              </w:rPr>
            </w:pPr>
            <w:r>
              <w:rPr>
                <w:rFonts w:ascii="Courier New" w:cs="Courier New" w:eastAsia="Courier New" w:hAnsi="Courier New"/>
                <w:sz w:val="15"/>
                <w:szCs w:val="15"/>
                <w:color w:val="auto"/>
              </w:rPr>
              <w:t>2.2%</w:t>
            </w:r>
          </w:p>
        </w:tc>
      </w:tr>
      <w:tr>
        <w:trPr>
          <w:trHeight w:val="177"/>
        </w:trPr>
        <w:tc>
          <w:tcPr>
            <w:tcW w:w="5260" w:type="dxa"/>
            <w:vAlign w:val="bottom"/>
            <w:gridSpan w:val="2"/>
          </w:tcPr>
          <w:p>
            <w:pPr>
              <w:spacing w:after="0"/>
              <w:rPr>
                <w:sz w:val="20"/>
                <w:szCs w:val="20"/>
                <w:color w:val="auto"/>
              </w:rPr>
            </w:pPr>
            <w:r>
              <w:rPr>
                <w:rFonts w:ascii="Courier New" w:cs="Courier New" w:eastAsia="Courier New" w:hAnsi="Courier New"/>
                <w:sz w:val="15"/>
                <w:szCs w:val="15"/>
                <w:color w:val="auto"/>
              </w:rPr>
              <w:t>John D. Woldrich(4)</w:t>
            </w:r>
          </w:p>
        </w:tc>
        <w:tc>
          <w:tcPr>
            <w:tcW w:w="3080" w:type="dxa"/>
            <w:vAlign w:val="bottom"/>
          </w:tcPr>
          <w:p>
            <w:pPr>
              <w:jc w:val="right"/>
              <w:ind w:right="883"/>
              <w:spacing w:after="0"/>
              <w:rPr>
                <w:sz w:val="20"/>
                <w:szCs w:val="20"/>
                <w:color w:val="auto"/>
              </w:rPr>
            </w:pPr>
            <w:r>
              <w:rPr>
                <w:rFonts w:ascii="Courier New" w:cs="Courier New" w:eastAsia="Courier New" w:hAnsi="Courier New"/>
                <w:sz w:val="15"/>
                <w:szCs w:val="15"/>
                <w:color w:val="auto"/>
              </w:rPr>
              <w:t>141,529</w:t>
            </w:r>
          </w:p>
        </w:tc>
        <w:tc>
          <w:tcPr>
            <w:tcW w:w="1440" w:type="dxa"/>
            <w:vAlign w:val="bottom"/>
          </w:tcPr>
          <w:p>
            <w:pPr>
              <w:jc w:val="right"/>
              <w:spacing w:after="0"/>
              <w:rPr>
                <w:sz w:val="20"/>
                <w:szCs w:val="20"/>
                <w:color w:val="auto"/>
              </w:rPr>
            </w:pPr>
            <w:r>
              <w:rPr>
                <w:rFonts w:ascii="Courier New" w:cs="Courier New" w:eastAsia="Courier New" w:hAnsi="Courier New"/>
                <w:sz w:val="15"/>
                <w:szCs w:val="15"/>
                <w:color w:val="auto"/>
              </w:rPr>
              <w:t>1.1%</w:t>
            </w:r>
          </w:p>
        </w:tc>
      </w:tr>
      <w:tr>
        <w:trPr>
          <w:trHeight w:val="177"/>
        </w:trPr>
        <w:tc>
          <w:tcPr>
            <w:tcW w:w="5260" w:type="dxa"/>
            <w:vAlign w:val="bottom"/>
            <w:gridSpan w:val="2"/>
          </w:tcPr>
          <w:p>
            <w:pPr>
              <w:spacing w:after="0"/>
              <w:rPr>
                <w:sz w:val="20"/>
                <w:szCs w:val="20"/>
                <w:color w:val="auto"/>
              </w:rPr>
            </w:pPr>
            <w:r>
              <w:rPr>
                <w:rFonts w:ascii="Courier New" w:cs="Courier New" w:eastAsia="Courier New" w:hAnsi="Courier New"/>
                <w:sz w:val="15"/>
                <w:szCs w:val="15"/>
                <w:color w:val="auto"/>
              </w:rPr>
              <w:t>Patrick G. Culhane(4),(5)</w:t>
            </w:r>
          </w:p>
        </w:tc>
        <w:tc>
          <w:tcPr>
            <w:tcW w:w="3080" w:type="dxa"/>
            <w:vAlign w:val="bottom"/>
          </w:tcPr>
          <w:p>
            <w:pPr>
              <w:jc w:val="right"/>
              <w:ind w:right="883"/>
              <w:spacing w:after="0"/>
              <w:rPr>
                <w:sz w:val="20"/>
                <w:szCs w:val="20"/>
                <w:color w:val="auto"/>
              </w:rPr>
            </w:pPr>
            <w:r>
              <w:rPr>
                <w:rFonts w:ascii="Courier New" w:cs="Courier New" w:eastAsia="Courier New" w:hAnsi="Courier New"/>
                <w:sz w:val="15"/>
                <w:szCs w:val="15"/>
                <w:color w:val="auto"/>
              </w:rPr>
              <w:t>24,050</w:t>
            </w:r>
          </w:p>
        </w:tc>
        <w:tc>
          <w:tcPr>
            <w:tcW w:w="1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7"/>
        </w:trPr>
        <w:tc>
          <w:tcPr>
            <w:tcW w:w="5260" w:type="dxa"/>
            <w:vAlign w:val="bottom"/>
            <w:gridSpan w:val="2"/>
          </w:tcPr>
          <w:p>
            <w:pPr>
              <w:spacing w:after="0"/>
              <w:rPr>
                <w:sz w:val="20"/>
                <w:szCs w:val="20"/>
                <w:color w:val="auto"/>
              </w:rPr>
            </w:pPr>
            <w:r>
              <w:rPr>
                <w:rFonts w:ascii="Courier New" w:cs="Courier New" w:eastAsia="Courier New" w:hAnsi="Courier New"/>
                <w:sz w:val="15"/>
                <w:szCs w:val="15"/>
                <w:color w:val="auto"/>
              </w:rPr>
              <w:t>Gerald de Kerchove(4)</w:t>
            </w:r>
          </w:p>
        </w:tc>
        <w:tc>
          <w:tcPr>
            <w:tcW w:w="3080" w:type="dxa"/>
            <w:vAlign w:val="bottom"/>
          </w:tcPr>
          <w:p>
            <w:pPr>
              <w:jc w:val="right"/>
              <w:ind w:right="883"/>
              <w:spacing w:after="0"/>
              <w:rPr>
                <w:sz w:val="20"/>
                <w:szCs w:val="20"/>
                <w:color w:val="auto"/>
              </w:rPr>
            </w:pPr>
            <w:r>
              <w:rPr>
                <w:rFonts w:ascii="Courier New" w:cs="Courier New" w:eastAsia="Courier New" w:hAnsi="Courier New"/>
                <w:sz w:val="15"/>
                <w:szCs w:val="15"/>
                <w:color w:val="auto"/>
              </w:rPr>
              <w:t>137,310</w:t>
            </w:r>
          </w:p>
        </w:tc>
        <w:tc>
          <w:tcPr>
            <w:tcW w:w="1440" w:type="dxa"/>
            <w:vAlign w:val="bottom"/>
          </w:tcPr>
          <w:p>
            <w:pPr>
              <w:jc w:val="right"/>
              <w:spacing w:after="0"/>
              <w:rPr>
                <w:sz w:val="20"/>
                <w:szCs w:val="20"/>
                <w:color w:val="auto"/>
              </w:rPr>
            </w:pPr>
            <w:r>
              <w:rPr>
                <w:rFonts w:ascii="Courier New" w:cs="Courier New" w:eastAsia="Courier New" w:hAnsi="Courier New"/>
                <w:sz w:val="15"/>
                <w:szCs w:val="15"/>
                <w:color w:val="auto"/>
              </w:rPr>
              <w:t>1.1%</w:t>
            </w:r>
          </w:p>
        </w:tc>
      </w:tr>
      <w:tr>
        <w:trPr>
          <w:trHeight w:val="177"/>
        </w:trPr>
        <w:tc>
          <w:tcPr>
            <w:tcW w:w="5260" w:type="dxa"/>
            <w:vAlign w:val="bottom"/>
            <w:gridSpan w:val="2"/>
          </w:tcPr>
          <w:p>
            <w:pPr>
              <w:spacing w:after="0"/>
              <w:rPr>
                <w:sz w:val="20"/>
                <w:szCs w:val="20"/>
                <w:color w:val="auto"/>
              </w:rPr>
            </w:pPr>
            <w:r>
              <w:rPr>
                <w:rFonts w:ascii="Courier New" w:cs="Courier New" w:eastAsia="Courier New" w:hAnsi="Courier New"/>
                <w:sz w:val="15"/>
                <w:szCs w:val="15"/>
                <w:color w:val="auto"/>
              </w:rPr>
              <w:t>Barrett B. Roach(4)</w:t>
            </w:r>
          </w:p>
        </w:tc>
        <w:tc>
          <w:tcPr>
            <w:tcW w:w="3080" w:type="dxa"/>
            <w:vAlign w:val="bottom"/>
          </w:tcPr>
          <w:p>
            <w:pPr>
              <w:jc w:val="right"/>
              <w:ind w:right="883"/>
              <w:spacing w:after="0"/>
              <w:rPr>
                <w:sz w:val="20"/>
                <w:szCs w:val="20"/>
                <w:color w:val="auto"/>
              </w:rPr>
            </w:pPr>
            <w:r>
              <w:rPr>
                <w:rFonts w:ascii="Courier New" w:cs="Courier New" w:eastAsia="Courier New" w:hAnsi="Courier New"/>
                <w:sz w:val="15"/>
                <w:szCs w:val="15"/>
                <w:color w:val="auto"/>
              </w:rPr>
              <w:t>5,952</w:t>
            </w:r>
          </w:p>
        </w:tc>
        <w:tc>
          <w:tcPr>
            <w:tcW w:w="1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7"/>
        </w:trPr>
        <w:tc>
          <w:tcPr>
            <w:tcW w:w="5260" w:type="dxa"/>
            <w:vAlign w:val="bottom"/>
            <w:gridSpan w:val="2"/>
          </w:tcPr>
          <w:p>
            <w:pPr>
              <w:spacing w:after="0"/>
              <w:rPr>
                <w:sz w:val="20"/>
                <w:szCs w:val="20"/>
                <w:color w:val="auto"/>
              </w:rPr>
            </w:pPr>
            <w:r>
              <w:rPr>
                <w:rFonts w:ascii="Courier New" w:cs="Courier New" w:eastAsia="Courier New" w:hAnsi="Courier New"/>
                <w:sz w:val="15"/>
                <w:szCs w:val="15"/>
                <w:color w:val="auto"/>
              </w:rPr>
              <w:t>H. Robert Heller(6)</w:t>
            </w:r>
          </w:p>
        </w:tc>
        <w:tc>
          <w:tcPr>
            <w:tcW w:w="3080" w:type="dxa"/>
            <w:vAlign w:val="bottom"/>
          </w:tcPr>
          <w:p>
            <w:pPr>
              <w:jc w:val="right"/>
              <w:ind w:right="883"/>
              <w:spacing w:after="0"/>
              <w:rPr>
                <w:sz w:val="20"/>
                <w:szCs w:val="20"/>
                <w:color w:val="auto"/>
              </w:rPr>
            </w:pPr>
            <w:r>
              <w:rPr>
                <w:rFonts w:ascii="Courier New" w:cs="Courier New" w:eastAsia="Courier New" w:hAnsi="Courier New"/>
                <w:sz w:val="15"/>
                <w:szCs w:val="15"/>
                <w:color w:val="auto"/>
              </w:rPr>
              <w:t>17,000</w:t>
            </w:r>
          </w:p>
        </w:tc>
        <w:tc>
          <w:tcPr>
            <w:tcW w:w="1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7"/>
        </w:trPr>
        <w:tc>
          <w:tcPr>
            <w:tcW w:w="5260" w:type="dxa"/>
            <w:vAlign w:val="bottom"/>
            <w:gridSpan w:val="2"/>
          </w:tcPr>
          <w:p>
            <w:pPr>
              <w:spacing w:after="0"/>
              <w:rPr>
                <w:sz w:val="20"/>
                <w:szCs w:val="20"/>
                <w:color w:val="auto"/>
              </w:rPr>
            </w:pPr>
            <w:r>
              <w:rPr>
                <w:rFonts w:ascii="Courier New" w:cs="Courier New" w:eastAsia="Courier New" w:hAnsi="Courier New"/>
                <w:sz w:val="15"/>
                <w:szCs w:val="15"/>
                <w:color w:val="auto"/>
              </w:rPr>
              <w:t>A. George Battle(7)</w:t>
            </w:r>
          </w:p>
        </w:tc>
        <w:tc>
          <w:tcPr>
            <w:tcW w:w="3080" w:type="dxa"/>
            <w:vAlign w:val="bottom"/>
          </w:tcPr>
          <w:p>
            <w:pPr>
              <w:jc w:val="right"/>
              <w:ind w:right="883"/>
              <w:spacing w:after="0"/>
              <w:rPr>
                <w:sz w:val="20"/>
                <w:szCs w:val="20"/>
                <w:color w:val="auto"/>
              </w:rPr>
            </w:pPr>
            <w:r>
              <w:rPr>
                <w:rFonts w:ascii="Courier New" w:cs="Courier New" w:eastAsia="Courier New" w:hAnsi="Courier New"/>
                <w:sz w:val="15"/>
                <w:szCs w:val="15"/>
                <w:color w:val="auto"/>
              </w:rPr>
              <w:t>900</w:t>
            </w:r>
          </w:p>
        </w:tc>
        <w:tc>
          <w:tcPr>
            <w:tcW w:w="1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7"/>
        </w:trPr>
        <w:tc>
          <w:tcPr>
            <w:tcW w:w="5260" w:type="dxa"/>
            <w:vAlign w:val="bottom"/>
            <w:gridSpan w:val="2"/>
          </w:tcPr>
          <w:p>
            <w:pPr>
              <w:spacing w:after="0"/>
              <w:rPr>
                <w:sz w:val="20"/>
                <w:szCs w:val="20"/>
                <w:color w:val="auto"/>
              </w:rPr>
            </w:pPr>
            <w:r>
              <w:rPr>
                <w:rFonts w:ascii="Courier New" w:cs="Courier New" w:eastAsia="Courier New" w:hAnsi="Courier New"/>
                <w:sz w:val="15"/>
                <w:szCs w:val="15"/>
                <w:color w:val="auto"/>
              </w:rPr>
              <w:t>Bryant J. Brooks(6)</w:t>
            </w:r>
          </w:p>
        </w:tc>
        <w:tc>
          <w:tcPr>
            <w:tcW w:w="3080" w:type="dxa"/>
            <w:vAlign w:val="bottom"/>
          </w:tcPr>
          <w:p>
            <w:pPr>
              <w:jc w:val="right"/>
              <w:ind w:right="883"/>
              <w:spacing w:after="0"/>
              <w:rPr>
                <w:sz w:val="20"/>
                <w:szCs w:val="20"/>
                <w:color w:val="auto"/>
              </w:rPr>
            </w:pPr>
            <w:r>
              <w:rPr>
                <w:rFonts w:ascii="Courier New" w:cs="Courier New" w:eastAsia="Courier New" w:hAnsi="Courier New"/>
                <w:sz w:val="15"/>
                <w:szCs w:val="15"/>
                <w:color w:val="auto"/>
              </w:rPr>
              <w:t>18,000</w:t>
            </w:r>
          </w:p>
        </w:tc>
        <w:tc>
          <w:tcPr>
            <w:tcW w:w="1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7"/>
        </w:trPr>
        <w:tc>
          <w:tcPr>
            <w:tcW w:w="5260" w:type="dxa"/>
            <w:vAlign w:val="bottom"/>
            <w:gridSpan w:val="2"/>
          </w:tcPr>
          <w:p>
            <w:pPr>
              <w:spacing w:after="0"/>
              <w:rPr>
                <w:sz w:val="20"/>
                <w:szCs w:val="20"/>
                <w:color w:val="auto"/>
              </w:rPr>
            </w:pPr>
            <w:r>
              <w:rPr>
                <w:rFonts w:ascii="Courier New" w:cs="Courier New" w:eastAsia="Courier New" w:hAnsi="Courier New"/>
                <w:sz w:val="15"/>
                <w:szCs w:val="15"/>
                <w:color w:val="auto"/>
              </w:rPr>
              <w:t>Guy R. Henshaw(6)</w:t>
            </w:r>
          </w:p>
        </w:tc>
        <w:tc>
          <w:tcPr>
            <w:tcW w:w="3080" w:type="dxa"/>
            <w:vAlign w:val="bottom"/>
          </w:tcPr>
          <w:p>
            <w:pPr>
              <w:jc w:val="right"/>
              <w:ind w:right="883"/>
              <w:spacing w:after="0"/>
              <w:rPr>
                <w:sz w:val="20"/>
                <w:szCs w:val="20"/>
                <w:color w:val="auto"/>
              </w:rPr>
            </w:pPr>
            <w:r>
              <w:rPr>
                <w:rFonts w:ascii="Courier New" w:cs="Courier New" w:eastAsia="Courier New" w:hAnsi="Courier New"/>
                <w:sz w:val="15"/>
                <w:szCs w:val="15"/>
                <w:color w:val="auto"/>
              </w:rPr>
              <w:t>17,000</w:t>
            </w:r>
          </w:p>
        </w:tc>
        <w:tc>
          <w:tcPr>
            <w:tcW w:w="1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7"/>
        </w:trPr>
        <w:tc>
          <w:tcPr>
            <w:tcW w:w="5260" w:type="dxa"/>
            <w:vAlign w:val="bottom"/>
            <w:gridSpan w:val="2"/>
          </w:tcPr>
          <w:p>
            <w:pPr>
              <w:spacing w:after="0"/>
              <w:rPr>
                <w:sz w:val="20"/>
                <w:szCs w:val="20"/>
                <w:color w:val="auto"/>
              </w:rPr>
            </w:pPr>
            <w:r>
              <w:rPr>
                <w:rFonts w:ascii="Courier New" w:cs="Courier New" w:eastAsia="Courier New" w:hAnsi="Courier New"/>
                <w:sz w:val="15"/>
                <w:szCs w:val="15"/>
                <w:color w:val="auto"/>
              </w:rPr>
              <w:t>David S. P. Hopkins(6)</w:t>
            </w:r>
          </w:p>
        </w:tc>
        <w:tc>
          <w:tcPr>
            <w:tcW w:w="3080" w:type="dxa"/>
            <w:vAlign w:val="bottom"/>
          </w:tcPr>
          <w:p>
            <w:pPr>
              <w:jc w:val="right"/>
              <w:ind w:right="883"/>
              <w:spacing w:after="0"/>
              <w:rPr>
                <w:sz w:val="20"/>
                <w:szCs w:val="20"/>
                <w:color w:val="auto"/>
              </w:rPr>
            </w:pPr>
            <w:r>
              <w:rPr>
                <w:rFonts w:ascii="Courier New" w:cs="Courier New" w:eastAsia="Courier New" w:hAnsi="Courier New"/>
                <w:sz w:val="15"/>
                <w:szCs w:val="15"/>
                <w:color w:val="auto"/>
              </w:rPr>
              <w:t>17,000</w:t>
            </w:r>
          </w:p>
        </w:tc>
        <w:tc>
          <w:tcPr>
            <w:tcW w:w="1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7"/>
        </w:trPr>
        <w:tc>
          <w:tcPr>
            <w:tcW w:w="5260" w:type="dxa"/>
            <w:vAlign w:val="bottom"/>
            <w:gridSpan w:val="2"/>
          </w:tcPr>
          <w:p>
            <w:pPr>
              <w:spacing w:after="0"/>
              <w:rPr>
                <w:sz w:val="20"/>
                <w:szCs w:val="20"/>
                <w:color w:val="auto"/>
              </w:rPr>
            </w:pPr>
            <w:r>
              <w:rPr>
                <w:rFonts w:ascii="Courier New" w:cs="Courier New" w:eastAsia="Courier New" w:hAnsi="Courier New"/>
                <w:sz w:val="15"/>
                <w:szCs w:val="15"/>
                <w:color w:val="auto"/>
              </w:rPr>
              <w:t>Robert M. Oliver(8)</w:t>
            </w:r>
          </w:p>
        </w:tc>
        <w:tc>
          <w:tcPr>
            <w:tcW w:w="3080" w:type="dxa"/>
            <w:vAlign w:val="bottom"/>
          </w:tcPr>
          <w:p>
            <w:pPr>
              <w:jc w:val="right"/>
              <w:ind w:right="883"/>
              <w:spacing w:after="0"/>
              <w:rPr>
                <w:sz w:val="20"/>
                <w:szCs w:val="20"/>
                <w:color w:val="auto"/>
              </w:rPr>
            </w:pPr>
            <w:r>
              <w:rPr>
                <w:rFonts w:ascii="Courier New" w:cs="Courier New" w:eastAsia="Courier New" w:hAnsi="Courier New"/>
                <w:sz w:val="15"/>
                <w:szCs w:val="15"/>
                <w:color w:val="auto"/>
              </w:rPr>
              <w:t>53,000</w:t>
            </w:r>
          </w:p>
        </w:tc>
        <w:tc>
          <w:tcPr>
            <w:tcW w:w="1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7"/>
        </w:trPr>
        <w:tc>
          <w:tcPr>
            <w:tcW w:w="5260" w:type="dxa"/>
            <w:vAlign w:val="bottom"/>
            <w:gridSpan w:val="2"/>
          </w:tcPr>
          <w:p>
            <w:pPr>
              <w:spacing w:after="0"/>
              <w:rPr>
                <w:sz w:val="20"/>
                <w:szCs w:val="20"/>
                <w:color w:val="auto"/>
              </w:rPr>
            </w:pPr>
            <w:r>
              <w:rPr>
                <w:rFonts w:ascii="Courier New" w:cs="Courier New" w:eastAsia="Courier New" w:hAnsi="Courier New"/>
                <w:sz w:val="15"/>
                <w:szCs w:val="15"/>
                <w:color w:val="auto"/>
              </w:rPr>
              <w:t>All executive officers and directors as</w:t>
            </w:r>
          </w:p>
        </w:tc>
        <w:tc>
          <w:tcPr>
            <w:tcW w:w="3080" w:type="dxa"/>
            <w:vAlign w:val="bottom"/>
          </w:tcPr>
          <w:p>
            <w:pPr>
              <w:spacing w:after="0"/>
              <w:rPr>
                <w:sz w:val="15"/>
                <w:szCs w:val="15"/>
                <w:color w:val="auto"/>
              </w:rPr>
            </w:pPr>
          </w:p>
        </w:tc>
        <w:tc>
          <w:tcPr>
            <w:tcW w:w="1440" w:type="dxa"/>
            <w:vAlign w:val="bottom"/>
          </w:tcPr>
          <w:p>
            <w:pPr>
              <w:spacing w:after="0"/>
              <w:rPr>
                <w:sz w:val="15"/>
                <w:szCs w:val="15"/>
                <w:color w:val="auto"/>
              </w:rPr>
            </w:pPr>
          </w:p>
        </w:tc>
      </w:tr>
      <w:tr>
        <w:trPr>
          <w:trHeight w:val="177"/>
        </w:trPr>
        <w:tc>
          <w:tcPr>
            <w:tcW w:w="5260" w:type="dxa"/>
            <w:vAlign w:val="bottom"/>
            <w:gridSpan w:val="2"/>
          </w:tcPr>
          <w:p>
            <w:pPr>
              <w:ind w:left="460"/>
              <w:spacing w:after="0"/>
              <w:rPr>
                <w:sz w:val="20"/>
                <w:szCs w:val="20"/>
                <w:color w:val="auto"/>
              </w:rPr>
            </w:pPr>
            <w:r>
              <w:rPr>
                <w:rFonts w:ascii="Courier New" w:cs="Courier New" w:eastAsia="Courier New" w:hAnsi="Courier New"/>
                <w:sz w:val="15"/>
                <w:szCs w:val="15"/>
                <w:color w:val="auto"/>
              </w:rPr>
              <w:t>a group (16 persons)(4), (9)</w:t>
            </w:r>
          </w:p>
        </w:tc>
        <w:tc>
          <w:tcPr>
            <w:tcW w:w="3080" w:type="dxa"/>
            <w:vAlign w:val="bottom"/>
          </w:tcPr>
          <w:p>
            <w:pPr>
              <w:jc w:val="right"/>
              <w:ind w:right="883"/>
              <w:spacing w:after="0"/>
              <w:rPr>
                <w:sz w:val="20"/>
                <w:szCs w:val="20"/>
                <w:color w:val="auto"/>
              </w:rPr>
            </w:pPr>
            <w:r>
              <w:rPr>
                <w:rFonts w:ascii="Courier New" w:cs="Courier New" w:eastAsia="Courier New" w:hAnsi="Courier New"/>
                <w:sz w:val="15"/>
                <w:szCs w:val="15"/>
                <w:color w:val="auto"/>
              </w:rPr>
              <w:t>1,306,439</w:t>
            </w:r>
          </w:p>
        </w:tc>
        <w:tc>
          <w:tcPr>
            <w:tcW w:w="1440" w:type="dxa"/>
            <w:vAlign w:val="bottom"/>
          </w:tcPr>
          <w:p>
            <w:pPr>
              <w:jc w:val="right"/>
              <w:spacing w:after="0"/>
              <w:rPr>
                <w:sz w:val="20"/>
                <w:szCs w:val="20"/>
                <w:color w:val="auto"/>
              </w:rPr>
            </w:pPr>
            <w:r>
              <w:rPr>
                <w:rFonts w:ascii="Courier New" w:cs="Courier New" w:eastAsia="Courier New" w:hAnsi="Courier New"/>
                <w:sz w:val="15"/>
                <w:szCs w:val="15"/>
                <w:color w:val="auto"/>
              </w:rPr>
              <w:t>10.3%</w:t>
            </w:r>
          </w:p>
        </w:tc>
      </w:tr>
    </w:tbl>
    <w:p>
      <w:pPr>
        <w:spacing w:after="0" w:line="360" w:lineRule="exact"/>
        <w:rPr>
          <w:sz w:val="20"/>
          <w:szCs w:val="20"/>
          <w:color w:val="auto"/>
        </w:rPr>
      </w:pPr>
    </w:p>
    <w:p>
      <w:pPr>
        <w:ind w:left="825" w:hanging="825"/>
        <w:spacing w:after="0"/>
        <w:tabs>
          <w:tab w:leader="none" w:pos="825"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holdings of less than one percent.</w:t>
      </w:r>
    </w:p>
    <w:p>
      <w:pPr>
        <w:spacing w:after="0" w:line="185" w:lineRule="exact"/>
        <w:rPr>
          <w:sz w:val="20"/>
          <w:szCs w:val="20"/>
          <w:color w:val="auto"/>
        </w:rPr>
      </w:pPr>
    </w:p>
    <w:p>
      <w:pPr>
        <w:jc w:val="both"/>
        <w:ind w:left="825" w:right="2839" w:hanging="825"/>
        <w:spacing w:after="0" w:line="252" w:lineRule="auto"/>
        <w:tabs>
          <w:tab w:leader="none" w:pos="825"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the Company's knowledge the persons named in the table have sole voting and investment power with respect to all shares shown as beneficially owned by them, subject to community property laws where applicable and the information contained in the footnotes to this table.</w:t>
      </w:r>
    </w:p>
    <w:p>
      <w:pPr>
        <w:spacing w:after="0" w:line="351" w:lineRule="exact"/>
        <w:rPr>
          <w:sz w:val="20"/>
          <w:szCs w:val="20"/>
          <w:color w:val="auto"/>
        </w:rPr>
      </w:pPr>
    </w:p>
    <w:p>
      <w:pPr>
        <w:ind w:left="7285"/>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25"/>
          </w:cols>
          <w:pgMar w:left="235" w:top="1005" w:right="1440" w:bottom="1440" w:gutter="0" w:footer="0" w:header="0"/>
        </w:sectPr>
      </w:pPr>
    </w:p>
    <w:bookmarkStart w:id="8" w:name="page9"/>
    <w:bookmarkEnd w:id="8"/>
    <w:p>
      <w:pPr>
        <w:jc w:val="both"/>
        <w:ind w:left="825" w:right="2839" w:hanging="825"/>
        <w:spacing w:after="0" w:line="250" w:lineRule="auto"/>
        <w:tabs>
          <w:tab w:leader="none" w:pos="825"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1,808,361 shares held by Inger J. Fair and her adult children as co-trustees and as beneficiaries of The William Rodden Fair and Inger Johanne Fair Revocable Trust, Trust A under The William and Inger Fair Trust Agreement dated 3/8/86, Trust B Exempt under the William and Inger Fair Trust Agreement dated 3/20/86 and Trust B Non-Exempt under the William and Inger Fair Trust Agreement dated 3/28/86. Christian I. Fair, Ellen I. Fair and Erik E. Fair each disclaim beneficial interest in the shares held by the trust except to the extent of such person's pecuniary interest in such trust. Includes options for 16,000 shares exercisable by Inger J. Fair.</w:t>
      </w:r>
    </w:p>
    <w:p>
      <w:pPr>
        <w:spacing w:after="0" w:line="181" w:lineRule="exact"/>
        <w:rPr>
          <w:rFonts w:ascii="Courier New" w:cs="Courier New" w:eastAsia="Courier New" w:hAnsi="Courier New"/>
          <w:sz w:val="15"/>
          <w:szCs w:val="15"/>
          <w:color w:val="auto"/>
        </w:rPr>
      </w:pPr>
    </w:p>
    <w:p>
      <w:pPr>
        <w:jc w:val="both"/>
        <w:ind w:left="825" w:right="2839" w:hanging="825"/>
        <w:spacing w:after="0" w:line="251" w:lineRule="auto"/>
        <w:tabs>
          <w:tab w:leader="none" w:pos="825"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Does not include 262,633 shares held directly by Mrs. Isaac's adult children nor 119,880 shares held by Mrs. Isaac as trustee for her adult children. Mrs. Isaac disclaims beneficial ownership of such shares. Includes 247,500 shares held as co-trustee (with F. L. Adams) and as beneficiary under a trust.</w:t>
      </w:r>
    </w:p>
    <w:p>
      <w:pPr>
        <w:spacing w:after="0" w:line="176" w:lineRule="exact"/>
        <w:rPr>
          <w:rFonts w:ascii="Courier New" w:cs="Courier New" w:eastAsia="Courier New" w:hAnsi="Courier New"/>
          <w:sz w:val="15"/>
          <w:szCs w:val="15"/>
          <w:color w:val="auto"/>
        </w:rPr>
      </w:pPr>
    </w:p>
    <w:p>
      <w:pPr>
        <w:jc w:val="both"/>
        <w:ind w:left="825" w:right="2839" w:hanging="825"/>
        <w:spacing w:after="0" w:line="251" w:lineRule="auto"/>
        <w:tabs>
          <w:tab w:leader="none" w:pos="825"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the shares allocated to such individual's account under the Company's Employee Stock Ownership Plan (amounts have been rounded to the nearest share). Shares allocated to the accounts of listed individuals are also included in the total shown for the Trustees of the Employee Stock Ownership Trust.</w:t>
      </w:r>
    </w:p>
    <w:p>
      <w:pPr>
        <w:spacing w:after="0" w:line="176" w:lineRule="exact"/>
        <w:rPr>
          <w:rFonts w:ascii="Courier New" w:cs="Courier New" w:eastAsia="Courier New" w:hAnsi="Courier New"/>
          <w:sz w:val="15"/>
          <w:szCs w:val="15"/>
          <w:color w:val="auto"/>
        </w:rPr>
      </w:pPr>
    </w:p>
    <w:p>
      <w:pPr>
        <w:ind w:left="825" w:right="2839" w:hanging="825"/>
        <w:spacing w:after="0" w:line="253" w:lineRule="auto"/>
        <w:tabs>
          <w:tab w:leader="none" w:pos="825"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19,222 restricted shares issued pursuant to an incentive compensation agreement.</w:t>
      </w:r>
    </w:p>
    <w:p>
      <w:pPr>
        <w:spacing w:after="0" w:line="174" w:lineRule="exact"/>
        <w:rPr>
          <w:rFonts w:ascii="Courier New" w:cs="Courier New" w:eastAsia="Courier New" w:hAnsi="Courier New"/>
          <w:sz w:val="15"/>
          <w:szCs w:val="15"/>
          <w:color w:val="auto"/>
        </w:rPr>
      </w:pPr>
    </w:p>
    <w:p>
      <w:pPr>
        <w:ind w:left="825" w:hanging="825"/>
        <w:spacing w:after="0"/>
        <w:tabs>
          <w:tab w:leader="none" w:pos="825"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options for 17,000 shares.</w:t>
      </w:r>
    </w:p>
    <w:p>
      <w:pPr>
        <w:spacing w:after="0" w:line="184" w:lineRule="exact"/>
        <w:rPr>
          <w:rFonts w:ascii="Courier New" w:cs="Courier New" w:eastAsia="Courier New" w:hAnsi="Courier New"/>
          <w:sz w:val="15"/>
          <w:szCs w:val="15"/>
          <w:color w:val="auto"/>
        </w:rPr>
      </w:pPr>
    </w:p>
    <w:p>
      <w:pPr>
        <w:jc w:val="both"/>
        <w:ind w:left="825" w:right="2839" w:hanging="825"/>
        <w:spacing w:after="0" w:line="252" w:lineRule="auto"/>
        <w:tabs>
          <w:tab w:leader="none" w:pos="825"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300 shares held by Mr. Battle's son who resides with him and includes 100 shares held by his sister for whom he has dispositive power. Mr. Battle disclaims beneficial ownership of such shares.</w:t>
      </w:r>
    </w:p>
    <w:p>
      <w:pPr>
        <w:spacing w:after="0" w:line="174" w:lineRule="exact"/>
        <w:rPr>
          <w:rFonts w:ascii="Courier New" w:cs="Courier New" w:eastAsia="Courier New" w:hAnsi="Courier New"/>
          <w:sz w:val="15"/>
          <w:szCs w:val="15"/>
          <w:color w:val="auto"/>
        </w:rPr>
      </w:pPr>
    </w:p>
    <w:p>
      <w:pPr>
        <w:jc w:val="both"/>
        <w:ind w:left="825" w:right="2839" w:hanging="825"/>
        <w:spacing w:after="0" w:line="251" w:lineRule="auto"/>
        <w:tabs>
          <w:tab w:leader="none" w:pos="825"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2,000 shares held in an Individual Retirement Account ("IRA") for Dr. Oliver, 4,000 shares held in an IRA by his wife, 11,000 shares held jointly by Dr. Oliver and his wife, 24,000 shares held as trustee and as beneficiary under a trust, and options for 12,000 shares.</w:t>
      </w:r>
    </w:p>
    <w:p>
      <w:pPr>
        <w:spacing w:after="0" w:line="176" w:lineRule="exact"/>
        <w:rPr>
          <w:rFonts w:ascii="Courier New" w:cs="Courier New" w:eastAsia="Courier New" w:hAnsi="Courier New"/>
          <w:sz w:val="15"/>
          <w:szCs w:val="15"/>
          <w:color w:val="auto"/>
        </w:rPr>
      </w:pPr>
    </w:p>
    <w:p>
      <w:pPr>
        <w:jc w:val="both"/>
        <w:ind w:left="825" w:right="2839" w:hanging="825"/>
        <w:spacing w:after="0" w:line="252" w:lineRule="auto"/>
        <w:tabs>
          <w:tab w:leader="none" w:pos="825"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Excludes shares excluded in note (3) above. Includes shares included in notes (3), (4), (5), (6), (7) and (8) above, including a total of 161,730 shares subject to exercisable options.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Compensation of Directors and Executive Officers</w:t>
      </w:r>
    </w:p>
    <w:p>
      <w:pPr>
        <w:spacing w:after="0" w:line="8"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Directors' Compensation</w:t>
      </w:r>
    </w:p>
    <w:p>
      <w:pPr>
        <w:spacing w:after="0" w:line="185" w:lineRule="exact"/>
        <w:rPr>
          <w:sz w:val="20"/>
          <w:szCs w:val="20"/>
          <w:color w:val="auto"/>
        </w:rPr>
      </w:pPr>
    </w:p>
    <w:p>
      <w:pPr>
        <w:jc w:val="both"/>
        <w:ind w:left="5" w:right="2839" w:firstLine="461"/>
        <w:spacing w:after="0" w:line="251" w:lineRule="auto"/>
        <w:rPr>
          <w:sz w:val="20"/>
          <w:szCs w:val="20"/>
          <w:color w:val="auto"/>
        </w:rPr>
      </w:pPr>
      <w:r>
        <w:rPr>
          <w:rFonts w:ascii="Courier New" w:cs="Courier New" w:eastAsia="Courier New" w:hAnsi="Courier New"/>
          <w:sz w:val="15"/>
          <w:szCs w:val="15"/>
          <w:color w:val="auto"/>
        </w:rPr>
        <w:t>Non-employee directors other than the Chairman are currently compensated at the rate of $12,000 per year plus $1,000 for each Board meeting attended. The Chairman is currently compensated at the rate of $100,000 per year for services as Chairman and other consulting work, plus $2,000 for each Board meeting attended. All directors other than the Chairman are paid $125 per hour for committee meetings and other special assignments. See also below under "Director Consulting Arrangements."</w:t>
      </w:r>
    </w:p>
    <w:p>
      <w:pPr>
        <w:spacing w:after="0" w:line="176" w:lineRule="exact"/>
        <w:rPr>
          <w:sz w:val="20"/>
          <w:szCs w:val="20"/>
          <w:color w:val="auto"/>
        </w:rPr>
      </w:pPr>
    </w:p>
    <w:p>
      <w:pPr>
        <w:jc w:val="both"/>
        <w:ind w:left="5" w:right="2839" w:firstLine="461"/>
        <w:spacing w:after="0" w:line="250" w:lineRule="auto"/>
        <w:rPr>
          <w:sz w:val="20"/>
          <w:szCs w:val="20"/>
          <w:color w:val="auto"/>
        </w:rPr>
      </w:pPr>
      <w:r>
        <w:rPr>
          <w:rFonts w:ascii="Courier New" w:cs="Courier New" w:eastAsia="Courier New" w:hAnsi="Courier New"/>
          <w:sz w:val="15"/>
          <w:szCs w:val="15"/>
          <w:color w:val="auto"/>
        </w:rPr>
        <w:t>Under the Company's 1992 Long-term Incentive Plan as amended and restated effective November 21, 1995, members of the Board of Directors who are not employees of the Company ("Outside Directors") currently receive a grant of 10,000 nonqualified stock options (the "Initial Grant") upon election as an Outside Director and a grant of nonqualified options for 1,000 shares on the date of the annual meeting provided such person has been an Outside Director since the prior annual meeting (the "Annual Grant"). The exercise price of all such options is equal to the fair market value of Common Stock on the date of grant. The Initial Grants vest in 20% increments on each of the first through fifth anniversary dates of such person's</w:t>
      </w:r>
    </w:p>
    <w:p>
      <w:pPr>
        <w:spacing w:after="0" w:line="182" w:lineRule="exact"/>
        <w:rPr>
          <w:sz w:val="20"/>
          <w:szCs w:val="20"/>
          <w:color w:val="auto"/>
        </w:rPr>
      </w:pPr>
    </w:p>
    <w:p>
      <w:pPr>
        <w:jc w:val="right"/>
        <w:ind w:right="2839"/>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25"/>
          </w:cols>
          <w:pgMar w:left="235" w:top="650" w:right="1440" w:bottom="1440" w:gutter="0" w:footer="0" w:header="0"/>
        </w:sectPr>
      </w:pPr>
    </w:p>
    <w:bookmarkStart w:id="9" w:name="page10"/>
    <w:bookmarkEnd w:id="9"/>
    <w:p>
      <w:pPr>
        <w:jc w:val="both"/>
        <w:ind w:left="5" w:right="3220"/>
        <w:spacing w:after="0" w:line="251" w:lineRule="auto"/>
        <w:rPr>
          <w:sz w:val="20"/>
          <w:szCs w:val="20"/>
          <w:color w:val="auto"/>
        </w:rPr>
      </w:pPr>
      <w:r>
        <w:rPr>
          <w:rFonts w:ascii="Courier New" w:cs="Courier New" w:eastAsia="Courier New" w:hAnsi="Courier New"/>
          <w:sz w:val="15"/>
          <w:szCs w:val="15"/>
          <w:color w:val="auto"/>
        </w:rPr>
        <w:t>election as a director and expire ten years after grant. Annual Grants vest one year after grant and expire five years after grant. All such options granted to an Outside Director are also exercisable in full in the event of the termination of such Outside Director's service because of death, total and permanent disability or voluntary retirement at or after age 65, or a change in control with respect to the Company.</w:t>
      </w:r>
    </w:p>
    <w:p>
      <w:pPr>
        <w:spacing w:after="0" w:line="200" w:lineRule="exact"/>
        <w:rPr>
          <w:sz w:val="20"/>
          <w:szCs w:val="20"/>
          <w:color w:val="auto"/>
        </w:rPr>
      </w:pPr>
    </w:p>
    <w:p>
      <w:pPr>
        <w:spacing w:after="0" w:line="331"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Compensation of Executive Officers</w:t>
      </w:r>
    </w:p>
    <w:p>
      <w:pPr>
        <w:spacing w:after="0" w:line="185" w:lineRule="exact"/>
        <w:rPr>
          <w:sz w:val="20"/>
          <w:szCs w:val="20"/>
          <w:color w:val="auto"/>
        </w:rPr>
      </w:pPr>
    </w:p>
    <w:p>
      <w:pPr>
        <w:jc w:val="both"/>
        <w:ind w:left="5" w:right="3220" w:firstLine="461"/>
        <w:spacing w:after="0" w:line="251" w:lineRule="auto"/>
        <w:rPr>
          <w:sz w:val="20"/>
          <w:szCs w:val="20"/>
          <w:color w:val="auto"/>
        </w:rPr>
      </w:pPr>
      <w:r>
        <w:rPr>
          <w:rFonts w:ascii="Courier New" w:cs="Courier New" w:eastAsia="Courier New" w:hAnsi="Courier New"/>
          <w:sz w:val="15"/>
          <w:szCs w:val="15"/>
          <w:color w:val="auto"/>
        </w:rPr>
        <w:t>The following table sets forth the cash and non-cash compensation awarded to, earned by or paid to the Chief Executive Officer and each of the other four most highly compensated executive officers of the Company for services rendered in all capacities to the Company and its subsidiaries during the last fiscal year.</w:t>
      </w:r>
    </w:p>
    <w:p>
      <w:pPr>
        <w:spacing w:after="0" w:line="354"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Summary Compensation Table</w:t>
      </w:r>
    </w:p>
    <w:p>
      <w:pPr>
        <w:spacing w:after="0" w:line="362" w:lineRule="exact"/>
        <w:rPr>
          <w:sz w:val="20"/>
          <w:szCs w:val="20"/>
          <w:color w:val="auto"/>
        </w:rPr>
      </w:pPr>
    </w:p>
    <w:p>
      <w:pPr>
        <w:ind w:left="7105"/>
        <w:spacing w:after="0"/>
        <w:rPr>
          <w:sz w:val="20"/>
          <w:szCs w:val="20"/>
          <w:color w:val="auto"/>
        </w:rPr>
      </w:pPr>
      <w:r>
        <w:rPr>
          <w:rFonts w:ascii="Courier New" w:cs="Courier New" w:eastAsia="Courier New" w:hAnsi="Courier New"/>
          <w:sz w:val="15"/>
          <w:szCs w:val="15"/>
          <w:color w:val="auto"/>
        </w:rPr>
        <w:t>Long-Term Compensation</w:t>
      </w:r>
    </w:p>
    <w:p>
      <w:pPr>
        <w:spacing w:after="0" w:line="8" w:lineRule="exact"/>
        <w:rPr>
          <w:sz w:val="20"/>
          <w:szCs w:val="20"/>
          <w:color w:val="auto"/>
        </w:rPr>
      </w:pPr>
    </w:p>
    <w:p>
      <w:pPr>
        <w:ind w:left="3405"/>
        <w:spacing w:after="0"/>
        <w:tabs>
          <w:tab w:leader="none" w:pos="5885" w:val="left"/>
        </w:tabs>
        <w:rPr>
          <w:sz w:val="20"/>
          <w:szCs w:val="20"/>
          <w:color w:val="auto"/>
        </w:rPr>
      </w:pPr>
      <w:r>
        <w:rPr>
          <w:rFonts w:ascii="Courier New" w:cs="Courier New" w:eastAsia="Courier New" w:hAnsi="Courier New"/>
          <w:sz w:val="15"/>
          <w:szCs w:val="15"/>
          <w:color w:val="auto"/>
        </w:rPr>
        <w:t>Annual Compensation</w:t>
      </w:r>
      <w:r>
        <w:rPr>
          <w:sz w:val="20"/>
          <w:szCs w:val="20"/>
          <w:color w:val="auto"/>
        </w:rPr>
        <w:tab/>
      </w:r>
      <w:r>
        <w:rPr>
          <w:rFonts w:ascii="Courier New" w:cs="Courier New" w:eastAsia="Courier New" w:hAnsi="Courier New"/>
          <w:sz w:val="15"/>
          <w:szCs w:val="15"/>
          <w:color w:val="auto"/>
        </w:rPr>
        <w:t>-----------------------------------------------</w:t>
      </w:r>
    </w:p>
    <w:p>
      <w:pPr>
        <w:spacing w:after="0" w:line="8" w:lineRule="exact"/>
        <w:rPr>
          <w:sz w:val="20"/>
          <w:szCs w:val="20"/>
          <w:color w:val="auto"/>
        </w:rPr>
      </w:pPr>
    </w:p>
    <w:p>
      <w:pPr>
        <w:ind w:left="3045"/>
        <w:spacing w:after="0"/>
        <w:tabs>
          <w:tab w:leader="none" w:pos="6245" w:val="left"/>
          <w:tab w:leader="none" w:pos="7725"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Awards</w:t>
      </w:r>
      <w:r>
        <w:rPr>
          <w:sz w:val="20"/>
          <w:szCs w:val="20"/>
          <w:color w:val="auto"/>
        </w:rPr>
        <w:tab/>
      </w:r>
      <w:r>
        <w:rPr>
          <w:rFonts w:ascii="Courier New" w:cs="Courier New" w:eastAsia="Courier New" w:hAnsi="Courier New"/>
          <w:sz w:val="15"/>
          <w:szCs w:val="15"/>
          <w:color w:val="auto"/>
        </w:rPr>
        <w:t>Payouts</w:t>
      </w:r>
    </w:p>
    <w:p>
      <w:pPr>
        <w:spacing w:after="0" w:line="8" w:lineRule="exact"/>
        <w:rPr>
          <w:sz w:val="20"/>
          <w:szCs w:val="20"/>
          <w:color w:val="auto"/>
        </w:rPr>
      </w:pPr>
    </w:p>
    <w:p>
      <w:pPr>
        <w:ind w:left="5905"/>
        <w:spacing w:after="0"/>
        <w:tabs>
          <w:tab w:leader="none" w:pos="7445" w:val="left"/>
        </w:tabs>
        <w:rPr>
          <w:sz w:val="20"/>
          <w:szCs w:val="20"/>
          <w:color w:val="auto"/>
        </w:rPr>
      </w:pPr>
      <w:r>
        <w:rPr>
          <w:rFonts w:ascii="Courier New" w:cs="Courier New" w:eastAsia="Courier New" w:hAnsi="Courier New"/>
          <w:sz w:val="15"/>
          <w:szCs w:val="15"/>
          <w:color w:val="auto"/>
        </w:rPr>
        <w:t>--------------</w:t>
        <w:tab/>
        <w:t>--------------</w:t>
      </w:r>
    </w:p>
    <w:p>
      <w:pPr>
        <w:spacing w:after="0" w:line="8" w:lineRule="exact"/>
        <w:rPr>
          <w:sz w:val="20"/>
          <w:szCs w:val="20"/>
          <w:color w:val="auto"/>
        </w:rPr>
      </w:pPr>
    </w:p>
    <w:p>
      <w:pPr>
        <w:ind w:left="6085"/>
        <w:spacing w:after="0"/>
        <w:tabs>
          <w:tab w:leader="none" w:pos="7725" w:val="left"/>
        </w:tabs>
        <w:rPr>
          <w:sz w:val="20"/>
          <w:szCs w:val="20"/>
          <w:color w:val="auto"/>
        </w:rPr>
      </w:pPr>
      <w:r>
        <w:rPr>
          <w:rFonts w:ascii="Courier New" w:cs="Courier New" w:eastAsia="Courier New" w:hAnsi="Courier New"/>
          <w:sz w:val="15"/>
          <w:szCs w:val="15"/>
          <w:color w:val="auto"/>
        </w:rPr>
        <w:t>Securities</w:t>
      </w:r>
      <w:r>
        <w:rPr>
          <w:sz w:val="20"/>
          <w:szCs w:val="20"/>
          <w:color w:val="auto"/>
        </w:rPr>
        <w:tab/>
      </w:r>
      <w:r>
        <w:rPr>
          <w:rFonts w:ascii="Courier New" w:cs="Courier New" w:eastAsia="Courier New" w:hAnsi="Courier New"/>
          <w:sz w:val="15"/>
          <w:szCs w:val="15"/>
          <w:color w:val="auto"/>
        </w:rPr>
        <w:t>Long-term</w:t>
      </w:r>
    </w:p>
    <w:p>
      <w:pPr>
        <w:spacing w:after="0" w:line="8" w:lineRule="exact"/>
        <w:rPr>
          <w:sz w:val="20"/>
          <w:szCs w:val="20"/>
          <w:color w:val="auto"/>
        </w:rPr>
      </w:pPr>
    </w:p>
    <w:p>
      <w:pPr>
        <w:ind w:left="6085"/>
        <w:spacing w:after="0"/>
        <w:tabs>
          <w:tab w:leader="none" w:pos="7445" w:val="left"/>
          <w:tab w:leader="none" w:pos="9205" w:val="left"/>
        </w:tabs>
        <w:rPr>
          <w:sz w:val="20"/>
          <w:szCs w:val="20"/>
          <w:color w:val="auto"/>
        </w:rPr>
      </w:pPr>
      <w:r>
        <w:rPr>
          <w:rFonts w:ascii="Courier New" w:cs="Courier New" w:eastAsia="Courier New" w:hAnsi="Courier New"/>
          <w:sz w:val="15"/>
          <w:szCs w:val="15"/>
          <w:color w:val="auto"/>
        </w:rPr>
        <w:t>Underlying</w:t>
      </w:r>
      <w:r>
        <w:rPr>
          <w:sz w:val="20"/>
          <w:szCs w:val="20"/>
          <w:color w:val="auto"/>
        </w:rPr>
        <w:tab/>
      </w:r>
      <w:r>
        <w:rPr>
          <w:rFonts w:ascii="Courier New" w:cs="Courier New" w:eastAsia="Courier New" w:hAnsi="Courier New"/>
          <w:sz w:val="15"/>
          <w:szCs w:val="15"/>
          <w:color w:val="auto"/>
        </w:rPr>
        <w:t>Incentive Plan</w:t>
      </w:r>
      <w:r>
        <w:rPr>
          <w:sz w:val="20"/>
          <w:szCs w:val="20"/>
          <w:color w:val="auto"/>
        </w:rPr>
        <w:tab/>
      </w:r>
      <w:r>
        <w:rPr>
          <w:rFonts w:ascii="Courier New" w:cs="Courier New" w:eastAsia="Courier New" w:hAnsi="Courier New"/>
          <w:sz w:val="15"/>
          <w:szCs w:val="15"/>
          <w:color w:val="auto"/>
        </w:rPr>
        <w:t>All Other</w:t>
      </w:r>
    </w:p>
    <w:p>
      <w:pPr>
        <w:spacing w:after="0" w:line="8" w:lineRule="exact"/>
        <w:rPr>
          <w:sz w:val="20"/>
          <w:szCs w:val="20"/>
          <w:color w:val="auto"/>
        </w:rPr>
      </w:pPr>
    </w:p>
    <w:p>
      <w:pPr>
        <w:ind w:left="5"/>
        <w:spacing w:after="0"/>
        <w:tabs>
          <w:tab w:leader="none" w:pos="2925" w:val="left"/>
          <w:tab w:leader="none" w:pos="3845" w:val="left"/>
          <w:tab w:leader="none" w:pos="4865" w:val="left"/>
          <w:tab w:leader="none" w:pos="6245" w:val="left"/>
          <w:tab w:leader="none" w:pos="7725" w:val="left"/>
          <w:tab w:leader="none" w:pos="9025" w:val="left"/>
        </w:tabs>
        <w:rPr>
          <w:sz w:val="20"/>
          <w:szCs w:val="20"/>
          <w:color w:val="auto"/>
        </w:rPr>
      </w:pPr>
      <w:r>
        <w:rPr>
          <w:rFonts w:ascii="Courier New" w:cs="Courier New" w:eastAsia="Courier New" w:hAnsi="Courier New"/>
          <w:sz w:val="15"/>
          <w:szCs w:val="15"/>
          <w:color w:val="auto"/>
        </w:rPr>
        <w:t>Name</w:t>
      </w:r>
      <w:r>
        <w:rPr>
          <w:sz w:val="20"/>
          <w:szCs w:val="20"/>
          <w:color w:val="auto"/>
        </w:rPr>
        <w:tab/>
      </w:r>
      <w:r>
        <w:rPr>
          <w:rFonts w:ascii="Courier New" w:cs="Courier New" w:eastAsia="Courier New" w:hAnsi="Courier New"/>
          <w:sz w:val="15"/>
          <w:szCs w:val="15"/>
          <w:color w:val="auto"/>
        </w:rPr>
        <w:t>Year</w:t>
      </w:r>
      <w:r>
        <w:rPr>
          <w:sz w:val="20"/>
          <w:szCs w:val="20"/>
          <w:color w:val="auto"/>
        </w:rPr>
        <w:tab/>
      </w:r>
      <w:r>
        <w:rPr>
          <w:rFonts w:ascii="Courier New" w:cs="Courier New" w:eastAsia="Courier New" w:hAnsi="Courier New"/>
          <w:sz w:val="15"/>
          <w:szCs w:val="15"/>
          <w:color w:val="auto"/>
        </w:rPr>
        <w:t>Salary</w:t>
      </w:r>
      <w:r>
        <w:rPr>
          <w:sz w:val="20"/>
          <w:szCs w:val="20"/>
          <w:color w:val="auto"/>
        </w:rPr>
        <w:tab/>
      </w:r>
      <w:r>
        <w:rPr>
          <w:rFonts w:ascii="Courier New" w:cs="Courier New" w:eastAsia="Courier New" w:hAnsi="Courier New"/>
          <w:sz w:val="15"/>
          <w:szCs w:val="15"/>
          <w:color w:val="auto"/>
        </w:rPr>
        <w:t>Bonus(1)</w:t>
      </w:r>
      <w:r>
        <w:rPr>
          <w:sz w:val="20"/>
          <w:szCs w:val="20"/>
          <w:color w:val="auto"/>
        </w:rPr>
        <w:tab/>
      </w:r>
      <w:r>
        <w:rPr>
          <w:rFonts w:ascii="Courier New" w:cs="Courier New" w:eastAsia="Courier New" w:hAnsi="Courier New"/>
          <w:sz w:val="15"/>
          <w:szCs w:val="15"/>
          <w:color w:val="auto"/>
        </w:rPr>
        <w:t>Options</w:t>
      </w:r>
      <w:r>
        <w:rPr>
          <w:sz w:val="20"/>
          <w:szCs w:val="20"/>
          <w:color w:val="auto"/>
        </w:rPr>
        <w:tab/>
      </w:r>
      <w:r>
        <w:rPr>
          <w:rFonts w:ascii="Courier New" w:cs="Courier New" w:eastAsia="Courier New" w:hAnsi="Courier New"/>
          <w:sz w:val="15"/>
          <w:szCs w:val="15"/>
          <w:color w:val="auto"/>
        </w:rPr>
        <w:t>Payouts(2)</w:t>
      </w:r>
      <w:r>
        <w:rPr>
          <w:sz w:val="20"/>
          <w:szCs w:val="20"/>
          <w:color w:val="auto"/>
        </w:rPr>
        <w:tab/>
      </w:r>
      <w:r>
        <w:rPr>
          <w:rFonts w:ascii="Courier New" w:cs="Courier New" w:eastAsia="Courier New" w:hAnsi="Courier New"/>
          <w:sz w:val="15"/>
          <w:szCs w:val="15"/>
          <w:color w:val="auto"/>
        </w:rPr>
        <w:t>Compensation(3)</w:t>
      </w:r>
    </w:p>
    <w:p>
      <w:pPr>
        <w:spacing w:after="0" w:line="8"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 -----------------------------------------------------------------------------------------------------------------</w:t>
      </w:r>
    </w:p>
    <w:p>
      <w:pPr>
        <w:spacing w:after="0" w:line="185" w:lineRule="exact"/>
        <w:rPr>
          <w:sz w:val="20"/>
          <w:szCs w:val="20"/>
          <w:color w:val="auto"/>
        </w:rPr>
      </w:pPr>
    </w:p>
    <w:tbl>
      <w:tblPr>
        <w:tblLayout w:type="fixed"/>
        <w:tblInd w:w="5" w:type="dxa"/>
        <w:tblCellMar>
          <w:top w:w="0" w:type="dxa"/>
          <w:left w:w="0" w:type="dxa"/>
          <w:bottom w:w="0" w:type="dxa"/>
          <w:right w:w="0" w:type="dxa"/>
        </w:tblCellMar>
      </w:tblPr>
      <w:tr>
        <w:trPr>
          <w:trHeight w:val="172"/>
        </w:trPr>
        <w:tc>
          <w:tcPr>
            <w:tcW w:w="2720" w:type="dxa"/>
            <w:vAlign w:val="bottom"/>
            <w:gridSpan w:val="2"/>
          </w:tcPr>
          <w:p>
            <w:pPr>
              <w:spacing w:after="0"/>
              <w:rPr>
                <w:sz w:val="20"/>
                <w:szCs w:val="20"/>
                <w:color w:val="auto"/>
              </w:rPr>
            </w:pPr>
            <w:r>
              <w:rPr>
                <w:rFonts w:ascii="Courier New" w:cs="Courier New" w:eastAsia="Courier New" w:hAnsi="Courier New"/>
                <w:sz w:val="15"/>
                <w:szCs w:val="15"/>
                <w:color w:val="auto"/>
              </w:rPr>
              <w:t>Larry E. Rosenberger</w:t>
            </w:r>
          </w:p>
        </w:tc>
        <w:tc>
          <w:tcPr>
            <w:tcW w:w="82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1996</w:t>
            </w:r>
          </w:p>
        </w:tc>
        <w:tc>
          <w:tcPr>
            <w:tcW w:w="116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$202,500</w:t>
            </w:r>
          </w:p>
        </w:tc>
        <w:tc>
          <w:tcPr>
            <w:tcW w:w="120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$146,250</w:t>
            </w:r>
          </w:p>
        </w:tc>
        <w:tc>
          <w:tcPr>
            <w:tcW w:w="1240" w:type="dxa"/>
            <w:vAlign w:val="bottom"/>
          </w:tcPr>
          <w:p>
            <w:pPr>
              <w:jc w:val="right"/>
              <w:ind w:right="323"/>
              <w:spacing w:after="0"/>
              <w:rPr>
                <w:sz w:val="20"/>
                <w:szCs w:val="20"/>
                <w:color w:val="auto"/>
              </w:rPr>
            </w:pPr>
            <w:r>
              <w:rPr>
                <w:rFonts w:ascii="Courier New" w:cs="Courier New" w:eastAsia="Courier New" w:hAnsi="Courier New"/>
                <w:sz w:val="15"/>
                <w:szCs w:val="15"/>
                <w:color w:val="auto"/>
              </w:rPr>
              <w:t>27,500</w:t>
            </w:r>
          </w:p>
        </w:tc>
        <w:tc>
          <w:tcPr>
            <w:tcW w:w="158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$369,869</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$21,788</w:t>
            </w:r>
          </w:p>
        </w:tc>
      </w:tr>
      <w:tr>
        <w:trPr>
          <w:trHeight w:val="177"/>
        </w:trPr>
        <w:tc>
          <w:tcPr>
            <w:tcW w:w="880" w:type="dxa"/>
            <w:vAlign w:val="bottom"/>
          </w:tcPr>
          <w:p>
            <w:pPr>
              <w:spacing w:after="0"/>
              <w:rPr>
                <w:sz w:val="20"/>
                <w:szCs w:val="20"/>
                <w:color w:val="auto"/>
              </w:rPr>
            </w:pPr>
            <w:r>
              <w:rPr>
                <w:rFonts w:ascii="Courier New" w:cs="Courier New" w:eastAsia="Courier New" w:hAnsi="Courier New"/>
                <w:sz w:val="15"/>
                <w:szCs w:val="15"/>
                <w:color w:val="auto"/>
              </w:rPr>
              <w:t>President</w:t>
            </w:r>
          </w:p>
        </w:tc>
        <w:tc>
          <w:tcPr>
            <w:tcW w:w="1840" w:type="dxa"/>
            <w:vAlign w:val="bottom"/>
          </w:tcPr>
          <w:p>
            <w:pPr>
              <w:ind w:left="40"/>
              <w:spacing w:after="0"/>
              <w:rPr>
                <w:sz w:val="20"/>
                <w:szCs w:val="20"/>
                <w:color w:val="auto"/>
              </w:rPr>
            </w:pPr>
            <w:r>
              <w:rPr>
                <w:rFonts w:ascii="Courier New" w:cs="Courier New" w:eastAsia="Courier New" w:hAnsi="Courier New"/>
                <w:sz w:val="15"/>
                <w:szCs w:val="15"/>
                <w:color w:val="auto"/>
              </w:rPr>
              <w:t>and Chief</w:t>
            </w:r>
          </w:p>
        </w:tc>
        <w:tc>
          <w:tcPr>
            <w:tcW w:w="82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1995</w:t>
            </w:r>
          </w:p>
        </w:tc>
        <w:tc>
          <w:tcPr>
            <w:tcW w:w="116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193,750</w:t>
            </w:r>
          </w:p>
        </w:tc>
        <w:tc>
          <w:tcPr>
            <w:tcW w:w="120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133,760</w:t>
            </w:r>
          </w:p>
        </w:tc>
        <w:tc>
          <w:tcPr>
            <w:tcW w:w="1240" w:type="dxa"/>
            <w:vAlign w:val="bottom"/>
          </w:tcPr>
          <w:p>
            <w:pPr>
              <w:jc w:val="right"/>
              <w:ind w:right="323"/>
              <w:spacing w:after="0"/>
              <w:rPr>
                <w:sz w:val="20"/>
                <w:szCs w:val="20"/>
                <w:color w:val="auto"/>
              </w:rPr>
            </w:pPr>
            <w:r>
              <w:rPr>
                <w:rFonts w:ascii="Courier New" w:cs="Courier New" w:eastAsia="Courier New" w:hAnsi="Courier New"/>
                <w:sz w:val="15"/>
                <w:szCs w:val="15"/>
                <w:color w:val="auto"/>
              </w:rPr>
              <w:t>0</w:t>
            </w:r>
          </w:p>
        </w:tc>
        <w:tc>
          <w:tcPr>
            <w:tcW w:w="158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315,008</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18,920</w:t>
            </w:r>
          </w:p>
        </w:tc>
      </w:tr>
      <w:tr>
        <w:trPr>
          <w:trHeight w:val="177"/>
        </w:trPr>
        <w:tc>
          <w:tcPr>
            <w:tcW w:w="880" w:type="dxa"/>
            <w:vAlign w:val="bottom"/>
          </w:tcPr>
          <w:p>
            <w:pPr>
              <w:spacing w:after="0"/>
              <w:rPr>
                <w:sz w:val="20"/>
                <w:szCs w:val="20"/>
                <w:color w:val="auto"/>
              </w:rPr>
            </w:pPr>
            <w:r>
              <w:rPr>
                <w:rFonts w:ascii="Courier New" w:cs="Courier New" w:eastAsia="Courier New" w:hAnsi="Courier New"/>
                <w:sz w:val="15"/>
                <w:szCs w:val="15"/>
                <w:color w:val="auto"/>
              </w:rPr>
              <w:t>Executive</w:t>
            </w:r>
          </w:p>
        </w:tc>
        <w:tc>
          <w:tcPr>
            <w:tcW w:w="1840" w:type="dxa"/>
            <w:vAlign w:val="bottom"/>
          </w:tcPr>
          <w:p>
            <w:pPr>
              <w:ind w:left="40"/>
              <w:spacing w:after="0"/>
              <w:rPr>
                <w:sz w:val="20"/>
                <w:szCs w:val="20"/>
                <w:color w:val="auto"/>
              </w:rPr>
            </w:pPr>
            <w:r>
              <w:rPr>
                <w:rFonts w:ascii="Courier New" w:cs="Courier New" w:eastAsia="Courier New" w:hAnsi="Courier New"/>
                <w:sz w:val="15"/>
                <w:szCs w:val="15"/>
                <w:color w:val="auto"/>
              </w:rPr>
              <w:t>Officer</w:t>
            </w:r>
          </w:p>
        </w:tc>
        <w:tc>
          <w:tcPr>
            <w:tcW w:w="82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1994</w:t>
            </w:r>
          </w:p>
        </w:tc>
        <w:tc>
          <w:tcPr>
            <w:tcW w:w="116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190,000</w:t>
            </w:r>
          </w:p>
        </w:tc>
        <w:tc>
          <w:tcPr>
            <w:tcW w:w="120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125,163</w:t>
            </w:r>
          </w:p>
        </w:tc>
        <w:tc>
          <w:tcPr>
            <w:tcW w:w="1240" w:type="dxa"/>
            <w:vAlign w:val="bottom"/>
          </w:tcPr>
          <w:p>
            <w:pPr>
              <w:jc w:val="right"/>
              <w:ind w:right="323"/>
              <w:spacing w:after="0"/>
              <w:rPr>
                <w:sz w:val="20"/>
                <w:szCs w:val="20"/>
                <w:color w:val="auto"/>
              </w:rPr>
            </w:pPr>
            <w:r>
              <w:rPr>
                <w:rFonts w:ascii="Courier New" w:cs="Courier New" w:eastAsia="Courier New" w:hAnsi="Courier New"/>
                <w:sz w:val="15"/>
                <w:szCs w:val="15"/>
                <w:color w:val="auto"/>
              </w:rPr>
              <w:t>0</w:t>
            </w:r>
          </w:p>
        </w:tc>
        <w:tc>
          <w:tcPr>
            <w:tcW w:w="158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178,387</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14,705</w:t>
            </w:r>
          </w:p>
        </w:tc>
      </w:tr>
      <w:tr>
        <w:trPr>
          <w:trHeight w:val="355"/>
        </w:trPr>
        <w:tc>
          <w:tcPr>
            <w:tcW w:w="2720" w:type="dxa"/>
            <w:vAlign w:val="bottom"/>
            <w:gridSpan w:val="2"/>
          </w:tcPr>
          <w:p>
            <w:pPr>
              <w:spacing w:after="0"/>
              <w:rPr>
                <w:sz w:val="20"/>
                <w:szCs w:val="20"/>
                <w:color w:val="auto"/>
              </w:rPr>
            </w:pPr>
            <w:r>
              <w:rPr>
                <w:rFonts w:ascii="Courier New" w:cs="Courier New" w:eastAsia="Courier New" w:hAnsi="Courier New"/>
                <w:sz w:val="15"/>
                <w:szCs w:val="15"/>
                <w:color w:val="auto"/>
              </w:rPr>
              <w:t>John D. Woldrich</w:t>
            </w:r>
          </w:p>
        </w:tc>
        <w:tc>
          <w:tcPr>
            <w:tcW w:w="82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1996</w:t>
            </w:r>
          </w:p>
        </w:tc>
        <w:tc>
          <w:tcPr>
            <w:tcW w:w="116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$195,000</w:t>
            </w:r>
          </w:p>
        </w:tc>
        <w:tc>
          <w:tcPr>
            <w:tcW w:w="120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$117,000</w:t>
            </w:r>
          </w:p>
        </w:tc>
        <w:tc>
          <w:tcPr>
            <w:tcW w:w="1240" w:type="dxa"/>
            <w:vAlign w:val="bottom"/>
          </w:tcPr>
          <w:p>
            <w:pPr>
              <w:jc w:val="right"/>
              <w:ind w:right="323"/>
              <w:spacing w:after="0"/>
              <w:rPr>
                <w:sz w:val="20"/>
                <w:szCs w:val="20"/>
                <w:color w:val="auto"/>
              </w:rPr>
            </w:pPr>
            <w:r>
              <w:rPr>
                <w:rFonts w:ascii="Courier New" w:cs="Courier New" w:eastAsia="Courier New" w:hAnsi="Courier New"/>
                <w:sz w:val="15"/>
                <w:szCs w:val="15"/>
                <w:color w:val="auto"/>
              </w:rPr>
              <w:t>25,000</w:t>
            </w:r>
          </w:p>
        </w:tc>
        <w:tc>
          <w:tcPr>
            <w:tcW w:w="158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$266,460</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$21,260</w:t>
            </w:r>
          </w:p>
        </w:tc>
      </w:tr>
      <w:tr>
        <w:trPr>
          <w:trHeight w:val="177"/>
        </w:trPr>
        <w:tc>
          <w:tcPr>
            <w:tcW w:w="880" w:type="dxa"/>
            <w:vAlign w:val="bottom"/>
          </w:tcPr>
          <w:p>
            <w:pPr>
              <w:spacing w:after="0"/>
              <w:rPr>
                <w:sz w:val="20"/>
                <w:szCs w:val="20"/>
                <w:color w:val="auto"/>
              </w:rPr>
            </w:pPr>
            <w:r>
              <w:rPr>
                <w:rFonts w:ascii="Courier New" w:cs="Courier New" w:eastAsia="Courier New" w:hAnsi="Courier New"/>
                <w:sz w:val="15"/>
                <w:szCs w:val="15"/>
                <w:color w:val="auto"/>
              </w:rPr>
              <w:t>Executive</w:t>
            </w:r>
          </w:p>
        </w:tc>
        <w:tc>
          <w:tcPr>
            <w:tcW w:w="1840" w:type="dxa"/>
            <w:vAlign w:val="bottom"/>
          </w:tcPr>
          <w:p>
            <w:pPr>
              <w:ind w:left="40"/>
              <w:spacing w:after="0"/>
              <w:rPr>
                <w:sz w:val="20"/>
                <w:szCs w:val="20"/>
                <w:color w:val="auto"/>
              </w:rPr>
            </w:pPr>
            <w:r>
              <w:rPr>
                <w:rFonts w:ascii="Courier New" w:cs="Courier New" w:eastAsia="Courier New" w:hAnsi="Courier New"/>
                <w:sz w:val="15"/>
                <w:szCs w:val="15"/>
                <w:color w:val="auto"/>
              </w:rPr>
              <w:t>Vice</w:t>
            </w:r>
          </w:p>
        </w:tc>
        <w:tc>
          <w:tcPr>
            <w:tcW w:w="82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1995</w:t>
            </w:r>
          </w:p>
        </w:tc>
        <w:tc>
          <w:tcPr>
            <w:tcW w:w="116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158,750</w:t>
            </w:r>
          </w:p>
        </w:tc>
        <w:tc>
          <w:tcPr>
            <w:tcW w:w="120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94,240</w:t>
            </w:r>
          </w:p>
        </w:tc>
        <w:tc>
          <w:tcPr>
            <w:tcW w:w="1240" w:type="dxa"/>
            <w:vAlign w:val="bottom"/>
          </w:tcPr>
          <w:p>
            <w:pPr>
              <w:jc w:val="right"/>
              <w:ind w:right="323"/>
              <w:spacing w:after="0"/>
              <w:rPr>
                <w:sz w:val="20"/>
                <w:szCs w:val="20"/>
                <w:color w:val="auto"/>
              </w:rPr>
            </w:pPr>
            <w:r>
              <w:rPr>
                <w:rFonts w:ascii="Courier New" w:cs="Courier New" w:eastAsia="Courier New" w:hAnsi="Courier New"/>
                <w:sz w:val="15"/>
                <w:szCs w:val="15"/>
                <w:color w:val="auto"/>
              </w:rPr>
              <w:t>0</w:t>
            </w:r>
          </w:p>
        </w:tc>
        <w:tc>
          <w:tcPr>
            <w:tcW w:w="158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233,773</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18,852</w:t>
            </w:r>
          </w:p>
        </w:tc>
      </w:tr>
      <w:tr>
        <w:trPr>
          <w:trHeight w:val="177"/>
        </w:trPr>
        <w:tc>
          <w:tcPr>
            <w:tcW w:w="880" w:type="dxa"/>
            <w:vAlign w:val="bottom"/>
          </w:tcPr>
          <w:p>
            <w:pPr>
              <w:spacing w:after="0"/>
              <w:rPr>
                <w:sz w:val="20"/>
                <w:szCs w:val="20"/>
                <w:color w:val="auto"/>
              </w:rPr>
            </w:pPr>
            <w:r>
              <w:rPr>
                <w:rFonts w:ascii="Courier New" w:cs="Courier New" w:eastAsia="Courier New" w:hAnsi="Courier New"/>
                <w:sz w:val="15"/>
                <w:szCs w:val="15"/>
                <w:color w:val="auto"/>
              </w:rPr>
              <w:t>President</w:t>
            </w:r>
          </w:p>
        </w:tc>
        <w:tc>
          <w:tcPr>
            <w:tcW w:w="1840" w:type="dxa"/>
            <w:vAlign w:val="bottom"/>
          </w:tcPr>
          <w:p>
            <w:pPr>
              <w:ind w:left="120"/>
              <w:spacing w:after="0"/>
              <w:rPr>
                <w:sz w:val="20"/>
                <w:szCs w:val="20"/>
                <w:color w:val="auto"/>
              </w:rPr>
            </w:pPr>
            <w:r>
              <w:rPr>
                <w:rFonts w:ascii="Courier New" w:cs="Courier New" w:eastAsia="Courier New" w:hAnsi="Courier New"/>
                <w:sz w:val="15"/>
                <w:szCs w:val="15"/>
                <w:color w:val="auto"/>
              </w:rPr>
              <w:t>and Chief</w:t>
            </w:r>
          </w:p>
        </w:tc>
        <w:tc>
          <w:tcPr>
            <w:tcW w:w="82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1994</w:t>
            </w:r>
          </w:p>
        </w:tc>
        <w:tc>
          <w:tcPr>
            <w:tcW w:w="116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155,000</w:t>
            </w:r>
          </w:p>
        </w:tc>
        <w:tc>
          <w:tcPr>
            <w:tcW w:w="120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92,225</w:t>
            </w:r>
          </w:p>
        </w:tc>
        <w:tc>
          <w:tcPr>
            <w:tcW w:w="1240" w:type="dxa"/>
            <w:vAlign w:val="bottom"/>
          </w:tcPr>
          <w:p>
            <w:pPr>
              <w:jc w:val="right"/>
              <w:ind w:right="323"/>
              <w:spacing w:after="0"/>
              <w:rPr>
                <w:sz w:val="20"/>
                <w:szCs w:val="20"/>
                <w:color w:val="auto"/>
              </w:rPr>
            </w:pPr>
            <w:r>
              <w:rPr>
                <w:rFonts w:ascii="Courier New" w:cs="Courier New" w:eastAsia="Courier New" w:hAnsi="Courier New"/>
                <w:sz w:val="15"/>
                <w:szCs w:val="15"/>
                <w:color w:val="auto"/>
              </w:rPr>
              <w:t>0</w:t>
            </w:r>
          </w:p>
        </w:tc>
        <w:tc>
          <w:tcPr>
            <w:tcW w:w="158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136,521</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15,540</w:t>
            </w:r>
          </w:p>
        </w:tc>
      </w:tr>
      <w:tr>
        <w:trPr>
          <w:trHeight w:val="177"/>
        </w:trPr>
        <w:tc>
          <w:tcPr>
            <w:tcW w:w="880" w:type="dxa"/>
            <w:vAlign w:val="bottom"/>
          </w:tcPr>
          <w:p>
            <w:pPr>
              <w:spacing w:after="0"/>
              <w:rPr>
                <w:sz w:val="20"/>
                <w:szCs w:val="20"/>
                <w:color w:val="auto"/>
              </w:rPr>
            </w:pPr>
            <w:r>
              <w:rPr>
                <w:rFonts w:ascii="Courier New" w:cs="Courier New" w:eastAsia="Courier New" w:hAnsi="Courier New"/>
                <w:sz w:val="15"/>
                <w:szCs w:val="15"/>
                <w:color w:val="auto"/>
              </w:rPr>
              <w:t>Operating</w:t>
            </w:r>
          </w:p>
        </w:tc>
        <w:tc>
          <w:tcPr>
            <w:tcW w:w="1840" w:type="dxa"/>
            <w:vAlign w:val="bottom"/>
          </w:tcPr>
          <w:p>
            <w:pPr>
              <w:ind w:left="40"/>
              <w:spacing w:after="0"/>
              <w:rPr>
                <w:sz w:val="20"/>
                <w:szCs w:val="20"/>
                <w:color w:val="auto"/>
              </w:rPr>
            </w:pPr>
            <w:r>
              <w:rPr>
                <w:rFonts w:ascii="Courier New" w:cs="Courier New" w:eastAsia="Courier New" w:hAnsi="Courier New"/>
                <w:sz w:val="15"/>
                <w:szCs w:val="15"/>
                <w:color w:val="auto"/>
              </w:rPr>
              <w:t>Officer</w:t>
            </w:r>
          </w:p>
        </w:tc>
        <w:tc>
          <w:tcPr>
            <w:tcW w:w="8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355"/>
        </w:trPr>
        <w:tc>
          <w:tcPr>
            <w:tcW w:w="2720" w:type="dxa"/>
            <w:vAlign w:val="bottom"/>
            <w:gridSpan w:val="2"/>
          </w:tcPr>
          <w:p>
            <w:pPr>
              <w:spacing w:after="0"/>
              <w:rPr>
                <w:sz w:val="20"/>
                <w:szCs w:val="20"/>
                <w:color w:val="auto"/>
              </w:rPr>
            </w:pPr>
            <w:r>
              <w:rPr>
                <w:rFonts w:ascii="Courier New" w:cs="Courier New" w:eastAsia="Courier New" w:hAnsi="Courier New"/>
                <w:sz w:val="15"/>
                <w:szCs w:val="15"/>
                <w:color w:val="auto"/>
              </w:rPr>
              <w:t>Patrick G. Culhane</w:t>
            </w:r>
          </w:p>
        </w:tc>
        <w:tc>
          <w:tcPr>
            <w:tcW w:w="82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1996</w:t>
            </w:r>
          </w:p>
        </w:tc>
        <w:tc>
          <w:tcPr>
            <w:tcW w:w="116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$180,000</w:t>
            </w:r>
          </w:p>
        </w:tc>
        <w:tc>
          <w:tcPr>
            <w:tcW w:w="120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$111,150</w:t>
            </w:r>
          </w:p>
        </w:tc>
        <w:tc>
          <w:tcPr>
            <w:tcW w:w="1240" w:type="dxa"/>
            <w:vAlign w:val="bottom"/>
          </w:tcPr>
          <w:p>
            <w:pPr>
              <w:jc w:val="right"/>
              <w:ind w:right="323"/>
              <w:spacing w:after="0"/>
              <w:rPr>
                <w:sz w:val="20"/>
                <w:szCs w:val="20"/>
                <w:color w:val="auto"/>
              </w:rPr>
            </w:pPr>
            <w:r>
              <w:rPr>
                <w:rFonts w:ascii="Courier New" w:cs="Courier New" w:eastAsia="Courier New" w:hAnsi="Courier New"/>
                <w:sz w:val="15"/>
                <w:szCs w:val="15"/>
                <w:color w:val="auto"/>
              </w:rPr>
              <w:t>20,000</w:t>
            </w:r>
          </w:p>
        </w:tc>
        <w:tc>
          <w:tcPr>
            <w:tcW w:w="158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$73,680</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$17,973</w:t>
            </w:r>
          </w:p>
        </w:tc>
      </w:tr>
      <w:tr>
        <w:trPr>
          <w:trHeight w:val="177"/>
        </w:trPr>
        <w:tc>
          <w:tcPr>
            <w:tcW w:w="880" w:type="dxa"/>
            <w:vAlign w:val="bottom"/>
          </w:tcPr>
          <w:p>
            <w:pPr>
              <w:spacing w:after="0"/>
              <w:rPr>
                <w:sz w:val="20"/>
                <w:szCs w:val="20"/>
                <w:color w:val="auto"/>
              </w:rPr>
            </w:pPr>
            <w:r>
              <w:rPr>
                <w:rFonts w:ascii="Courier New" w:cs="Courier New" w:eastAsia="Courier New" w:hAnsi="Courier New"/>
                <w:sz w:val="15"/>
                <w:szCs w:val="15"/>
                <w:color w:val="auto"/>
              </w:rPr>
              <w:t>Executive</w:t>
            </w:r>
          </w:p>
        </w:tc>
        <w:tc>
          <w:tcPr>
            <w:tcW w:w="1840" w:type="dxa"/>
            <w:vAlign w:val="bottom"/>
          </w:tcPr>
          <w:p>
            <w:pPr>
              <w:ind w:left="40"/>
              <w:spacing w:after="0"/>
              <w:rPr>
                <w:sz w:val="20"/>
                <w:szCs w:val="20"/>
                <w:color w:val="auto"/>
              </w:rPr>
            </w:pPr>
            <w:r>
              <w:rPr>
                <w:rFonts w:ascii="Courier New" w:cs="Courier New" w:eastAsia="Courier New" w:hAnsi="Courier New"/>
                <w:sz w:val="15"/>
                <w:szCs w:val="15"/>
                <w:color w:val="auto"/>
              </w:rPr>
              <w:t>Vice</w:t>
            </w:r>
          </w:p>
        </w:tc>
        <w:tc>
          <w:tcPr>
            <w:tcW w:w="82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1995</w:t>
            </w:r>
          </w:p>
        </w:tc>
        <w:tc>
          <w:tcPr>
            <w:tcW w:w="116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134,375</w:t>
            </w:r>
          </w:p>
        </w:tc>
        <w:tc>
          <w:tcPr>
            <w:tcW w:w="120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199,366</w:t>
            </w:r>
          </w:p>
        </w:tc>
        <w:tc>
          <w:tcPr>
            <w:tcW w:w="1240" w:type="dxa"/>
            <w:vAlign w:val="bottom"/>
          </w:tcPr>
          <w:p>
            <w:pPr>
              <w:jc w:val="right"/>
              <w:ind w:right="323"/>
              <w:spacing w:after="0"/>
              <w:rPr>
                <w:sz w:val="20"/>
                <w:szCs w:val="20"/>
                <w:color w:val="auto"/>
              </w:rPr>
            </w:pPr>
            <w:r>
              <w:rPr>
                <w:rFonts w:ascii="Courier New" w:cs="Courier New" w:eastAsia="Courier New" w:hAnsi="Courier New"/>
                <w:sz w:val="15"/>
                <w:szCs w:val="15"/>
                <w:color w:val="auto"/>
              </w:rPr>
              <w:t>20,000</w:t>
            </w:r>
          </w:p>
        </w:tc>
        <w:tc>
          <w:tcPr>
            <w:tcW w:w="158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65,532</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15,658</w:t>
            </w:r>
          </w:p>
        </w:tc>
      </w:tr>
      <w:tr>
        <w:trPr>
          <w:trHeight w:val="177"/>
        </w:trPr>
        <w:tc>
          <w:tcPr>
            <w:tcW w:w="880" w:type="dxa"/>
            <w:vAlign w:val="bottom"/>
          </w:tcPr>
          <w:p>
            <w:pPr>
              <w:spacing w:after="0"/>
              <w:rPr>
                <w:sz w:val="20"/>
                <w:szCs w:val="20"/>
                <w:color w:val="auto"/>
              </w:rPr>
            </w:pPr>
            <w:r>
              <w:rPr>
                <w:rFonts w:ascii="Courier New" w:cs="Courier New" w:eastAsia="Courier New" w:hAnsi="Courier New"/>
                <w:sz w:val="15"/>
                <w:szCs w:val="15"/>
                <w:color w:val="auto"/>
              </w:rPr>
              <w:t>President</w:t>
            </w:r>
          </w:p>
        </w:tc>
        <w:tc>
          <w:tcPr>
            <w:tcW w:w="1840" w:type="dxa"/>
            <w:vAlign w:val="bottom"/>
          </w:tcPr>
          <w:p>
            <w:pPr>
              <w:spacing w:after="0"/>
              <w:rPr>
                <w:sz w:val="15"/>
                <w:szCs w:val="15"/>
                <w:color w:val="auto"/>
              </w:rPr>
            </w:pPr>
          </w:p>
        </w:tc>
        <w:tc>
          <w:tcPr>
            <w:tcW w:w="82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1994</w:t>
            </w:r>
          </w:p>
        </w:tc>
        <w:tc>
          <w:tcPr>
            <w:tcW w:w="116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125,000</w:t>
            </w:r>
          </w:p>
        </w:tc>
        <w:tc>
          <w:tcPr>
            <w:tcW w:w="120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197,863</w:t>
            </w:r>
          </w:p>
        </w:tc>
        <w:tc>
          <w:tcPr>
            <w:tcW w:w="1240" w:type="dxa"/>
            <w:vAlign w:val="bottom"/>
          </w:tcPr>
          <w:p>
            <w:pPr>
              <w:jc w:val="right"/>
              <w:ind w:right="323"/>
              <w:spacing w:after="0"/>
              <w:rPr>
                <w:sz w:val="20"/>
                <w:szCs w:val="20"/>
                <w:color w:val="auto"/>
              </w:rPr>
            </w:pPr>
            <w:r>
              <w:rPr>
                <w:rFonts w:ascii="Courier New" w:cs="Courier New" w:eastAsia="Courier New" w:hAnsi="Courier New"/>
                <w:sz w:val="15"/>
                <w:szCs w:val="15"/>
                <w:color w:val="auto"/>
              </w:rPr>
              <w:t>20,000</w:t>
            </w:r>
          </w:p>
        </w:tc>
        <w:tc>
          <w:tcPr>
            <w:tcW w:w="158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35,180</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11,721</w:t>
            </w:r>
          </w:p>
        </w:tc>
      </w:tr>
      <w:tr>
        <w:trPr>
          <w:trHeight w:val="355"/>
        </w:trPr>
        <w:tc>
          <w:tcPr>
            <w:tcW w:w="2720" w:type="dxa"/>
            <w:vAlign w:val="bottom"/>
            <w:gridSpan w:val="2"/>
          </w:tcPr>
          <w:p>
            <w:pPr>
              <w:spacing w:after="0"/>
              <w:rPr>
                <w:sz w:val="20"/>
                <w:szCs w:val="20"/>
                <w:color w:val="auto"/>
              </w:rPr>
            </w:pPr>
            <w:r>
              <w:rPr>
                <w:rFonts w:ascii="Courier New" w:cs="Courier New" w:eastAsia="Courier New" w:hAnsi="Courier New"/>
                <w:sz w:val="15"/>
                <w:szCs w:val="15"/>
                <w:color w:val="auto"/>
              </w:rPr>
              <w:t>Barrett B. Roach</w:t>
            </w:r>
          </w:p>
        </w:tc>
        <w:tc>
          <w:tcPr>
            <w:tcW w:w="82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1996</w:t>
            </w:r>
          </w:p>
        </w:tc>
        <w:tc>
          <w:tcPr>
            <w:tcW w:w="116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$161,000</w:t>
            </w:r>
          </w:p>
        </w:tc>
        <w:tc>
          <w:tcPr>
            <w:tcW w:w="120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$66,690</w:t>
            </w:r>
          </w:p>
        </w:tc>
        <w:tc>
          <w:tcPr>
            <w:tcW w:w="1240" w:type="dxa"/>
            <w:vAlign w:val="bottom"/>
          </w:tcPr>
          <w:p>
            <w:pPr>
              <w:jc w:val="right"/>
              <w:ind w:right="323"/>
              <w:spacing w:after="0"/>
              <w:rPr>
                <w:sz w:val="20"/>
                <w:szCs w:val="20"/>
                <w:color w:val="auto"/>
              </w:rPr>
            </w:pPr>
            <w:r>
              <w:rPr>
                <w:rFonts w:ascii="Courier New" w:cs="Courier New" w:eastAsia="Courier New" w:hAnsi="Courier New"/>
                <w:sz w:val="15"/>
                <w:szCs w:val="15"/>
                <w:color w:val="auto"/>
              </w:rPr>
              <w:t>15,000</w:t>
            </w:r>
          </w:p>
        </w:tc>
        <w:tc>
          <w:tcPr>
            <w:tcW w:w="158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$113,894</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$17,365</w:t>
            </w:r>
          </w:p>
        </w:tc>
      </w:tr>
      <w:tr>
        <w:trPr>
          <w:trHeight w:val="177"/>
        </w:trPr>
        <w:tc>
          <w:tcPr>
            <w:tcW w:w="880" w:type="dxa"/>
            <w:vAlign w:val="bottom"/>
          </w:tcPr>
          <w:p>
            <w:pPr>
              <w:spacing w:after="0"/>
              <w:rPr>
                <w:sz w:val="20"/>
                <w:szCs w:val="20"/>
                <w:color w:val="auto"/>
              </w:rPr>
            </w:pPr>
            <w:r>
              <w:rPr>
                <w:rFonts w:ascii="Courier New" w:cs="Courier New" w:eastAsia="Courier New" w:hAnsi="Courier New"/>
                <w:sz w:val="15"/>
                <w:szCs w:val="15"/>
                <w:color w:val="auto"/>
              </w:rPr>
              <w:t>Executive</w:t>
            </w:r>
          </w:p>
        </w:tc>
        <w:tc>
          <w:tcPr>
            <w:tcW w:w="1840" w:type="dxa"/>
            <w:vAlign w:val="bottom"/>
          </w:tcPr>
          <w:p>
            <w:pPr>
              <w:ind w:left="40"/>
              <w:spacing w:after="0"/>
              <w:rPr>
                <w:sz w:val="20"/>
                <w:szCs w:val="20"/>
                <w:color w:val="auto"/>
              </w:rPr>
            </w:pPr>
            <w:r>
              <w:rPr>
                <w:rFonts w:ascii="Courier New" w:cs="Courier New" w:eastAsia="Courier New" w:hAnsi="Courier New"/>
                <w:sz w:val="15"/>
                <w:szCs w:val="15"/>
                <w:color w:val="auto"/>
              </w:rPr>
              <w:t>Vice</w:t>
            </w:r>
          </w:p>
        </w:tc>
        <w:tc>
          <w:tcPr>
            <w:tcW w:w="82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1995</w:t>
            </w:r>
          </w:p>
        </w:tc>
        <w:tc>
          <w:tcPr>
            <w:tcW w:w="116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153,750</w:t>
            </w:r>
          </w:p>
        </w:tc>
        <w:tc>
          <w:tcPr>
            <w:tcW w:w="120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65,056</w:t>
            </w:r>
          </w:p>
        </w:tc>
        <w:tc>
          <w:tcPr>
            <w:tcW w:w="1240" w:type="dxa"/>
            <w:vAlign w:val="bottom"/>
          </w:tcPr>
          <w:p>
            <w:pPr>
              <w:jc w:val="right"/>
              <w:ind w:right="323"/>
              <w:spacing w:after="0"/>
              <w:rPr>
                <w:sz w:val="20"/>
                <w:szCs w:val="20"/>
                <w:color w:val="auto"/>
              </w:rPr>
            </w:pPr>
            <w:r>
              <w:rPr>
                <w:rFonts w:ascii="Courier New" w:cs="Courier New" w:eastAsia="Courier New" w:hAnsi="Courier New"/>
                <w:sz w:val="15"/>
                <w:szCs w:val="15"/>
                <w:color w:val="auto"/>
              </w:rPr>
              <w:t>20,000</w:t>
            </w:r>
          </w:p>
        </w:tc>
        <w:tc>
          <w:tcPr>
            <w:tcW w:w="158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67,136</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14,651</w:t>
            </w:r>
          </w:p>
        </w:tc>
      </w:tr>
      <w:tr>
        <w:trPr>
          <w:trHeight w:val="177"/>
        </w:trPr>
        <w:tc>
          <w:tcPr>
            <w:tcW w:w="880" w:type="dxa"/>
            <w:vAlign w:val="bottom"/>
          </w:tcPr>
          <w:p>
            <w:pPr>
              <w:spacing w:after="0"/>
              <w:rPr>
                <w:sz w:val="20"/>
                <w:szCs w:val="20"/>
                <w:color w:val="auto"/>
              </w:rPr>
            </w:pPr>
            <w:r>
              <w:rPr>
                <w:rFonts w:ascii="Courier New" w:cs="Courier New" w:eastAsia="Courier New" w:hAnsi="Courier New"/>
                <w:sz w:val="15"/>
                <w:szCs w:val="15"/>
                <w:color w:val="auto"/>
              </w:rPr>
              <w:t>President</w:t>
            </w:r>
          </w:p>
        </w:tc>
        <w:tc>
          <w:tcPr>
            <w:tcW w:w="1840" w:type="dxa"/>
            <w:vAlign w:val="bottom"/>
          </w:tcPr>
          <w:p>
            <w:pPr>
              <w:spacing w:after="0"/>
              <w:rPr>
                <w:sz w:val="15"/>
                <w:szCs w:val="15"/>
                <w:color w:val="auto"/>
              </w:rPr>
            </w:pPr>
          </w:p>
        </w:tc>
        <w:tc>
          <w:tcPr>
            <w:tcW w:w="82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1994</w:t>
            </w:r>
          </w:p>
        </w:tc>
        <w:tc>
          <w:tcPr>
            <w:tcW w:w="116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150,000</w:t>
            </w:r>
          </w:p>
        </w:tc>
        <w:tc>
          <w:tcPr>
            <w:tcW w:w="120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60,605</w:t>
            </w:r>
          </w:p>
        </w:tc>
        <w:tc>
          <w:tcPr>
            <w:tcW w:w="1240" w:type="dxa"/>
            <w:vAlign w:val="bottom"/>
          </w:tcPr>
          <w:p>
            <w:pPr>
              <w:jc w:val="right"/>
              <w:ind w:right="323"/>
              <w:spacing w:after="0"/>
              <w:rPr>
                <w:sz w:val="20"/>
                <w:szCs w:val="20"/>
                <w:color w:val="auto"/>
              </w:rPr>
            </w:pPr>
            <w:r>
              <w:rPr>
                <w:rFonts w:ascii="Courier New" w:cs="Courier New" w:eastAsia="Courier New" w:hAnsi="Courier New"/>
                <w:sz w:val="15"/>
                <w:szCs w:val="15"/>
                <w:color w:val="auto"/>
              </w:rPr>
              <w:t>20,000</w:t>
            </w:r>
          </w:p>
        </w:tc>
        <w:tc>
          <w:tcPr>
            <w:tcW w:w="158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26,254</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9,903</w:t>
            </w:r>
          </w:p>
        </w:tc>
      </w:tr>
      <w:tr>
        <w:trPr>
          <w:trHeight w:val="355"/>
        </w:trPr>
        <w:tc>
          <w:tcPr>
            <w:tcW w:w="880" w:type="dxa"/>
            <w:vAlign w:val="bottom"/>
          </w:tcPr>
          <w:p>
            <w:pPr>
              <w:spacing w:after="0"/>
              <w:rPr>
                <w:sz w:val="20"/>
                <w:szCs w:val="20"/>
                <w:color w:val="auto"/>
              </w:rPr>
            </w:pPr>
            <w:r>
              <w:rPr>
                <w:rFonts w:ascii="Courier New" w:cs="Courier New" w:eastAsia="Courier New" w:hAnsi="Courier New"/>
                <w:sz w:val="15"/>
                <w:szCs w:val="15"/>
                <w:color w:val="auto"/>
              </w:rPr>
              <w:t>Gerald de</w:t>
            </w:r>
          </w:p>
        </w:tc>
        <w:tc>
          <w:tcPr>
            <w:tcW w:w="1840" w:type="dxa"/>
            <w:vAlign w:val="bottom"/>
          </w:tcPr>
          <w:p>
            <w:pPr>
              <w:ind w:left="40"/>
              <w:spacing w:after="0"/>
              <w:rPr>
                <w:sz w:val="20"/>
                <w:szCs w:val="20"/>
                <w:color w:val="auto"/>
              </w:rPr>
            </w:pPr>
            <w:r>
              <w:rPr>
                <w:rFonts w:ascii="Courier New" w:cs="Courier New" w:eastAsia="Courier New" w:hAnsi="Courier New"/>
                <w:sz w:val="15"/>
                <w:szCs w:val="15"/>
                <w:color w:val="auto"/>
              </w:rPr>
              <w:t>Kerchove</w:t>
            </w:r>
          </w:p>
        </w:tc>
        <w:tc>
          <w:tcPr>
            <w:tcW w:w="82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1996</w:t>
            </w:r>
          </w:p>
        </w:tc>
        <w:tc>
          <w:tcPr>
            <w:tcW w:w="116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$148,750</w:t>
            </w:r>
          </w:p>
        </w:tc>
        <w:tc>
          <w:tcPr>
            <w:tcW w:w="120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$67,860</w:t>
            </w:r>
          </w:p>
        </w:tc>
        <w:tc>
          <w:tcPr>
            <w:tcW w:w="1240" w:type="dxa"/>
            <w:vAlign w:val="bottom"/>
          </w:tcPr>
          <w:p>
            <w:pPr>
              <w:jc w:val="right"/>
              <w:ind w:right="323"/>
              <w:spacing w:after="0"/>
              <w:rPr>
                <w:sz w:val="20"/>
                <w:szCs w:val="20"/>
                <w:color w:val="auto"/>
              </w:rPr>
            </w:pPr>
            <w:r>
              <w:rPr>
                <w:rFonts w:ascii="Courier New" w:cs="Courier New" w:eastAsia="Courier New" w:hAnsi="Courier New"/>
                <w:sz w:val="15"/>
                <w:szCs w:val="15"/>
                <w:color w:val="auto"/>
              </w:rPr>
              <w:t>7,500</w:t>
            </w:r>
          </w:p>
        </w:tc>
        <w:tc>
          <w:tcPr>
            <w:tcW w:w="158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$201,047</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$22,761</w:t>
            </w:r>
          </w:p>
        </w:tc>
      </w:tr>
      <w:tr>
        <w:trPr>
          <w:trHeight w:val="177"/>
        </w:trPr>
        <w:tc>
          <w:tcPr>
            <w:tcW w:w="880" w:type="dxa"/>
            <w:vAlign w:val="bottom"/>
          </w:tcPr>
          <w:p>
            <w:pPr>
              <w:spacing w:after="0"/>
              <w:rPr>
                <w:sz w:val="20"/>
                <w:szCs w:val="20"/>
                <w:color w:val="auto"/>
              </w:rPr>
            </w:pPr>
            <w:r>
              <w:rPr>
                <w:rFonts w:ascii="Courier New" w:cs="Courier New" w:eastAsia="Courier New" w:hAnsi="Courier New"/>
                <w:sz w:val="15"/>
                <w:szCs w:val="15"/>
                <w:color w:val="auto"/>
              </w:rPr>
              <w:t>Executive</w:t>
            </w:r>
          </w:p>
        </w:tc>
        <w:tc>
          <w:tcPr>
            <w:tcW w:w="1840" w:type="dxa"/>
            <w:vAlign w:val="bottom"/>
          </w:tcPr>
          <w:p>
            <w:pPr>
              <w:ind w:left="40"/>
              <w:spacing w:after="0"/>
              <w:rPr>
                <w:sz w:val="20"/>
                <w:szCs w:val="20"/>
                <w:color w:val="auto"/>
              </w:rPr>
            </w:pPr>
            <w:r>
              <w:rPr>
                <w:rFonts w:ascii="Courier New" w:cs="Courier New" w:eastAsia="Courier New" w:hAnsi="Courier New"/>
                <w:sz w:val="15"/>
                <w:szCs w:val="15"/>
                <w:color w:val="auto"/>
              </w:rPr>
              <w:t>Vice President</w:t>
            </w:r>
          </w:p>
        </w:tc>
        <w:tc>
          <w:tcPr>
            <w:tcW w:w="82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1995</w:t>
            </w:r>
          </w:p>
        </w:tc>
        <w:tc>
          <w:tcPr>
            <w:tcW w:w="116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143,600</w:t>
            </w:r>
          </w:p>
        </w:tc>
        <w:tc>
          <w:tcPr>
            <w:tcW w:w="120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68,096</w:t>
            </w:r>
          </w:p>
        </w:tc>
        <w:tc>
          <w:tcPr>
            <w:tcW w:w="1240" w:type="dxa"/>
            <w:vAlign w:val="bottom"/>
          </w:tcPr>
          <w:p>
            <w:pPr>
              <w:jc w:val="right"/>
              <w:ind w:right="323"/>
              <w:spacing w:after="0"/>
              <w:rPr>
                <w:sz w:val="20"/>
                <w:szCs w:val="20"/>
                <w:color w:val="auto"/>
              </w:rPr>
            </w:pPr>
            <w:r>
              <w:rPr>
                <w:rFonts w:ascii="Courier New" w:cs="Courier New" w:eastAsia="Courier New" w:hAnsi="Courier New"/>
                <w:sz w:val="15"/>
                <w:szCs w:val="15"/>
                <w:color w:val="auto"/>
              </w:rPr>
              <w:t>0</w:t>
            </w:r>
          </w:p>
        </w:tc>
        <w:tc>
          <w:tcPr>
            <w:tcW w:w="158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185,290</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19,658</w:t>
            </w:r>
          </w:p>
        </w:tc>
      </w:tr>
      <w:tr>
        <w:trPr>
          <w:trHeight w:val="177"/>
        </w:trPr>
        <w:tc>
          <w:tcPr>
            <w:tcW w:w="880" w:type="dxa"/>
            <w:vAlign w:val="bottom"/>
          </w:tcPr>
          <w:p>
            <w:pPr>
              <w:spacing w:after="0"/>
              <w:rPr>
                <w:sz w:val="20"/>
                <w:szCs w:val="20"/>
                <w:color w:val="auto"/>
              </w:rPr>
            </w:pPr>
            <w:r>
              <w:rPr>
                <w:rFonts w:ascii="Courier New" w:cs="Courier New" w:eastAsia="Courier New" w:hAnsi="Courier New"/>
                <w:sz w:val="15"/>
                <w:szCs w:val="15"/>
                <w:color w:val="auto"/>
              </w:rPr>
              <w:t>and Chief</w:t>
            </w:r>
          </w:p>
        </w:tc>
        <w:tc>
          <w:tcPr>
            <w:tcW w:w="1840" w:type="dxa"/>
            <w:vAlign w:val="bottom"/>
          </w:tcPr>
          <w:p>
            <w:pPr>
              <w:ind w:left="40"/>
              <w:spacing w:after="0"/>
              <w:rPr>
                <w:sz w:val="20"/>
                <w:szCs w:val="20"/>
                <w:color w:val="auto"/>
              </w:rPr>
            </w:pPr>
            <w:r>
              <w:rPr>
                <w:rFonts w:ascii="Courier New" w:cs="Courier New" w:eastAsia="Courier New" w:hAnsi="Courier New"/>
                <w:sz w:val="15"/>
                <w:szCs w:val="15"/>
                <w:color w:val="auto"/>
              </w:rPr>
              <w:t>Financial Officer</w:t>
            </w:r>
          </w:p>
        </w:tc>
        <w:tc>
          <w:tcPr>
            <w:tcW w:w="82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1994</w:t>
            </w:r>
          </w:p>
        </w:tc>
        <w:tc>
          <w:tcPr>
            <w:tcW w:w="116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139,400</w:t>
            </w:r>
          </w:p>
        </w:tc>
        <w:tc>
          <w:tcPr>
            <w:tcW w:w="120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62,581</w:t>
            </w:r>
          </w:p>
        </w:tc>
        <w:tc>
          <w:tcPr>
            <w:tcW w:w="1240" w:type="dxa"/>
            <w:vAlign w:val="bottom"/>
          </w:tcPr>
          <w:p>
            <w:pPr>
              <w:jc w:val="right"/>
              <w:ind w:right="323"/>
              <w:spacing w:after="0"/>
              <w:rPr>
                <w:sz w:val="20"/>
                <w:szCs w:val="20"/>
                <w:color w:val="auto"/>
              </w:rPr>
            </w:pPr>
            <w:r>
              <w:rPr>
                <w:rFonts w:ascii="Courier New" w:cs="Courier New" w:eastAsia="Courier New" w:hAnsi="Courier New"/>
                <w:sz w:val="15"/>
                <w:szCs w:val="15"/>
                <w:color w:val="auto"/>
              </w:rPr>
              <w:t>0</w:t>
            </w:r>
          </w:p>
        </w:tc>
        <w:tc>
          <w:tcPr>
            <w:tcW w:w="158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114,031</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16,125</w:t>
            </w:r>
          </w:p>
        </w:tc>
      </w:tr>
    </w:tbl>
    <w:p>
      <w:pPr>
        <w:spacing w:after="0" w:line="360" w:lineRule="exact"/>
        <w:rPr>
          <w:sz w:val="20"/>
          <w:szCs w:val="20"/>
          <w:color w:val="auto"/>
        </w:rPr>
      </w:pPr>
    </w:p>
    <w:p>
      <w:pPr>
        <w:jc w:val="both"/>
        <w:ind w:left="825" w:right="3220" w:hanging="825"/>
        <w:spacing w:after="0" w:line="251" w:lineRule="auto"/>
        <w:tabs>
          <w:tab w:leader="none" w:pos="825"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the portion of amounts accrued under the Company's Officers' Incentive Plan which is paid in cash shortly after the end of the fiscal year in which earned, and amounts paid shortly after year-end under other incentive plans. See description under "Compensation Committee Report on Executive Compensation; Incentive Compensation Plans" below.</w:t>
      </w:r>
    </w:p>
    <w:p>
      <w:pPr>
        <w:spacing w:after="0" w:line="353" w:lineRule="exact"/>
        <w:rPr>
          <w:rFonts w:ascii="Courier New" w:cs="Courier New" w:eastAsia="Courier New" w:hAnsi="Courier New"/>
          <w:sz w:val="15"/>
          <w:szCs w:val="15"/>
          <w:color w:val="auto"/>
        </w:rPr>
      </w:pPr>
    </w:p>
    <w:p>
      <w:pPr>
        <w:jc w:val="both"/>
        <w:ind w:left="825" w:right="3220" w:hanging="825"/>
        <w:spacing w:after="0" w:line="251" w:lineRule="auto"/>
        <w:tabs>
          <w:tab w:leader="none" w:pos="825"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Payments under the Company's Officers' Incentive Plan for shares of "phantom stock" awarded in prior years. See description under "Compensation Committee Report on Executive Compensation; Incentive Compensation Plans" below.</w:t>
      </w:r>
    </w:p>
    <w:p>
      <w:pPr>
        <w:spacing w:after="0" w:line="176" w:lineRule="exact"/>
        <w:rPr>
          <w:rFonts w:ascii="Courier New" w:cs="Courier New" w:eastAsia="Courier New" w:hAnsi="Courier New"/>
          <w:sz w:val="15"/>
          <w:szCs w:val="15"/>
          <w:color w:val="auto"/>
        </w:rPr>
      </w:pPr>
    </w:p>
    <w:p>
      <w:pPr>
        <w:jc w:val="both"/>
        <w:ind w:left="825" w:right="3220" w:hanging="825"/>
        <w:spacing w:after="0" w:line="251" w:lineRule="auto"/>
        <w:tabs>
          <w:tab w:leader="none" w:pos="825"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the value of employer contributions to the Company's 401(k) Plans, employer contributions to the Company's Supplemental Retirement and Savings Plan, and employer contributions and other allocations to the Company's Employee Stock Ownership Plan. For fiscal 1996, employer 401(k) contributions were $2,404, $2,747, $2,555, $2,400 and $2,366 for Messrs. Rosenberger, Woldrich, Culhane, Roach and de Kerchove, respectively; the value of ESOP contributions and allocations were $11,884, $11,013, $7,918, $7,465 and $12,895 for Messrs. Rosenberger, Woldrich, Culhane, Roach and de Kerchove respectively; and the</w:t>
      </w:r>
    </w:p>
    <w:p>
      <w:pPr>
        <w:spacing w:after="0" w:line="175" w:lineRule="exact"/>
        <w:rPr>
          <w:sz w:val="20"/>
          <w:szCs w:val="20"/>
          <w:color w:val="auto"/>
        </w:rPr>
      </w:pPr>
    </w:p>
    <w:p>
      <w:pPr>
        <w:ind w:left="7285"/>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605"/>
          </w:cols>
          <w:pgMar w:left="235" w:top="650" w:right="1059" w:bottom="1440" w:gutter="0" w:footer="0" w:header="0"/>
        </w:sectPr>
      </w:pPr>
    </w:p>
    <w:bookmarkStart w:id="10" w:name="page11"/>
    <w:bookmarkEnd w:id="10"/>
    <w:p>
      <w:pPr>
        <w:jc w:val="both"/>
        <w:ind w:left="825" w:right="4140"/>
        <w:spacing w:after="0" w:line="252" w:lineRule="auto"/>
        <w:rPr>
          <w:sz w:val="20"/>
          <w:szCs w:val="20"/>
          <w:color w:val="auto"/>
        </w:rPr>
      </w:pPr>
      <w:r>
        <w:rPr>
          <w:rFonts w:ascii="Courier New" w:cs="Courier New" w:eastAsia="Courier New" w:hAnsi="Courier New"/>
          <w:sz w:val="15"/>
          <w:szCs w:val="15"/>
          <w:color w:val="auto"/>
        </w:rPr>
        <w:t>value of Company contributions to the Supplemental Retirement and Savings Plan for each of Messrs. Rosenberger, Woldrich, Culhane, Roach and de Kerchove was $7,500.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Option/SAR Grants in Last Fiscal Year</w:t>
      </w:r>
    </w:p>
    <w:p>
      <w:pPr>
        <w:spacing w:after="0" w:line="185" w:lineRule="exact"/>
        <w:rPr>
          <w:sz w:val="20"/>
          <w:szCs w:val="20"/>
          <w:color w:val="auto"/>
        </w:rPr>
      </w:pPr>
    </w:p>
    <w:p>
      <w:pPr>
        <w:ind w:left="4425"/>
        <w:spacing w:after="0"/>
        <w:rPr>
          <w:sz w:val="20"/>
          <w:szCs w:val="20"/>
          <w:color w:val="auto"/>
        </w:rPr>
      </w:pPr>
      <w:r>
        <w:rPr>
          <w:rFonts w:ascii="Courier New" w:cs="Courier New" w:eastAsia="Courier New" w:hAnsi="Courier New"/>
          <w:sz w:val="15"/>
          <w:szCs w:val="15"/>
          <w:color w:val="auto"/>
        </w:rPr>
        <w:t>Individual Grants</w:t>
      </w:r>
    </w:p>
    <w:p>
      <w:pPr>
        <w:spacing w:after="0" w:line="8" w:lineRule="exact"/>
        <w:rPr>
          <w:sz w:val="20"/>
          <w:szCs w:val="20"/>
          <w:color w:val="auto"/>
        </w:rPr>
      </w:pPr>
    </w:p>
    <w:p>
      <w:pPr>
        <w:ind w:left="2205"/>
        <w:spacing w:after="0"/>
        <w:tabs>
          <w:tab w:leader="none" w:pos="8285"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Potential Realizable Value</w:t>
      </w:r>
    </w:p>
    <w:p>
      <w:pPr>
        <w:spacing w:after="0" w:line="8" w:lineRule="exact"/>
        <w:rPr>
          <w:sz w:val="20"/>
          <w:szCs w:val="20"/>
          <w:color w:val="auto"/>
        </w:rPr>
      </w:pPr>
    </w:p>
    <w:p>
      <w:pPr>
        <w:ind w:left="2305"/>
        <w:spacing w:after="0"/>
        <w:tabs>
          <w:tab w:leader="none" w:pos="3585" w:val="left"/>
          <w:tab w:leader="none" w:pos="8185" w:val="left"/>
        </w:tabs>
        <w:rPr>
          <w:sz w:val="20"/>
          <w:szCs w:val="20"/>
          <w:color w:val="auto"/>
        </w:rPr>
      </w:pPr>
      <w:r>
        <w:rPr>
          <w:rFonts w:ascii="Courier New" w:cs="Courier New" w:eastAsia="Courier New" w:hAnsi="Courier New"/>
          <w:sz w:val="15"/>
          <w:szCs w:val="15"/>
          <w:color w:val="auto"/>
        </w:rPr>
        <w:t>Number of</w:t>
      </w:r>
      <w:r>
        <w:rPr>
          <w:sz w:val="20"/>
          <w:szCs w:val="20"/>
          <w:color w:val="auto"/>
        </w:rPr>
        <w:tab/>
      </w:r>
      <w:r>
        <w:rPr>
          <w:rFonts w:ascii="Courier New" w:cs="Courier New" w:eastAsia="Courier New" w:hAnsi="Courier New"/>
          <w:sz w:val="15"/>
          <w:szCs w:val="15"/>
          <w:color w:val="auto"/>
        </w:rPr>
        <w:t>% of Total</w:t>
      </w:r>
      <w:r>
        <w:rPr>
          <w:sz w:val="20"/>
          <w:szCs w:val="20"/>
          <w:color w:val="auto"/>
        </w:rPr>
        <w:tab/>
      </w:r>
      <w:r>
        <w:rPr>
          <w:rFonts w:ascii="Courier New" w:cs="Courier New" w:eastAsia="Courier New" w:hAnsi="Courier New"/>
          <w:sz w:val="15"/>
          <w:szCs w:val="15"/>
          <w:color w:val="auto"/>
        </w:rPr>
        <w:t>at Assumed Annual Rates of</w:t>
      </w:r>
    </w:p>
    <w:p>
      <w:pPr>
        <w:spacing w:after="0" w:line="8" w:lineRule="exact"/>
        <w:rPr>
          <w:sz w:val="20"/>
          <w:szCs w:val="20"/>
          <w:color w:val="auto"/>
        </w:rPr>
      </w:pPr>
    </w:p>
    <w:p>
      <w:pPr>
        <w:ind w:left="2205"/>
        <w:spacing w:after="0"/>
        <w:tabs>
          <w:tab w:leader="none" w:pos="3765" w:val="left"/>
          <w:tab w:leader="none" w:pos="8285" w:val="left"/>
        </w:tabs>
        <w:rPr>
          <w:sz w:val="20"/>
          <w:szCs w:val="20"/>
          <w:color w:val="auto"/>
        </w:rPr>
      </w:pPr>
      <w:r>
        <w:rPr>
          <w:rFonts w:ascii="Courier New" w:cs="Courier New" w:eastAsia="Courier New" w:hAnsi="Courier New"/>
          <w:sz w:val="15"/>
          <w:szCs w:val="15"/>
          <w:color w:val="auto"/>
        </w:rPr>
        <w:t>Securities</w:t>
      </w:r>
      <w:r>
        <w:rPr>
          <w:sz w:val="20"/>
          <w:szCs w:val="20"/>
          <w:color w:val="auto"/>
        </w:rPr>
        <w:tab/>
      </w:r>
      <w:r>
        <w:rPr>
          <w:rFonts w:ascii="Courier New" w:cs="Courier New" w:eastAsia="Courier New" w:hAnsi="Courier New"/>
          <w:sz w:val="15"/>
          <w:szCs w:val="15"/>
          <w:color w:val="auto"/>
        </w:rPr>
        <w:t>Options</w:t>
      </w:r>
      <w:r>
        <w:rPr>
          <w:sz w:val="20"/>
          <w:szCs w:val="20"/>
          <w:color w:val="auto"/>
        </w:rPr>
        <w:tab/>
      </w:r>
      <w:r>
        <w:rPr>
          <w:rFonts w:ascii="Courier New" w:cs="Courier New" w:eastAsia="Courier New" w:hAnsi="Courier New"/>
          <w:sz w:val="15"/>
          <w:szCs w:val="15"/>
          <w:color w:val="auto"/>
        </w:rPr>
        <w:t>Stock Price Appreciation</w:t>
      </w:r>
    </w:p>
    <w:p>
      <w:pPr>
        <w:spacing w:after="0" w:line="8" w:lineRule="exact"/>
        <w:rPr>
          <w:sz w:val="20"/>
          <w:szCs w:val="20"/>
          <w:color w:val="auto"/>
        </w:rPr>
      </w:pPr>
    </w:p>
    <w:p>
      <w:pPr>
        <w:ind w:left="2205"/>
        <w:spacing w:after="0"/>
        <w:tabs>
          <w:tab w:leader="none" w:pos="3585" w:val="left"/>
          <w:tab w:leader="none" w:pos="8645" w:val="left"/>
        </w:tabs>
        <w:rPr>
          <w:sz w:val="20"/>
          <w:szCs w:val="20"/>
          <w:color w:val="auto"/>
        </w:rPr>
      </w:pPr>
      <w:r>
        <w:rPr>
          <w:rFonts w:ascii="Courier New" w:cs="Courier New" w:eastAsia="Courier New" w:hAnsi="Courier New"/>
          <w:sz w:val="15"/>
          <w:szCs w:val="15"/>
          <w:color w:val="auto"/>
        </w:rPr>
        <w:t>Underlying</w:t>
      </w:r>
      <w:r>
        <w:rPr>
          <w:sz w:val="20"/>
          <w:szCs w:val="20"/>
          <w:color w:val="auto"/>
        </w:rPr>
        <w:tab/>
      </w:r>
      <w:r>
        <w:rPr>
          <w:rFonts w:ascii="Courier New" w:cs="Courier New" w:eastAsia="Courier New" w:hAnsi="Courier New"/>
          <w:sz w:val="15"/>
          <w:szCs w:val="15"/>
          <w:color w:val="auto"/>
        </w:rPr>
        <w:t>Granted to</w:t>
      </w:r>
      <w:r>
        <w:rPr>
          <w:sz w:val="20"/>
          <w:szCs w:val="20"/>
          <w:color w:val="auto"/>
        </w:rPr>
        <w:tab/>
      </w:r>
      <w:r>
        <w:rPr>
          <w:rFonts w:ascii="Courier New" w:cs="Courier New" w:eastAsia="Courier New" w:hAnsi="Courier New"/>
          <w:sz w:val="15"/>
          <w:szCs w:val="15"/>
          <w:color w:val="auto"/>
        </w:rPr>
        <w:t>for Option Term(2)</w:t>
      </w:r>
    </w:p>
    <w:p>
      <w:pPr>
        <w:spacing w:after="0" w:line="8" w:lineRule="exact"/>
        <w:rPr>
          <w:sz w:val="20"/>
          <w:szCs w:val="20"/>
          <w:color w:val="auto"/>
        </w:rPr>
      </w:pPr>
    </w:p>
    <w:p>
      <w:pPr>
        <w:ind w:left="2405"/>
        <w:spacing w:after="0"/>
        <w:tabs>
          <w:tab w:leader="none" w:pos="3665" w:val="left"/>
          <w:tab w:leader="none" w:pos="5045" w:val="left"/>
          <w:tab w:leader="none" w:pos="6625" w:val="left"/>
          <w:tab w:leader="none" w:pos="8185" w:val="left"/>
        </w:tabs>
        <w:rPr>
          <w:sz w:val="20"/>
          <w:szCs w:val="20"/>
          <w:color w:val="auto"/>
        </w:rPr>
      </w:pPr>
      <w:r>
        <w:rPr>
          <w:rFonts w:ascii="Courier New" w:cs="Courier New" w:eastAsia="Courier New" w:hAnsi="Courier New"/>
          <w:sz w:val="15"/>
          <w:szCs w:val="15"/>
          <w:color w:val="auto"/>
        </w:rPr>
        <w:t>Options</w:t>
      </w:r>
      <w:r>
        <w:rPr>
          <w:sz w:val="20"/>
          <w:szCs w:val="20"/>
          <w:color w:val="auto"/>
        </w:rPr>
        <w:tab/>
      </w:r>
      <w:r>
        <w:rPr>
          <w:rFonts w:ascii="Courier New" w:cs="Courier New" w:eastAsia="Courier New" w:hAnsi="Courier New"/>
          <w:sz w:val="15"/>
          <w:szCs w:val="15"/>
          <w:color w:val="auto"/>
        </w:rPr>
        <w:t>Employees</w:t>
      </w:r>
      <w:r>
        <w:rPr>
          <w:sz w:val="20"/>
          <w:szCs w:val="20"/>
          <w:color w:val="auto"/>
        </w:rPr>
        <w:tab/>
      </w:r>
      <w:r>
        <w:rPr>
          <w:rFonts w:ascii="Courier New" w:cs="Courier New" w:eastAsia="Courier New" w:hAnsi="Courier New"/>
          <w:sz w:val="15"/>
          <w:szCs w:val="15"/>
          <w:color w:val="auto"/>
        </w:rPr>
        <w:t>Exercise Price</w:t>
      </w:r>
      <w:r>
        <w:rPr>
          <w:sz w:val="20"/>
          <w:szCs w:val="20"/>
          <w:color w:val="auto"/>
        </w:rPr>
        <w:tab/>
      </w:r>
      <w:r>
        <w:rPr>
          <w:rFonts w:ascii="Courier New" w:cs="Courier New" w:eastAsia="Courier New" w:hAnsi="Courier New"/>
          <w:sz w:val="15"/>
          <w:szCs w:val="15"/>
          <w:color w:val="auto"/>
        </w:rPr>
        <w:t>Expiration</w:t>
      </w:r>
      <w:r>
        <w:rPr>
          <w:sz w:val="20"/>
          <w:szCs w:val="20"/>
          <w:color w:val="auto"/>
        </w:rPr>
        <w:tab/>
      </w:r>
      <w:r>
        <w:rPr>
          <w:rFonts w:ascii="Courier New" w:cs="Courier New" w:eastAsia="Courier New" w:hAnsi="Courier New"/>
          <w:sz w:val="15"/>
          <w:szCs w:val="15"/>
          <w:color w:val="auto"/>
        </w:rPr>
        <w:t>--------------------------</w:t>
      </w:r>
    </w:p>
    <w:p>
      <w:pPr>
        <w:spacing w:after="0" w:line="8" w:lineRule="exact"/>
        <w:rPr>
          <w:sz w:val="20"/>
          <w:szCs w:val="20"/>
          <w:color w:val="auto"/>
        </w:rPr>
      </w:pPr>
    </w:p>
    <w:p>
      <w:pPr>
        <w:ind w:left="5"/>
        <w:spacing w:after="0"/>
        <w:tabs>
          <w:tab w:leader="none" w:pos="2185" w:val="left"/>
          <w:tab w:leader="none" w:pos="3385" w:val="left"/>
          <w:tab w:leader="none" w:pos="5325" w:val="left"/>
          <w:tab w:leader="none" w:pos="6905" w:val="left"/>
          <w:tab w:leader="none" w:pos="8845" w:val="left"/>
          <w:tab w:leader="none" w:pos="10045" w:val="left"/>
        </w:tabs>
        <w:rPr>
          <w:sz w:val="20"/>
          <w:szCs w:val="20"/>
          <w:color w:val="auto"/>
        </w:rPr>
      </w:pPr>
      <w:r>
        <w:rPr>
          <w:rFonts w:ascii="Courier New" w:cs="Courier New" w:eastAsia="Courier New" w:hAnsi="Courier New"/>
          <w:sz w:val="15"/>
          <w:szCs w:val="15"/>
          <w:color w:val="auto"/>
        </w:rPr>
        <w:t>Name</w:t>
      </w:r>
      <w:r>
        <w:rPr>
          <w:sz w:val="20"/>
          <w:szCs w:val="20"/>
          <w:color w:val="auto"/>
        </w:rPr>
        <w:tab/>
      </w:r>
      <w:r>
        <w:rPr>
          <w:rFonts w:ascii="Courier New" w:cs="Courier New" w:eastAsia="Courier New" w:hAnsi="Courier New"/>
          <w:sz w:val="15"/>
          <w:szCs w:val="15"/>
          <w:color w:val="auto"/>
        </w:rPr>
        <w:t>Granted(1)</w:t>
        <w:tab/>
        <w:t>in Fiscal Year</w:t>
      </w:r>
      <w:r>
        <w:rPr>
          <w:sz w:val="20"/>
          <w:szCs w:val="20"/>
          <w:color w:val="auto"/>
        </w:rPr>
        <w:tab/>
      </w:r>
      <w:r>
        <w:rPr>
          <w:rFonts w:ascii="Courier New" w:cs="Courier New" w:eastAsia="Courier New" w:hAnsi="Courier New"/>
          <w:sz w:val="15"/>
          <w:szCs w:val="15"/>
          <w:color w:val="auto"/>
        </w:rPr>
        <w:t>per share</w:t>
      </w:r>
      <w:r>
        <w:rPr>
          <w:sz w:val="20"/>
          <w:szCs w:val="20"/>
          <w:color w:val="auto"/>
        </w:rPr>
        <w:tab/>
      </w:r>
      <w:r>
        <w:rPr>
          <w:rFonts w:ascii="Courier New" w:cs="Courier New" w:eastAsia="Courier New" w:hAnsi="Courier New"/>
          <w:sz w:val="15"/>
          <w:szCs w:val="15"/>
          <w:color w:val="auto"/>
        </w:rPr>
        <w:t>Date</w:t>
      </w:r>
      <w:r>
        <w:rPr>
          <w:sz w:val="20"/>
          <w:szCs w:val="20"/>
          <w:color w:val="auto"/>
        </w:rPr>
        <w:tab/>
      </w:r>
      <w:r>
        <w:rPr>
          <w:rFonts w:ascii="Courier New" w:cs="Courier New" w:eastAsia="Courier New" w:hAnsi="Courier New"/>
          <w:sz w:val="15"/>
          <w:szCs w:val="15"/>
          <w:color w:val="auto"/>
        </w:rPr>
        <w:t>5%</w:t>
      </w:r>
      <w:r>
        <w:rPr>
          <w:sz w:val="20"/>
          <w:szCs w:val="20"/>
          <w:color w:val="auto"/>
        </w:rPr>
        <w:tab/>
      </w:r>
      <w:r>
        <w:rPr>
          <w:rFonts w:ascii="Courier New" w:cs="Courier New" w:eastAsia="Courier New" w:hAnsi="Courier New"/>
          <w:sz w:val="14"/>
          <w:szCs w:val="14"/>
          <w:color w:val="auto"/>
        </w:rPr>
        <w:t>10%</w:t>
      </w:r>
    </w:p>
    <w:p>
      <w:pPr>
        <w:spacing w:after="0" w:line="8"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 -------------------------------------------------------------------------------------------------------------------</w:t>
      </w:r>
    </w:p>
    <w:p>
      <w:pPr>
        <w:spacing w:after="0" w:line="185" w:lineRule="exact"/>
        <w:rPr>
          <w:sz w:val="20"/>
          <w:szCs w:val="20"/>
          <w:color w:val="auto"/>
        </w:rPr>
      </w:pPr>
    </w:p>
    <w:tbl>
      <w:tblPr>
        <w:tblLayout w:type="fixed"/>
        <w:tblInd w:w="5" w:type="dxa"/>
        <w:tblCellMar>
          <w:top w:w="0" w:type="dxa"/>
          <w:left w:w="0" w:type="dxa"/>
          <w:bottom w:w="0" w:type="dxa"/>
          <w:right w:w="0" w:type="dxa"/>
        </w:tblCellMar>
      </w:tblPr>
      <w:tr>
        <w:trPr>
          <w:trHeight w:val="172"/>
        </w:trPr>
        <w:tc>
          <w:tcPr>
            <w:tcW w:w="2160" w:type="dxa"/>
            <w:vAlign w:val="bottom"/>
          </w:tcPr>
          <w:p>
            <w:pPr>
              <w:spacing w:after="0"/>
              <w:rPr>
                <w:sz w:val="20"/>
                <w:szCs w:val="20"/>
                <w:color w:val="auto"/>
              </w:rPr>
            </w:pPr>
            <w:r>
              <w:rPr>
                <w:rFonts w:ascii="Courier New" w:cs="Courier New" w:eastAsia="Courier New" w:hAnsi="Courier New"/>
                <w:sz w:val="15"/>
                <w:szCs w:val="15"/>
                <w:color w:val="auto"/>
              </w:rPr>
              <w:t>Larry E. Rosenberger</w:t>
            </w:r>
          </w:p>
        </w:tc>
        <w:tc>
          <w:tcPr>
            <w:tcW w:w="134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27,500</w:t>
            </w:r>
          </w:p>
        </w:tc>
        <w:tc>
          <w:tcPr>
            <w:tcW w:w="1380" w:type="dxa"/>
            <w:vAlign w:val="bottom"/>
          </w:tcPr>
          <w:p>
            <w:pPr>
              <w:jc w:val="right"/>
              <w:ind w:right="463"/>
              <w:spacing w:after="0"/>
              <w:rPr>
                <w:sz w:val="20"/>
                <w:szCs w:val="20"/>
                <w:color w:val="auto"/>
              </w:rPr>
            </w:pPr>
            <w:r>
              <w:rPr>
                <w:rFonts w:ascii="Courier New" w:cs="Courier New" w:eastAsia="Courier New" w:hAnsi="Courier New"/>
                <w:sz w:val="15"/>
                <w:szCs w:val="15"/>
                <w:color w:val="auto"/>
              </w:rPr>
              <w:t>9.6%</w:t>
            </w:r>
          </w:p>
        </w:tc>
        <w:tc>
          <w:tcPr>
            <w:tcW w:w="166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$30.625</w:t>
            </w:r>
          </w:p>
        </w:tc>
        <w:tc>
          <w:tcPr>
            <w:tcW w:w="158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3/31/06</w:t>
            </w:r>
          </w:p>
        </w:tc>
        <w:tc>
          <w:tcPr>
            <w:tcW w:w="138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$529,513</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$1,342,138</w:t>
            </w:r>
          </w:p>
        </w:tc>
      </w:tr>
      <w:tr>
        <w:trPr>
          <w:trHeight w:val="177"/>
        </w:trPr>
        <w:tc>
          <w:tcPr>
            <w:tcW w:w="2160" w:type="dxa"/>
            <w:vAlign w:val="bottom"/>
          </w:tcPr>
          <w:p>
            <w:pPr>
              <w:spacing w:after="0"/>
              <w:rPr>
                <w:sz w:val="20"/>
                <w:szCs w:val="20"/>
                <w:color w:val="auto"/>
              </w:rPr>
            </w:pPr>
            <w:r>
              <w:rPr>
                <w:rFonts w:ascii="Courier New" w:cs="Courier New" w:eastAsia="Courier New" w:hAnsi="Courier New"/>
                <w:sz w:val="15"/>
                <w:szCs w:val="15"/>
                <w:color w:val="auto"/>
              </w:rPr>
              <w:t>John D. Woldrich</w:t>
            </w:r>
          </w:p>
        </w:tc>
        <w:tc>
          <w:tcPr>
            <w:tcW w:w="134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25,000</w:t>
            </w:r>
          </w:p>
        </w:tc>
        <w:tc>
          <w:tcPr>
            <w:tcW w:w="1380" w:type="dxa"/>
            <w:vAlign w:val="bottom"/>
          </w:tcPr>
          <w:p>
            <w:pPr>
              <w:jc w:val="right"/>
              <w:ind w:right="463"/>
              <w:spacing w:after="0"/>
              <w:rPr>
                <w:sz w:val="20"/>
                <w:szCs w:val="20"/>
                <w:color w:val="auto"/>
              </w:rPr>
            </w:pPr>
            <w:r>
              <w:rPr>
                <w:rFonts w:ascii="Courier New" w:cs="Courier New" w:eastAsia="Courier New" w:hAnsi="Courier New"/>
                <w:sz w:val="15"/>
                <w:szCs w:val="15"/>
                <w:color w:val="auto"/>
              </w:rPr>
              <w:t>8.8%</w:t>
            </w:r>
          </w:p>
        </w:tc>
        <w:tc>
          <w:tcPr>
            <w:tcW w:w="166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$30.625</w:t>
            </w:r>
          </w:p>
        </w:tc>
        <w:tc>
          <w:tcPr>
            <w:tcW w:w="158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3/31/06</w:t>
            </w:r>
          </w:p>
        </w:tc>
        <w:tc>
          <w:tcPr>
            <w:tcW w:w="138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$481,375</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$1,220,125</w:t>
            </w:r>
          </w:p>
        </w:tc>
      </w:tr>
      <w:tr>
        <w:trPr>
          <w:trHeight w:val="177"/>
        </w:trPr>
        <w:tc>
          <w:tcPr>
            <w:tcW w:w="2160" w:type="dxa"/>
            <w:vAlign w:val="bottom"/>
          </w:tcPr>
          <w:p>
            <w:pPr>
              <w:spacing w:after="0"/>
              <w:rPr>
                <w:sz w:val="20"/>
                <w:szCs w:val="20"/>
                <w:color w:val="auto"/>
              </w:rPr>
            </w:pPr>
            <w:r>
              <w:rPr>
                <w:rFonts w:ascii="Courier New" w:cs="Courier New" w:eastAsia="Courier New" w:hAnsi="Courier New"/>
                <w:sz w:val="15"/>
                <w:szCs w:val="15"/>
                <w:color w:val="auto"/>
              </w:rPr>
              <w:t>Patrick G. Culhane</w:t>
            </w:r>
          </w:p>
        </w:tc>
        <w:tc>
          <w:tcPr>
            <w:tcW w:w="134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20,000</w:t>
            </w:r>
          </w:p>
        </w:tc>
        <w:tc>
          <w:tcPr>
            <w:tcW w:w="1380" w:type="dxa"/>
            <w:vAlign w:val="bottom"/>
          </w:tcPr>
          <w:p>
            <w:pPr>
              <w:jc w:val="right"/>
              <w:ind w:right="463"/>
              <w:spacing w:after="0"/>
              <w:rPr>
                <w:sz w:val="20"/>
                <w:szCs w:val="20"/>
                <w:color w:val="auto"/>
              </w:rPr>
            </w:pPr>
            <w:r>
              <w:rPr>
                <w:rFonts w:ascii="Courier New" w:cs="Courier New" w:eastAsia="Courier New" w:hAnsi="Courier New"/>
                <w:sz w:val="15"/>
                <w:szCs w:val="15"/>
                <w:color w:val="auto"/>
              </w:rPr>
              <w:t>7.0%</w:t>
            </w:r>
          </w:p>
        </w:tc>
        <w:tc>
          <w:tcPr>
            <w:tcW w:w="166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$30.625</w:t>
            </w:r>
          </w:p>
        </w:tc>
        <w:tc>
          <w:tcPr>
            <w:tcW w:w="158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3/31/06</w:t>
            </w:r>
          </w:p>
        </w:tc>
        <w:tc>
          <w:tcPr>
            <w:tcW w:w="138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$385,100</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$976,100</w:t>
            </w:r>
          </w:p>
        </w:tc>
      </w:tr>
      <w:tr>
        <w:trPr>
          <w:trHeight w:val="177"/>
        </w:trPr>
        <w:tc>
          <w:tcPr>
            <w:tcW w:w="2160" w:type="dxa"/>
            <w:vAlign w:val="bottom"/>
          </w:tcPr>
          <w:p>
            <w:pPr>
              <w:spacing w:after="0"/>
              <w:rPr>
                <w:sz w:val="20"/>
                <w:szCs w:val="20"/>
                <w:color w:val="auto"/>
              </w:rPr>
            </w:pPr>
            <w:r>
              <w:rPr>
                <w:rFonts w:ascii="Courier New" w:cs="Courier New" w:eastAsia="Courier New" w:hAnsi="Courier New"/>
                <w:sz w:val="15"/>
                <w:szCs w:val="15"/>
                <w:color w:val="auto"/>
              </w:rPr>
              <w:t>Barrett B. Roach</w:t>
            </w:r>
          </w:p>
        </w:tc>
        <w:tc>
          <w:tcPr>
            <w:tcW w:w="134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15,000</w:t>
            </w:r>
          </w:p>
        </w:tc>
        <w:tc>
          <w:tcPr>
            <w:tcW w:w="1380" w:type="dxa"/>
            <w:vAlign w:val="bottom"/>
          </w:tcPr>
          <w:p>
            <w:pPr>
              <w:jc w:val="right"/>
              <w:ind w:right="463"/>
              <w:spacing w:after="0"/>
              <w:rPr>
                <w:sz w:val="20"/>
                <w:szCs w:val="20"/>
                <w:color w:val="auto"/>
              </w:rPr>
            </w:pPr>
            <w:r>
              <w:rPr>
                <w:rFonts w:ascii="Courier New" w:cs="Courier New" w:eastAsia="Courier New" w:hAnsi="Courier New"/>
                <w:sz w:val="15"/>
                <w:szCs w:val="15"/>
                <w:color w:val="auto"/>
              </w:rPr>
              <w:t>5.3%</w:t>
            </w:r>
          </w:p>
        </w:tc>
        <w:tc>
          <w:tcPr>
            <w:tcW w:w="166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$30.625</w:t>
            </w:r>
          </w:p>
        </w:tc>
        <w:tc>
          <w:tcPr>
            <w:tcW w:w="158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3/31/06</w:t>
            </w:r>
          </w:p>
        </w:tc>
        <w:tc>
          <w:tcPr>
            <w:tcW w:w="138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$288,825</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$732,075</w:t>
            </w:r>
          </w:p>
        </w:tc>
      </w:tr>
      <w:tr>
        <w:trPr>
          <w:trHeight w:val="177"/>
        </w:trPr>
        <w:tc>
          <w:tcPr>
            <w:tcW w:w="2160" w:type="dxa"/>
            <w:vAlign w:val="bottom"/>
          </w:tcPr>
          <w:p>
            <w:pPr>
              <w:spacing w:after="0"/>
              <w:rPr>
                <w:sz w:val="20"/>
                <w:szCs w:val="20"/>
                <w:color w:val="auto"/>
              </w:rPr>
            </w:pPr>
            <w:r>
              <w:rPr>
                <w:rFonts w:ascii="Courier New" w:cs="Courier New" w:eastAsia="Courier New" w:hAnsi="Courier New"/>
                <w:sz w:val="15"/>
                <w:szCs w:val="15"/>
                <w:color w:val="auto"/>
              </w:rPr>
              <w:t>Gerald de Kerchove</w:t>
            </w:r>
          </w:p>
        </w:tc>
        <w:tc>
          <w:tcPr>
            <w:tcW w:w="134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7,500</w:t>
            </w:r>
          </w:p>
        </w:tc>
        <w:tc>
          <w:tcPr>
            <w:tcW w:w="1380" w:type="dxa"/>
            <w:vAlign w:val="bottom"/>
          </w:tcPr>
          <w:p>
            <w:pPr>
              <w:jc w:val="right"/>
              <w:ind w:right="463"/>
              <w:spacing w:after="0"/>
              <w:rPr>
                <w:sz w:val="20"/>
                <w:szCs w:val="20"/>
                <w:color w:val="auto"/>
              </w:rPr>
            </w:pPr>
            <w:r>
              <w:rPr>
                <w:rFonts w:ascii="Courier New" w:cs="Courier New" w:eastAsia="Courier New" w:hAnsi="Courier New"/>
                <w:sz w:val="15"/>
                <w:szCs w:val="15"/>
                <w:color w:val="auto"/>
              </w:rPr>
              <w:t>2.6%</w:t>
            </w:r>
          </w:p>
        </w:tc>
        <w:tc>
          <w:tcPr>
            <w:tcW w:w="166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$30.625</w:t>
            </w:r>
          </w:p>
        </w:tc>
        <w:tc>
          <w:tcPr>
            <w:tcW w:w="158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3/31/06</w:t>
            </w:r>
          </w:p>
        </w:tc>
        <w:tc>
          <w:tcPr>
            <w:tcW w:w="138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$144,413</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$366,038</w:t>
            </w:r>
          </w:p>
        </w:tc>
      </w:tr>
    </w:tbl>
    <w:p>
      <w:pPr>
        <w:spacing w:after="0" w:line="183" w:lineRule="exact"/>
        <w:rPr>
          <w:sz w:val="20"/>
          <w:szCs w:val="20"/>
          <w:color w:val="auto"/>
        </w:rPr>
      </w:pPr>
    </w:p>
    <w:p>
      <w:pPr>
        <w:ind w:left="825" w:hanging="825"/>
        <w:spacing w:after="0"/>
        <w:tabs>
          <w:tab w:leader="none" w:pos="825"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Granted at fair market value and exercisable in full on March 31, 1999.</w:t>
      </w:r>
    </w:p>
    <w:p>
      <w:pPr>
        <w:spacing w:after="0" w:line="184" w:lineRule="exact"/>
        <w:rPr>
          <w:rFonts w:ascii="Courier New" w:cs="Courier New" w:eastAsia="Courier New" w:hAnsi="Courier New"/>
          <w:sz w:val="15"/>
          <w:szCs w:val="15"/>
          <w:color w:val="auto"/>
        </w:rPr>
      </w:pPr>
    </w:p>
    <w:p>
      <w:pPr>
        <w:jc w:val="both"/>
        <w:ind w:left="825" w:right="4140" w:hanging="825"/>
        <w:spacing w:after="0" w:line="252" w:lineRule="auto"/>
        <w:tabs>
          <w:tab w:leader="none" w:pos="825"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Assuming 5% and 10% compounded annual appreciation of the stock price over the terms of the option, the price of a share of Common Stock would be $49.88 and $79.43, respectively, on March 31, 2006.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Aggregated Option/SAR Exercises in Last Fiscal Year and Fiscal Year-End Option/SAR Values</w:t>
      </w:r>
    </w:p>
    <w:p>
      <w:pPr>
        <w:spacing w:after="0" w:line="185" w:lineRule="exact"/>
        <w:rPr>
          <w:sz w:val="20"/>
          <w:szCs w:val="20"/>
          <w:color w:val="auto"/>
        </w:rPr>
      </w:pPr>
    </w:p>
    <w:p>
      <w:pPr>
        <w:ind w:left="5805"/>
        <w:spacing w:after="0"/>
        <w:rPr>
          <w:sz w:val="20"/>
          <w:szCs w:val="20"/>
          <w:color w:val="auto"/>
        </w:rPr>
      </w:pPr>
      <w:r>
        <w:rPr>
          <w:rFonts w:ascii="Courier New" w:cs="Courier New" w:eastAsia="Courier New" w:hAnsi="Courier New"/>
          <w:sz w:val="15"/>
          <w:szCs w:val="15"/>
          <w:color w:val="auto"/>
        </w:rPr>
        <w:t>Number of Securities</w:t>
      </w:r>
    </w:p>
    <w:p>
      <w:pPr>
        <w:spacing w:after="0" w:line="8" w:lineRule="exact"/>
        <w:rPr>
          <w:sz w:val="20"/>
          <w:szCs w:val="20"/>
          <w:color w:val="auto"/>
        </w:rPr>
      </w:pPr>
    </w:p>
    <w:p>
      <w:pPr>
        <w:ind w:left="5725"/>
        <w:spacing w:after="0"/>
        <w:tabs>
          <w:tab w:leader="none" w:pos="8465" w:val="left"/>
        </w:tabs>
        <w:rPr>
          <w:sz w:val="20"/>
          <w:szCs w:val="20"/>
          <w:color w:val="auto"/>
        </w:rPr>
      </w:pPr>
      <w:r>
        <w:rPr>
          <w:rFonts w:ascii="Courier New" w:cs="Courier New" w:eastAsia="Courier New" w:hAnsi="Courier New"/>
          <w:sz w:val="15"/>
          <w:szCs w:val="15"/>
          <w:color w:val="auto"/>
        </w:rPr>
        <w:t>Underlying Unexercised</w:t>
      </w:r>
      <w:r>
        <w:rPr>
          <w:sz w:val="20"/>
          <w:szCs w:val="20"/>
          <w:color w:val="auto"/>
        </w:rPr>
        <w:tab/>
      </w:r>
      <w:r>
        <w:rPr>
          <w:rFonts w:ascii="Courier New" w:cs="Courier New" w:eastAsia="Courier New" w:hAnsi="Courier New"/>
          <w:sz w:val="15"/>
          <w:szCs w:val="15"/>
          <w:color w:val="auto"/>
        </w:rPr>
        <w:t>Value of Unexercised In-the-</w:t>
      </w:r>
    </w:p>
    <w:p>
      <w:pPr>
        <w:spacing w:after="0" w:line="8" w:lineRule="exact"/>
        <w:rPr>
          <w:sz w:val="20"/>
          <w:szCs w:val="20"/>
          <w:color w:val="auto"/>
        </w:rPr>
      </w:pPr>
    </w:p>
    <w:p>
      <w:pPr>
        <w:ind w:left="2585"/>
        <w:spacing w:after="0"/>
        <w:tabs>
          <w:tab w:leader="none" w:pos="5885" w:val="left"/>
          <w:tab w:leader="none" w:pos="8645" w:val="left"/>
        </w:tabs>
        <w:rPr>
          <w:sz w:val="20"/>
          <w:szCs w:val="20"/>
          <w:color w:val="auto"/>
        </w:rPr>
      </w:pPr>
      <w:r>
        <w:rPr>
          <w:rFonts w:ascii="Courier New" w:cs="Courier New" w:eastAsia="Courier New" w:hAnsi="Courier New"/>
          <w:sz w:val="15"/>
          <w:szCs w:val="15"/>
          <w:color w:val="auto"/>
        </w:rPr>
        <w:t>Shares</w:t>
      </w:r>
      <w:r>
        <w:rPr>
          <w:sz w:val="20"/>
          <w:szCs w:val="20"/>
          <w:color w:val="auto"/>
        </w:rPr>
        <w:tab/>
      </w:r>
      <w:r>
        <w:rPr>
          <w:rFonts w:ascii="Courier New" w:cs="Courier New" w:eastAsia="Courier New" w:hAnsi="Courier New"/>
          <w:sz w:val="15"/>
          <w:szCs w:val="15"/>
          <w:color w:val="auto"/>
        </w:rPr>
        <w:t>Options at FY-End</w:t>
      </w:r>
      <w:r>
        <w:rPr>
          <w:sz w:val="20"/>
          <w:szCs w:val="20"/>
          <w:color w:val="auto"/>
        </w:rPr>
        <w:tab/>
      </w:r>
      <w:r>
        <w:rPr>
          <w:rFonts w:ascii="Courier New" w:cs="Courier New" w:eastAsia="Courier New" w:hAnsi="Courier New"/>
          <w:sz w:val="15"/>
          <w:szCs w:val="15"/>
          <w:color w:val="auto"/>
        </w:rPr>
        <w:t>Money Options at FY-End(2)</w:t>
      </w:r>
    </w:p>
    <w:p>
      <w:pPr>
        <w:spacing w:after="0" w:line="8" w:lineRule="exact"/>
        <w:rPr>
          <w:sz w:val="20"/>
          <w:szCs w:val="20"/>
          <w:color w:val="auto"/>
        </w:rPr>
      </w:pPr>
    </w:p>
    <w:p>
      <w:pPr>
        <w:ind w:left="2485"/>
        <w:spacing w:after="0"/>
        <w:tabs>
          <w:tab w:leader="none" w:pos="4325" w:val="left"/>
          <w:tab w:leader="none" w:pos="5425" w:val="left"/>
          <w:tab w:leader="none" w:pos="8465" w:val="left"/>
        </w:tabs>
        <w:rPr>
          <w:sz w:val="20"/>
          <w:szCs w:val="20"/>
          <w:color w:val="auto"/>
        </w:rPr>
      </w:pPr>
      <w:r>
        <w:rPr>
          <w:rFonts w:ascii="Courier New" w:cs="Courier New" w:eastAsia="Courier New" w:hAnsi="Courier New"/>
          <w:sz w:val="15"/>
          <w:szCs w:val="15"/>
          <w:color w:val="auto"/>
        </w:rPr>
        <w:t>Acquired</w:t>
      </w:r>
      <w:r>
        <w:rPr>
          <w:sz w:val="20"/>
          <w:szCs w:val="20"/>
          <w:color w:val="auto"/>
        </w:rPr>
        <w:tab/>
      </w:r>
      <w:r>
        <w:rPr>
          <w:rFonts w:ascii="Courier New" w:cs="Courier New" w:eastAsia="Courier New" w:hAnsi="Courier New"/>
          <w:sz w:val="15"/>
          <w:szCs w:val="15"/>
          <w:color w:val="auto"/>
        </w:rPr>
        <w:t>Value</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8" w:lineRule="exact"/>
        <w:rPr>
          <w:sz w:val="20"/>
          <w:szCs w:val="20"/>
          <w:color w:val="auto"/>
        </w:rPr>
      </w:pPr>
    </w:p>
    <w:p>
      <w:pPr>
        <w:ind w:left="5"/>
        <w:spacing w:after="0"/>
        <w:tabs>
          <w:tab w:leader="none" w:pos="2385" w:val="left"/>
          <w:tab w:leader="none" w:pos="4045" w:val="left"/>
          <w:tab w:leader="none" w:pos="5525" w:val="left"/>
          <w:tab w:leader="none" w:pos="6905" w:val="left"/>
          <w:tab w:leader="none" w:pos="8565" w:val="left"/>
          <w:tab w:leader="none" w:pos="9845" w:val="left"/>
        </w:tabs>
        <w:rPr>
          <w:sz w:val="20"/>
          <w:szCs w:val="20"/>
          <w:color w:val="auto"/>
        </w:rPr>
      </w:pPr>
      <w:r>
        <w:rPr>
          <w:rFonts w:ascii="Courier New" w:cs="Courier New" w:eastAsia="Courier New" w:hAnsi="Courier New"/>
          <w:sz w:val="15"/>
          <w:szCs w:val="15"/>
          <w:color w:val="auto"/>
        </w:rPr>
        <w:t>Name</w:t>
      </w:r>
      <w:r>
        <w:rPr>
          <w:sz w:val="20"/>
          <w:szCs w:val="20"/>
          <w:color w:val="auto"/>
        </w:rPr>
        <w:tab/>
      </w:r>
      <w:r>
        <w:rPr>
          <w:rFonts w:ascii="Courier New" w:cs="Courier New" w:eastAsia="Courier New" w:hAnsi="Courier New"/>
          <w:sz w:val="15"/>
          <w:szCs w:val="15"/>
          <w:color w:val="auto"/>
        </w:rPr>
        <w:t>on Exercise</w:t>
      </w:r>
      <w:r>
        <w:rPr>
          <w:sz w:val="20"/>
          <w:szCs w:val="20"/>
          <w:color w:val="auto"/>
        </w:rPr>
        <w:tab/>
      </w:r>
      <w:r>
        <w:rPr>
          <w:rFonts w:ascii="Courier New" w:cs="Courier New" w:eastAsia="Courier New" w:hAnsi="Courier New"/>
          <w:sz w:val="15"/>
          <w:szCs w:val="15"/>
          <w:color w:val="auto"/>
        </w:rPr>
        <w:t>Realized(1)</w:t>
      </w:r>
      <w:r>
        <w:rPr>
          <w:sz w:val="20"/>
          <w:szCs w:val="20"/>
          <w:color w:val="auto"/>
        </w:rPr>
        <w:tab/>
      </w:r>
      <w:r>
        <w:rPr>
          <w:rFonts w:ascii="Courier New" w:cs="Courier New" w:eastAsia="Courier New" w:hAnsi="Courier New"/>
          <w:sz w:val="15"/>
          <w:szCs w:val="15"/>
          <w:color w:val="auto"/>
        </w:rPr>
        <w:t>Exercisable</w:t>
      </w:r>
      <w:r>
        <w:rPr>
          <w:sz w:val="20"/>
          <w:szCs w:val="20"/>
          <w:color w:val="auto"/>
        </w:rPr>
        <w:tab/>
      </w:r>
      <w:r>
        <w:rPr>
          <w:rFonts w:ascii="Courier New" w:cs="Courier New" w:eastAsia="Courier New" w:hAnsi="Courier New"/>
          <w:sz w:val="15"/>
          <w:szCs w:val="15"/>
          <w:color w:val="auto"/>
        </w:rPr>
        <w:t>Unexercisable</w:t>
      </w:r>
      <w:r>
        <w:rPr>
          <w:sz w:val="20"/>
          <w:szCs w:val="20"/>
          <w:color w:val="auto"/>
        </w:rPr>
        <w:tab/>
      </w:r>
      <w:r>
        <w:rPr>
          <w:rFonts w:ascii="Courier New" w:cs="Courier New" w:eastAsia="Courier New" w:hAnsi="Courier New"/>
          <w:sz w:val="15"/>
          <w:szCs w:val="15"/>
          <w:color w:val="auto"/>
        </w:rPr>
        <w:t>Exercisable</w:t>
        <w:tab/>
        <w:t>Unexercisable</w:t>
      </w:r>
    </w:p>
    <w:p>
      <w:pPr>
        <w:spacing w:after="0" w:line="8"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 ---------------------------------------------------------------------------------------------------------------------------</w:t>
      </w:r>
    </w:p>
    <w:p>
      <w:pPr>
        <w:spacing w:after="0" w:line="185" w:lineRule="exact"/>
        <w:rPr>
          <w:sz w:val="20"/>
          <w:szCs w:val="20"/>
          <w:color w:val="auto"/>
        </w:rPr>
      </w:pPr>
    </w:p>
    <w:tbl>
      <w:tblPr>
        <w:tblLayout w:type="fixed"/>
        <w:tblInd w:w="5" w:type="dxa"/>
        <w:tblCellMar>
          <w:top w:w="0" w:type="dxa"/>
          <w:left w:w="0" w:type="dxa"/>
          <w:bottom w:w="0" w:type="dxa"/>
          <w:right w:w="0" w:type="dxa"/>
        </w:tblCellMar>
      </w:tblPr>
      <w:tr>
        <w:trPr>
          <w:trHeight w:val="172"/>
        </w:trPr>
        <w:tc>
          <w:tcPr>
            <w:tcW w:w="2300" w:type="dxa"/>
            <w:vAlign w:val="bottom"/>
          </w:tcPr>
          <w:p>
            <w:pPr>
              <w:spacing w:after="0"/>
              <w:rPr>
                <w:sz w:val="20"/>
                <w:szCs w:val="20"/>
                <w:color w:val="auto"/>
              </w:rPr>
            </w:pPr>
            <w:r>
              <w:rPr>
                <w:rFonts w:ascii="Courier New" w:cs="Courier New" w:eastAsia="Courier New" w:hAnsi="Courier New"/>
                <w:sz w:val="15"/>
                <w:szCs w:val="15"/>
                <w:color w:val="auto"/>
              </w:rPr>
              <w:t>Larry E. Rosenberger</w:t>
            </w:r>
          </w:p>
        </w:tc>
        <w:tc>
          <w:tcPr>
            <w:tcW w:w="134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45,000</w:t>
            </w:r>
          </w:p>
        </w:tc>
        <w:tc>
          <w:tcPr>
            <w:tcW w:w="1940" w:type="dxa"/>
            <w:vAlign w:val="bottom"/>
          </w:tcPr>
          <w:p>
            <w:pPr>
              <w:jc w:val="right"/>
              <w:ind w:right="623"/>
              <w:spacing w:after="0"/>
              <w:rPr>
                <w:sz w:val="20"/>
                <w:szCs w:val="20"/>
                <w:color w:val="auto"/>
              </w:rPr>
            </w:pPr>
            <w:r>
              <w:rPr>
                <w:rFonts w:ascii="Courier New" w:cs="Courier New" w:eastAsia="Courier New" w:hAnsi="Courier New"/>
                <w:sz w:val="15"/>
                <w:szCs w:val="15"/>
                <w:color w:val="auto"/>
              </w:rPr>
              <w:t>$1,186,200</w:t>
            </w:r>
          </w:p>
        </w:tc>
        <w:tc>
          <w:tcPr>
            <w:tcW w:w="110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0</w:t>
            </w:r>
          </w:p>
        </w:tc>
        <w:tc>
          <w:tcPr>
            <w:tcW w:w="1800" w:type="dxa"/>
            <w:vAlign w:val="bottom"/>
          </w:tcPr>
          <w:p>
            <w:pPr>
              <w:jc w:val="right"/>
              <w:ind w:right="843"/>
              <w:spacing w:after="0"/>
              <w:rPr>
                <w:sz w:val="20"/>
                <w:szCs w:val="20"/>
                <w:color w:val="auto"/>
              </w:rPr>
            </w:pPr>
            <w:r>
              <w:rPr>
                <w:rFonts w:ascii="Courier New" w:cs="Courier New" w:eastAsia="Courier New" w:hAnsi="Courier New"/>
                <w:sz w:val="15"/>
                <w:szCs w:val="15"/>
                <w:color w:val="auto"/>
              </w:rPr>
              <w:t>27,500</w:t>
            </w:r>
          </w:p>
        </w:tc>
        <w:tc>
          <w:tcPr>
            <w:tcW w:w="144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$0</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$223,438</w:t>
            </w:r>
          </w:p>
        </w:tc>
      </w:tr>
      <w:tr>
        <w:trPr>
          <w:trHeight w:val="177"/>
        </w:trPr>
        <w:tc>
          <w:tcPr>
            <w:tcW w:w="2300" w:type="dxa"/>
            <w:vAlign w:val="bottom"/>
          </w:tcPr>
          <w:p>
            <w:pPr>
              <w:spacing w:after="0"/>
              <w:rPr>
                <w:sz w:val="20"/>
                <w:szCs w:val="20"/>
                <w:color w:val="auto"/>
              </w:rPr>
            </w:pPr>
            <w:r>
              <w:rPr>
                <w:rFonts w:ascii="Courier New" w:cs="Courier New" w:eastAsia="Courier New" w:hAnsi="Courier New"/>
                <w:sz w:val="15"/>
                <w:szCs w:val="15"/>
                <w:color w:val="auto"/>
              </w:rPr>
              <w:t>John D. Woldrich</w:t>
            </w:r>
          </w:p>
        </w:tc>
        <w:tc>
          <w:tcPr>
            <w:tcW w:w="134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0</w:t>
            </w:r>
          </w:p>
        </w:tc>
        <w:tc>
          <w:tcPr>
            <w:tcW w:w="1940" w:type="dxa"/>
            <w:vAlign w:val="bottom"/>
          </w:tcPr>
          <w:p>
            <w:pPr>
              <w:jc w:val="right"/>
              <w:ind w:right="623"/>
              <w:spacing w:after="0"/>
              <w:rPr>
                <w:sz w:val="20"/>
                <w:szCs w:val="20"/>
                <w:color w:val="auto"/>
              </w:rPr>
            </w:pPr>
            <w:r>
              <w:rPr>
                <w:rFonts w:ascii="Courier New" w:cs="Courier New" w:eastAsia="Courier New" w:hAnsi="Courier New"/>
                <w:sz w:val="15"/>
                <w:szCs w:val="15"/>
                <w:color w:val="auto"/>
              </w:rPr>
              <w:t>$0</w:t>
            </w:r>
          </w:p>
        </w:tc>
        <w:tc>
          <w:tcPr>
            <w:tcW w:w="110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0</w:t>
            </w:r>
          </w:p>
        </w:tc>
        <w:tc>
          <w:tcPr>
            <w:tcW w:w="1800" w:type="dxa"/>
            <w:vAlign w:val="bottom"/>
          </w:tcPr>
          <w:p>
            <w:pPr>
              <w:jc w:val="right"/>
              <w:ind w:right="843"/>
              <w:spacing w:after="0"/>
              <w:rPr>
                <w:sz w:val="20"/>
                <w:szCs w:val="20"/>
                <w:color w:val="auto"/>
              </w:rPr>
            </w:pPr>
            <w:r>
              <w:rPr>
                <w:rFonts w:ascii="Courier New" w:cs="Courier New" w:eastAsia="Courier New" w:hAnsi="Courier New"/>
                <w:sz w:val="15"/>
                <w:szCs w:val="15"/>
                <w:color w:val="auto"/>
              </w:rPr>
              <w:t>25,000</w:t>
            </w:r>
          </w:p>
        </w:tc>
        <w:tc>
          <w:tcPr>
            <w:tcW w:w="144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$0</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$203,125</w:t>
            </w:r>
          </w:p>
        </w:tc>
      </w:tr>
      <w:tr>
        <w:trPr>
          <w:trHeight w:val="177"/>
        </w:trPr>
        <w:tc>
          <w:tcPr>
            <w:tcW w:w="2300" w:type="dxa"/>
            <w:vAlign w:val="bottom"/>
          </w:tcPr>
          <w:p>
            <w:pPr>
              <w:spacing w:after="0"/>
              <w:rPr>
                <w:sz w:val="20"/>
                <w:szCs w:val="20"/>
                <w:color w:val="auto"/>
              </w:rPr>
            </w:pPr>
            <w:r>
              <w:rPr>
                <w:rFonts w:ascii="Courier New" w:cs="Courier New" w:eastAsia="Courier New" w:hAnsi="Courier New"/>
                <w:sz w:val="15"/>
                <w:szCs w:val="15"/>
                <w:color w:val="auto"/>
              </w:rPr>
              <w:t>Patrick G. Culhane</w:t>
            </w:r>
          </w:p>
        </w:tc>
        <w:tc>
          <w:tcPr>
            <w:tcW w:w="134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0</w:t>
            </w:r>
          </w:p>
        </w:tc>
        <w:tc>
          <w:tcPr>
            <w:tcW w:w="1940" w:type="dxa"/>
            <w:vAlign w:val="bottom"/>
          </w:tcPr>
          <w:p>
            <w:pPr>
              <w:jc w:val="right"/>
              <w:ind w:right="623"/>
              <w:spacing w:after="0"/>
              <w:rPr>
                <w:sz w:val="20"/>
                <w:szCs w:val="20"/>
                <w:color w:val="auto"/>
              </w:rPr>
            </w:pPr>
            <w:r>
              <w:rPr>
                <w:rFonts w:ascii="Courier New" w:cs="Courier New" w:eastAsia="Courier New" w:hAnsi="Courier New"/>
                <w:sz w:val="15"/>
                <w:szCs w:val="15"/>
                <w:color w:val="auto"/>
              </w:rPr>
              <w:t>$0</w:t>
            </w:r>
          </w:p>
        </w:tc>
        <w:tc>
          <w:tcPr>
            <w:tcW w:w="110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0</w:t>
            </w:r>
          </w:p>
        </w:tc>
        <w:tc>
          <w:tcPr>
            <w:tcW w:w="1800" w:type="dxa"/>
            <w:vAlign w:val="bottom"/>
          </w:tcPr>
          <w:p>
            <w:pPr>
              <w:jc w:val="right"/>
              <w:ind w:right="843"/>
              <w:spacing w:after="0"/>
              <w:rPr>
                <w:sz w:val="20"/>
                <w:szCs w:val="20"/>
                <w:color w:val="auto"/>
              </w:rPr>
            </w:pPr>
            <w:r>
              <w:rPr>
                <w:rFonts w:ascii="Courier New" w:cs="Courier New" w:eastAsia="Courier New" w:hAnsi="Courier New"/>
                <w:sz w:val="15"/>
                <w:szCs w:val="15"/>
                <w:color w:val="auto"/>
              </w:rPr>
              <w:t>60,000</w:t>
            </w:r>
          </w:p>
        </w:tc>
        <w:tc>
          <w:tcPr>
            <w:tcW w:w="144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$0</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$1,061,250</w:t>
            </w:r>
          </w:p>
        </w:tc>
      </w:tr>
      <w:tr>
        <w:trPr>
          <w:trHeight w:val="177"/>
        </w:trPr>
        <w:tc>
          <w:tcPr>
            <w:tcW w:w="2300" w:type="dxa"/>
            <w:vAlign w:val="bottom"/>
          </w:tcPr>
          <w:p>
            <w:pPr>
              <w:spacing w:after="0"/>
              <w:rPr>
                <w:sz w:val="20"/>
                <w:szCs w:val="20"/>
                <w:color w:val="auto"/>
              </w:rPr>
            </w:pPr>
            <w:r>
              <w:rPr>
                <w:rFonts w:ascii="Courier New" w:cs="Courier New" w:eastAsia="Courier New" w:hAnsi="Courier New"/>
                <w:sz w:val="15"/>
                <w:szCs w:val="15"/>
                <w:color w:val="auto"/>
              </w:rPr>
              <w:t>Barrett B. Roach</w:t>
            </w:r>
          </w:p>
        </w:tc>
        <w:tc>
          <w:tcPr>
            <w:tcW w:w="134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20,000</w:t>
            </w:r>
          </w:p>
        </w:tc>
        <w:tc>
          <w:tcPr>
            <w:tcW w:w="1940" w:type="dxa"/>
            <w:vAlign w:val="bottom"/>
          </w:tcPr>
          <w:p>
            <w:pPr>
              <w:jc w:val="right"/>
              <w:ind w:right="623"/>
              <w:spacing w:after="0"/>
              <w:rPr>
                <w:sz w:val="20"/>
                <w:szCs w:val="20"/>
                <w:color w:val="auto"/>
              </w:rPr>
            </w:pPr>
            <w:r>
              <w:rPr>
                <w:rFonts w:ascii="Courier New" w:cs="Courier New" w:eastAsia="Courier New" w:hAnsi="Courier New"/>
                <w:sz w:val="15"/>
                <w:szCs w:val="15"/>
                <w:color w:val="auto"/>
              </w:rPr>
              <w:t>$645,000</w:t>
            </w:r>
          </w:p>
        </w:tc>
        <w:tc>
          <w:tcPr>
            <w:tcW w:w="110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0</w:t>
            </w:r>
          </w:p>
        </w:tc>
        <w:tc>
          <w:tcPr>
            <w:tcW w:w="1800" w:type="dxa"/>
            <w:vAlign w:val="bottom"/>
          </w:tcPr>
          <w:p>
            <w:pPr>
              <w:jc w:val="right"/>
              <w:ind w:right="843"/>
              <w:spacing w:after="0"/>
              <w:rPr>
                <w:sz w:val="20"/>
                <w:szCs w:val="20"/>
                <w:color w:val="auto"/>
              </w:rPr>
            </w:pPr>
            <w:r>
              <w:rPr>
                <w:rFonts w:ascii="Courier New" w:cs="Courier New" w:eastAsia="Courier New" w:hAnsi="Courier New"/>
                <w:sz w:val="15"/>
                <w:szCs w:val="15"/>
                <w:color w:val="auto"/>
              </w:rPr>
              <w:t>55,000</w:t>
            </w:r>
          </w:p>
        </w:tc>
        <w:tc>
          <w:tcPr>
            <w:tcW w:w="144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$0</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$1,020,625</w:t>
            </w:r>
          </w:p>
        </w:tc>
      </w:tr>
      <w:tr>
        <w:trPr>
          <w:trHeight w:val="177"/>
        </w:trPr>
        <w:tc>
          <w:tcPr>
            <w:tcW w:w="2300" w:type="dxa"/>
            <w:vAlign w:val="bottom"/>
          </w:tcPr>
          <w:p>
            <w:pPr>
              <w:spacing w:after="0"/>
              <w:rPr>
                <w:sz w:val="20"/>
                <w:szCs w:val="20"/>
                <w:color w:val="auto"/>
              </w:rPr>
            </w:pPr>
            <w:r>
              <w:rPr>
                <w:rFonts w:ascii="Courier New" w:cs="Courier New" w:eastAsia="Courier New" w:hAnsi="Courier New"/>
                <w:sz w:val="15"/>
                <w:szCs w:val="15"/>
                <w:color w:val="auto"/>
              </w:rPr>
              <w:t>Gerald de Kerchove</w:t>
            </w:r>
          </w:p>
        </w:tc>
        <w:tc>
          <w:tcPr>
            <w:tcW w:w="134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45,000</w:t>
            </w:r>
          </w:p>
        </w:tc>
        <w:tc>
          <w:tcPr>
            <w:tcW w:w="1940" w:type="dxa"/>
            <w:vAlign w:val="bottom"/>
          </w:tcPr>
          <w:p>
            <w:pPr>
              <w:jc w:val="right"/>
              <w:ind w:right="623"/>
              <w:spacing w:after="0"/>
              <w:rPr>
                <w:sz w:val="20"/>
                <w:szCs w:val="20"/>
                <w:color w:val="auto"/>
              </w:rPr>
            </w:pPr>
            <w:r>
              <w:rPr>
                <w:rFonts w:ascii="Courier New" w:cs="Courier New" w:eastAsia="Courier New" w:hAnsi="Courier New"/>
                <w:sz w:val="15"/>
                <w:szCs w:val="15"/>
                <w:color w:val="auto"/>
              </w:rPr>
              <w:t>$1,084,950</w:t>
            </w:r>
          </w:p>
        </w:tc>
        <w:tc>
          <w:tcPr>
            <w:tcW w:w="110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0</w:t>
            </w:r>
          </w:p>
        </w:tc>
        <w:tc>
          <w:tcPr>
            <w:tcW w:w="1800" w:type="dxa"/>
            <w:vAlign w:val="bottom"/>
          </w:tcPr>
          <w:p>
            <w:pPr>
              <w:jc w:val="right"/>
              <w:ind w:right="843"/>
              <w:spacing w:after="0"/>
              <w:rPr>
                <w:sz w:val="20"/>
                <w:szCs w:val="20"/>
                <w:color w:val="auto"/>
              </w:rPr>
            </w:pPr>
            <w:r>
              <w:rPr>
                <w:rFonts w:ascii="Courier New" w:cs="Courier New" w:eastAsia="Courier New" w:hAnsi="Courier New"/>
                <w:sz w:val="15"/>
                <w:szCs w:val="15"/>
                <w:color w:val="auto"/>
              </w:rPr>
              <w:t>7,500</w:t>
            </w:r>
          </w:p>
        </w:tc>
        <w:tc>
          <w:tcPr>
            <w:tcW w:w="144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$0</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$60,938</w:t>
            </w:r>
          </w:p>
        </w:tc>
      </w:tr>
    </w:tbl>
    <w:p>
      <w:pPr>
        <w:spacing w:after="0" w:line="183" w:lineRule="exact"/>
        <w:rPr>
          <w:sz w:val="20"/>
          <w:szCs w:val="20"/>
          <w:color w:val="auto"/>
        </w:rPr>
      </w:pPr>
    </w:p>
    <w:p>
      <w:pPr>
        <w:ind w:left="825" w:right="4140" w:hanging="825"/>
        <w:spacing w:after="0" w:line="253" w:lineRule="auto"/>
        <w:tabs>
          <w:tab w:leader="none" w:pos="825"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Equal to the market value of the Company's Common Stock on the date the options were exercised, less the exercise price.</w:t>
      </w:r>
    </w:p>
    <w:p>
      <w:pPr>
        <w:spacing w:after="0" w:line="174" w:lineRule="exact"/>
        <w:rPr>
          <w:rFonts w:ascii="Courier New" w:cs="Courier New" w:eastAsia="Courier New" w:hAnsi="Courier New"/>
          <w:sz w:val="15"/>
          <w:szCs w:val="15"/>
          <w:color w:val="auto"/>
        </w:rPr>
      </w:pPr>
    </w:p>
    <w:p>
      <w:pPr>
        <w:jc w:val="both"/>
        <w:ind w:left="825" w:right="4140" w:hanging="825"/>
        <w:spacing w:after="0" w:line="252" w:lineRule="auto"/>
        <w:tabs>
          <w:tab w:leader="none" w:pos="825"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Based on the closing prices of the Company's Common Stock as reported by the New York Stock Exchange for September 30, 1996 ($38.75), less the exercise price.</w:t>
      </w:r>
    </w:p>
    <w:p>
      <w:pPr>
        <w:spacing w:after="0" w:line="200" w:lineRule="exact"/>
        <w:rPr>
          <w:sz w:val="20"/>
          <w:szCs w:val="20"/>
          <w:color w:val="auto"/>
        </w:rPr>
      </w:pPr>
    </w:p>
    <w:p>
      <w:pPr>
        <w:spacing w:after="0" w:line="329"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Long-Term Incentive Plans--Awards in Last Fiscal Year</w:t>
      </w:r>
    </w:p>
    <w:p>
      <w:pPr>
        <w:spacing w:after="0" w:line="185" w:lineRule="exact"/>
        <w:rPr>
          <w:sz w:val="20"/>
          <w:szCs w:val="20"/>
          <w:color w:val="auto"/>
        </w:rPr>
      </w:pPr>
    </w:p>
    <w:p>
      <w:pPr>
        <w:ind w:left="5" w:right="4240" w:firstLine="2676"/>
        <w:spacing w:after="0" w:line="246" w:lineRule="auto"/>
        <w:rPr>
          <w:sz w:val="20"/>
          <w:szCs w:val="20"/>
          <w:color w:val="auto"/>
        </w:rPr>
      </w:pPr>
      <w:r>
        <w:rPr>
          <w:rFonts w:ascii="Courier New" w:cs="Courier New" w:eastAsia="Courier New" w:hAnsi="Courier New"/>
          <w:sz w:val="15"/>
          <w:szCs w:val="15"/>
          <w:color w:val="auto"/>
        </w:rPr>
        <w:t>Number of Period Until Name Shares(1) Payout(2)</w:t>
      </w:r>
    </w:p>
    <w:p>
      <w:pPr>
        <w:spacing w:after="0" w:line="181"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 ------------------------------------------------------------------------------</w:t>
      </w:r>
    </w:p>
    <w:p>
      <w:pPr>
        <w:spacing w:after="0" w:line="8" w:lineRule="exact"/>
        <w:rPr>
          <w:sz w:val="20"/>
          <w:szCs w:val="20"/>
          <w:color w:val="auto"/>
        </w:rPr>
      </w:pPr>
    </w:p>
    <w:tbl>
      <w:tblPr>
        <w:tblLayout w:type="fixed"/>
        <w:tblInd w:w="5" w:type="dxa"/>
        <w:tblCellMar>
          <w:top w:w="0" w:type="dxa"/>
          <w:left w:w="0" w:type="dxa"/>
          <w:bottom w:w="0" w:type="dxa"/>
          <w:right w:w="0" w:type="dxa"/>
        </w:tblCellMar>
      </w:tblPr>
      <w:tr>
        <w:trPr>
          <w:trHeight w:val="172"/>
        </w:trPr>
        <w:tc>
          <w:tcPr>
            <w:tcW w:w="2400" w:type="dxa"/>
            <w:vAlign w:val="bottom"/>
          </w:tcPr>
          <w:p>
            <w:pPr>
              <w:spacing w:after="0"/>
              <w:rPr>
                <w:sz w:val="20"/>
                <w:szCs w:val="20"/>
                <w:color w:val="auto"/>
              </w:rPr>
            </w:pPr>
            <w:r>
              <w:rPr>
                <w:rFonts w:ascii="Courier New" w:cs="Courier New" w:eastAsia="Courier New" w:hAnsi="Courier New"/>
                <w:sz w:val="15"/>
                <w:szCs w:val="15"/>
                <w:color w:val="auto"/>
              </w:rPr>
              <w:t>Larry E. Rosenberger</w:t>
            </w:r>
          </w:p>
        </w:tc>
        <w:tc>
          <w:tcPr>
            <w:tcW w:w="2540" w:type="dxa"/>
            <w:vAlign w:val="bottom"/>
          </w:tcPr>
          <w:p>
            <w:pPr>
              <w:jc w:val="right"/>
              <w:ind w:right="1463"/>
              <w:spacing w:after="0"/>
              <w:rPr>
                <w:sz w:val="20"/>
                <w:szCs w:val="20"/>
                <w:color w:val="auto"/>
              </w:rPr>
            </w:pPr>
            <w:r>
              <w:rPr>
                <w:rFonts w:ascii="Courier New" w:cs="Courier New" w:eastAsia="Courier New" w:hAnsi="Courier New"/>
                <w:sz w:val="15"/>
                <w:szCs w:val="15"/>
                <w:color w:val="auto"/>
              </w:rPr>
              <w:t>3,774</w:t>
            </w:r>
          </w:p>
        </w:tc>
        <w:tc>
          <w:tcPr>
            <w:tcW w:w="1660" w:type="dxa"/>
            <w:vAlign w:val="bottom"/>
          </w:tcPr>
          <w:p>
            <w:pPr>
              <w:jc w:val="right"/>
              <w:spacing w:after="0"/>
              <w:rPr>
                <w:sz w:val="20"/>
                <w:szCs w:val="20"/>
                <w:color w:val="auto"/>
              </w:rPr>
            </w:pPr>
            <w:r>
              <w:rPr>
                <w:rFonts w:ascii="Courier New" w:cs="Courier New" w:eastAsia="Courier New" w:hAnsi="Courier New"/>
                <w:sz w:val="15"/>
                <w:szCs w:val="15"/>
                <w:color w:val="auto"/>
              </w:rPr>
              <w:t>4</w:t>
            </w:r>
          </w:p>
        </w:tc>
        <w:tc>
          <w:tcPr>
            <w:tcW w:w="500" w:type="dxa"/>
            <w:vAlign w:val="bottom"/>
          </w:tcPr>
          <w:p>
            <w:pPr>
              <w:ind w:left="40"/>
              <w:spacing w:after="0"/>
              <w:rPr>
                <w:sz w:val="20"/>
                <w:szCs w:val="20"/>
                <w:color w:val="auto"/>
              </w:rPr>
            </w:pPr>
            <w:r>
              <w:rPr>
                <w:rFonts w:ascii="Courier New" w:cs="Courier New" w:eastAsia="Courier New" w:hAnsi="Courier New"/>
                <w:sz w:val="15"/>
                <w:szCs w:val="15"/>
                <w:color w:val="auto"/>
                <w:w w:val="97"/>
              </w:rPr>
              <w:t>Years</w:t>
            </w:r>
          </w:p>
        </w:tc>
      </w:tr>
      <w:tr>
        <w:trPr>
          <w:trHeight w:val="177"/>
        </w:trPr>
        <w:tc>
          <w:tcPr>
            <w:tcW w:w="2400" w:type="dxa"/>
            <w:vAlign w:val="bottom"/>
          </w:tcPr>
          <w:p>
            <w:pPr>
              <w:spacing w:after="0"/>
              <w:rPr>
                <w:sz w:val="20"/>
                <w:szCs w:val="20"/>
                <w:color w:val="auto"/>
              </w:rPr>
            </w:pPr>
            <w:r>
              <w:rPr>
                <w:rFonts w:ascii="Courier New" w:cs="Courier New" w:eastAsia="Courier New" w:hAnsi="Courier New"/>
                <w:sz w:val="15"/>
                <w:szCs w:val="15"/>
                <w:color w:val="auto"/>
              </w:rPr>
              <w:t>John D. Woldrich</w:t>
            </w:r>
          </w:p>
        </w:tc>
        <w:tc>
          <w:tcPr>
            <w:tcW w:w="2540" w:type="dxa"/>
            <w:vAlign w:val="bottom"/>
          </w:tcPr>
          <w:p>
            <w:pPr>
              <w:jc w:val="right"/>
              <w:ind w:right="1463"/>
              <w:spacing w:after="0"/>
              <w:rPr>
                <w:sz w:val="20"/>
                <w:szCs w:val="20"/>
                <w:color w:val="auto"/>
              </w:rPr>
            </w:pPr>
            <w:r>
              <w:rPr>
                <w:rFonts w:ascii="Courier New" w:cs="Courier New" w:eastAsia="Courier New" w:hAnsi="Courier New"/>
                <w:sz w:val="15"/>
                <w:szCs w:val="15"/>
                <w:color w:val="auto"/>
              </w:rPr>
              <w:t>3,019</w:t>
            </w:r>
          </w:p>
        </w:tc>
        <w:tc>
          <w:tcPr>
            <w:tcW w:w="1660" w:type="dxa"/>
            <w:vAlign w:val="bottom"/>
          </w:tcPr>
          <w:p>
            <w:pPr>
              <w:jc w:val="right"/>
              <w:spacing w:after="0"/>
              <w:rPr>
                <w:sz w:val="20"/>
                <w:szCs w:val="20"/>
                <w:color w:val="auto"/>
              </w:rPr>
            </w:pPr>
            <w:r>
              <w:rPr>
                <w:rFonts w:ascii="Courier New" w:cs="Courier New" w:eastAsia="Courier New" w:hAnsi="Courier New"/>
                <w:sz w:val="15"/>
                <w:szCs w:val="15"/>
                <w:color w:val="auto"/>
              </w:rPr>
              <w:t>4</w:t>
            </w:r>
          </w:p>
        </w:tc>
        <w:tc>
          <w:tcPr>
            <w:tcW w:w="500" w:type="dxa"/>
            <w:vAlign w:val="bottom"/>
          </w:tcPr>
          <w:p>
            <w:pPr>
              <w:ind w:left="40"/>
              <w:spacing w:after="0"/>
              <w:rPr>
                <w:sz w:val="20"/>
                <w:szCs w:val="20"/>
                <w:color w:val="auto"/>
              </w:rPr>
            </w:pPr>
            <w:r>
              <w:rPr>
                <w:rFonts w:ascii="Courier New" w:cs="Courier New" w:eastAsia="Courier New" w:hAnsi="Courier New"/>
                <w:sz w:val="15"/>
                <w:szCs w:val="15"/>
                <w:color w:val="auto"/>
                <w:w w:val="97"/>
              </w:rPr>
              <w:t>Years</w:t>
            </w:r>
          </w:p>
        </w:tc>
      </w:tr>
      <w:tr>
        <w:trPr>
          <w:trHeight w:val="177"/>
        </w:trPr>
        <w:tc>
          <w:tcPr>
            <w:tcW w:w="2400" w:type="dxa"/>
            <w:vAlign w:val="bottom"/>
          </w:tcPr>
          <w:p>
            <w:pPr>
              <w:spacing w:after="0"/>
              <w:rPr>
                <w:sz w:val="20"/>
                <w:szCs w:val="20"/>
                <w:color w:val="auto"/>
              </w:rPr>
            </w:pPr>
            <w:r>
              <w:rPr>
                <w:rFonts w:ascii="Courier New" w:cs="Courier New" w:eastAsia="Courier New" w:hAnsi="Courier New"/>
                <w:sz w:val="15"/>
                <w:szCs w:val="15"/>
                <w:color w:val="auto"/>
              </w:rPr>
              <w:t>Patrick G. Culhane</w:t>
            </w:r>
          </w:p>
        </w:tc>
        <w:tc>
          <w:tcPr>
            <w:tcW w:w="2540" w:type="dxa"/>
            <w:vAlign w:val="bottom"/>
          </w:tcPr>
          <w:p>
            <w:pPr>
              <w:jc w:val="right"/>
              <w:ind w:right="1463"/>
              <w:spacing w:after="0"/>
              <w:rPr>
                <w:sz w:val="20"/>
                <w:szCs w:val="20"/>
                <w:color w:val="auto"/>
              </w:rPr>
            </w:pPr>
            <w:r>
              <w:rPr>
                <w:rFonts w:ascii="Courier New" w:cs="Courier New" w:eastAsia="Courier New" w:hAnsi="Courier New"/>
                <w:sz w:val="15"/>
                <w:szCs w:val="15"/>
                <w:color w:val="auto"/>
              </w:rPr>
              <w:t>2,868</w:t>
            </w:r>
          </w:p>
        </w:tc>
        <w:tc>
          <w:tcPr>
            <w:tcW w:w="1660" w:type="dxa"/>
            <w:vAlign w:val="bottom"/>
          </w:tcPr>
          <w:p>
            <w:pPr>
              <w:jc w:val="right"/>
              <w:spacing w:after="0"/>
              <w:rPr>
                <w:sz w:val="20"/>
                <w:szCs w:val="20"/>
                <w:color w:val="auto"/>
              </w:rPr>
            </w:pPr>
            <w:r>
              <w:rPr>
                <w:rFonts w:ascii="Courier New" w:cs="Courier New" w:eastAsia="Courier New" w:hAnsi="Courier New"/>
                <w:sz w:val="15"/>
                <w:szCs w:val="15"/>
                <w:color w:val="auto"/>
              </w:rPr>
              <w:t>4</w:t>
            </w:r>
          </w:p>
        </w:tc>
        <w:tc>
          <w:tcPr>
            <w:tcW w:w="500" w:type="dxa"/>
            <w:vAlign w:val="bottom"/>
          </w:tcPr>
          <w:p>
            <w:pPr>
              <w:ind w:left="40"/>
              <w:spacing w:after="0"/>
              <w:rPr>
                <w:sz w:val="20"/>
                <w:szCs w:val="20"/>
                <w:color w:val="auto"/>
              </w:rPr>
            </w:pPr>
            <w:r>
              <w:rPr>
                <w:rFonts w:ascii="Courier New" w:cs="Courier New" w:eastAsia="Courier New" w:hAnsi="Courier New"/>
                <w:sz w:val="15"/>
                <w:szCs w:val="15"/>
                <w:color w:val="auto"/>
                <w:w w:val="97"/>
              </w:rPr>
              <w:t>Years</w:t>
            </w:r>
          </w:p>
        </w:tc>
      </w:tr>
      <w:tr>
        <w:trPr>
          <w:trHeight w:val="177"/>
        </w:trPr>
        <w:tc>
          <w:tcPr>
            <w:tcW w:w="2400" w:type="dxa"/>
            <w:vAlign w:val="bottom"/>
          </w:tcPr>
          <w:p>
            <w:pPr>
              <w:spacing w:after="0"/>
              <w:rPr>
                <w:sz w:val="20"/>
                <w:szCs w:val="20"/>
                <w:color w:val="auto"/>
              </w:rPr>
            </w:pPr>
            <w:r>
              <w:rPr>
                <w:rFonts w:ascii="Courier New" w:cs="Courier New" w:eastAsia="Courier New" w:hAnsi="Courier New"/>
                <w:sz w:val="15"/>
                <w:szCs w:val="15"/>
                <w:color w:val="auto"/>
              </w:rPr>
              <w:t>Barrett B. Roach</w:t>
            </w:r>
          </w:p>
        </w:tc>
        <w:tc>
          <w:tcPr>
            <w:tcW w:w="2540" w:type="dxa"/>
            <w:vAlign w:val="bottom"/>
          </w:tcPr>
          <w:p>
            <w:pPr>
              <w:jc w:val="right"/>
              <w:ind w:right="1463"/>
              <w:spacing w:after="0"/>
              <w:rPr>
                <w:sz w:val="20"/>
                <w:szCs w:val="20"/>
                <w:color w:val="auto"/>
              </w:rPr>
            </w:pPr>
            <w:r>
              <w:rPr>
                <w:rFonts w:ascii="Courier New" w:cs="Courier New" w:eastAsia="Courier New" w:hAnsi="Courier New"/>
                <w:sz w:val="15"/>
                <w:szCs w:val="15"/>
                <w:color w:val="auto"/>
              </w:rPr>
              <w:t>1,721</w:t>
            </w:r>
          </w:p>
        </w:tc>
        <w:tc>
          <w:tcPr>
            <w:tcW w:w="1660" w:type="dxa"/>
            <w:vAlign w:val="bottom"/>
          </w:tcPr>
          <w:p>
            <w:pPr>
              <w:jc w:val="right"/>
              <w:spacing w:after="0"/>
              <w:rPr>
                <w:sz w:val="20"/>
                <w:szCs w:val="20"/>
                <w:color w:val="auto"/>
              </w:rPr>
            </w:pPr>
            <w:r>
              <w:rPr>
                <w:rFonts w:ascii="Courier New" w:cs="Courier New" w:eastAsia="Courier New" w:hAnsi="Courier New"/>
                <w:sz w:val="15"/>
                <w:szCs w:val="15"/>
                <w:color w:val="auto"/>
              </w:rPr>
              <w:t>4</w:t>
            </w:r>
          </w:p>
        </w:tc>
        <w:tc>
          <w:tcPr>
            <w:tcW w:w="500" w:type="dxa"/>
            <w:vAlign w:val="bottom"/>
          </w:tcPr>
          <w:p>
            <w:pPr>
              <w:ind w:left="40"/>
              <w:spacing w:after="0"/>
              <w:rPr>
                <w:sz w:val="20"/>
                <w:szCs w:val="20"/>
                <w:color w:val="auto"/>
              </w:rPr>
            </w:pPr>
            <w:r>
              <w:rPr>
                <w:rFonts w:ascii="Courier New" w:cs="Courier New" w:eastAsia="Courier New" w:hAnsi="Courier New"/>
                <w:sz w:val="15"/>
                <w:szCs w:val="15"/>
                <w:color w:val="auto"/>
                <w:w w:val="97"/>
              </w:rPr>
              <w:t>Years</w:t>
            </w:r>
          </w:p>
        </w:tc>
      </w:tr>
      <w:tr>
        <w:trPr>
          <w:trHeight w:val="177"/>
        </w:trPr>
        <w:tc>
          <w:tcPr>
            <w:tcW w:w="2400" w:type="dxa"/>
            <w:vAlign w:val="bottom"/>
          </w:tcPr>
          <w:p>
            <w:pPr>
              <w:spacing w:after="0"/>
              <w:rPr>
                <w:sz w:val="20"/>
                <w:szCs w:val="20"/>
                <w:color w:val="auto"/>
              </w:rPr>
            </w:pPr>
            <w:r>
              <w:rPr>
                <w:rFonts w:ascii="Courier New" w:cs="Courier New" w:eastAsia="Courier New" w:hAnsi="Courier New"/>
                <w:sz w:val="15"/>
                <w:szCs w:val="15"/>
                <w:color w:val="auto"/>
              </w:rPr>
              <w:t>Gerald de Kerchove</w:t>
            </w:r>
          </w:p>
        </w:tc>
        <w:tc>
          <w:tcPr>
            <w:tcW w:w="2540" w:type="dxa"/>
            <w:vAlign w:val="bottom"/>
          </w:tcPr>
          <w:p>
            <w:pPr>
              <w:jc w:val="right"/>
              <w:ind w:right="1463"/>
              <w:spacing w:after="0"/>
              <w:rPr>
                <w:sz w:val="20"/>
                <w:szCs w:val="20"/>
                <w:color w:val="auto"/>
              </w:rPr>
            </w:pPr>
            <w:r>
              <w:rPr>
                <w:rFonts w:ascii="Courier New" w:cs="Courier New" w:eastAsia="Courier New" w:hAnsi="Courier New"/>
                <w:sz w:val="15"/>
                <w:szCs w:val="15"/>
                <w:color w:val="auto"/>
              </w:rPr>
              <w:t>1,751</w:t>
            </w:r>
          </w:p>
        </w:tc>
        <w:tc>
          <w:tcPr>
            <w:tcW w:w="1660" w:type="dxa"/>
            <w:vAlign w:val="bottom"/>
          </w:tcPr>
          <w:p>
            <w:pPr>
              <w:jc w:val="right"/>
              <w:spacing w:after="0"/>
              <w:rPr>
                <w:sz w:val="20"/>
                <w:szCs w:val="20"/>
                <w:color w:val="auto"/>
              </w:rPr>
            </w:pPr>
            <w:r>
              <w:rPr>
                <w:rFonts w:ascii="Courier New" w:cs="Courier New" w:eastAsia="Courier New" w:hAnsi="Courier New"/>
                <w:sz w:val="15"/>
                <w:szCs w:val="15"/>
                <w:color w:val="auto"/>
              </w:rPr>
              <w:t>4</w:t>
            </w:r>
          </w:p>
        </w:tc>
        <w:tc>
          <w:tcPr>
            <w:tcW w:w="500" w:type="dxa"/>
            <w:vAlign w:val="bottom"/>
          </w:tcPr>
          <w:p>
            <w:pPr>
              <w:ind w:left="40"/>
              <w:spacing w:after="0"/>
              <w:rPr>
                <w:sz w:val="20"/>
                <w:szCs w:val="20"/>
                <w:color w:val="auto"/>
              </w:rPr>
            </w:pPr>
            <w:r>
              <w:rPr>
                <w:rFonts w:ascii="Courier New" w:cs="Courier New" w:eastAsia="Courier New" w:hAnsi="Courier New"/>
                <w:sz w:val="15"/>
                <w:szCs w:val="15"/>
                <w:color w:val="auto"/>
                <w:w w:val="97"/>
              </w:rPr>
              <w:t>Years</w:t>
            </w:r>
          </w:p>
        </w:tc>
      </w:tr>
    </w:tbl>
    <w:p>
      <w:pPr>
        <w:spacing w:after="0" w:line="183" w:lineRule="exact"/>
        <w:rPr>
          <w:sz w:val="20"/>
          <w:szCs w:val="20"/>
          <w:color w:val="auto"/>
        </w:rPr>
      </w:pPr>
    </w:p>
    <w:p>
      <w:pPr>
        <w:jc w:val="both"/>
        <w:ind w:left="825" w:right="4140" w:hanging="825"/>
        <w:spacing w:after="0" w:line="251" w:lineRule="auto"/>
        <w:tabs>
          <w:tab w:leader="none" w:pos="825"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Shares of "phantom stock" awarded for fiscal 1996 pursuant to the Company's Officers' Incentive Plan. The number of shares is equal to half of the officer's total incentive award for fiscal 1996 divided by the closing price of the stock on the award date ($38.75 at September 30, 1996). See the description under "Compensation Committee Report on Executive Compensation; Incentive Compensation Plans" below. Shares of phantom stock are converted into cash at the payout dates at the closing price for the Company's Common Stock on the payout date.</w:t>
      </w:r>
    </w:p>
    <w:p>
      <w:pPr>
        <w:spacing w:after="0" w:line="175" w:lineRule="exact"/>
        <w:rPr>
          <w:sz w:val="20"/>
          <w:szCs w:val="20"/>
          <w:color w:val="auto"/>
        </w:rPr>
      </w:pPr>
    </w:p>
    <w:p>
      <w:pPr>
        <w:ind w:left="7285"/>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1525"/>
          </w:cols>
          <w:pgMar w:left="235" w:top="650" w:right="139" w:bottom="1440" w:gutter="0" w:footer="0" w:header="0"/>
        </w:sectPr>
      </w:pPr>
    </w:p>
    <w:bookmarkStart w:id="11" w:name="page12"/>
    <w:bookmarkEnd w:id="11"/>
    <w:p>
      <w:pPr>
        <w:jc w:val="both"/>
        <w:ind w:left="825" w:right="2839" w:hanging="825"/>
        <w:spacing w:after="0" w:line="251" w:lineRule="auto"/>
        <w:tabs>
          <w:tab w:leader="none" w:pos="825"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shares of phantom stock will be converted to cash in 25 percent increments as of September 30 in each of the four years following the fiscal year for which they were accrued provided the recipient is still employed by the Company.</w:t>
      </w:r>
    </w:p>
    <w:p>
      <w:pPr>
        <w:spacing w:after="0" w:line="176"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Pension Plan</w:t>
      </w:r>
    </w:p>
    <w:p>
      <w:pPr>
        <w:spacing w:after="0" w:line="185" w:lineRule="exact"/>
        <w:rPr>
          <w:sz w:val="20"/>
          <w:szCs w:val="20"/>
          <w:color w:val="auto"/>
        </w:rPr>
      </w:pPr>
    </w:p>
    <w:p>
      <w:pPr>
        <w:jc w:val="both"/>
        <w:ind w:left="5" w:right="2839" w:firstLine="461"/>
        <w:spacing w:after="0" w:line="250" w:lineRule="auto"/>
        <w:rPr>
          <w:sz w:val="20"/>
          <w:szCs w:val="20"/>
          <w:color w:val="auto"/>
        </w:rPr>
      </w:pPr>
      <w:r>
        <w:rPr>
          <w:rFonts w:ascii="Courier New" w:cs="Courier New" w:eastAsia="Courier New" w:hAnsi="Courier New"/>
          <w:sz w:val="15"/>
          <w:szCs w:val="15"/>
          <w:color w:val="auto"/>
        </w:rPr>
        <w:t>Employees of the Company (not including those of its subsidiary, DynaMark, Inc.), including officers and directors who are employees, participate in the Fair Isaac Pension Plan (the "Pension Plan") after completing one year of service. Subject to certain age and service requirements, participants in the Pension Plan accrue a right to a retirement income payable monthly for life. The annual benefit is equal to 0.60% of "Final Average Compensation" up to $15,000 plus 1.20% of Final Average Compensation in excess of $15,000, multiplied by years of service up to a maximum of 35 years. "Final Average Compensation" means the highest average compensation for five consecutive years during the last ten years of employment. Compensation includes all amounts paid for services. If benefit payments commence between age 55 (the earliest permissible age) and age 65, the amount is actuarially discounted; if benefits commence after age 65, the amount is actuarially increased. The Pension Plan also provides various forms of survivor benefits for a participant's beneficiary and for optional forms of payment with equal actuarial value, including a lump sum.</w:t>
      </w:r>
    </w:p>
    <w:p>
      <w:pPr>
        <w:spacing w:after="0" w:line="361" w:lineRule="exact"/>
        <w:rPr>
          <w:sz w:val="20"/>
          <w:szCs w:val="20"/>
          <w:color w:val="auto"/>
        </w:rPr>
      </w:pPr>
    </w:p>
    <w:p>
      <w:pPr>
        <w:jc w:val="both"/>
        <w:ind w:left="5" w:right="2839" w:firstLine="461"/>
        <w:spacing w:after="0" w:line="251" w:lineRule="auto"/>
        <w:rPr>
          <w:sz w:val="20"/>
          <w:szCs w:val="20"/>
          <w:color w:val="auto"/>
        </w:rPr>
      </w:pPr>
      <w:r>
        <w:rPr>
          <w:rFonts w:ascii="Courier New" w:cs="Courier New" w:eastAsia="Courier New" w:hAnsi="Courier New"/>
          <w:sz w:val="15"/>
          <w:szCs w:val="15"/>
          <w:color w:val="auto"/>
        </w:rPr>
        <w:t>The following table illustrates the estimated annual benefits payable upon retirement to an employee in the specified compensation and years of credited service classifications shown, assuming that the benefits commence at age 65 and are payable in the normal form. These calculations are straight-life annuity amounts based on current plan formulae and are not reduced by any Social Security offsets.</w:t>
      </w:r>
    </w:p>
    <w:p>
      <w:pPr>
        <w:spacing w:after="0" w:line="353" w:lineRule="exact"/>
        <w:rPr>
          <w:sz w:val="20"/>
          <w:szCs w:val="20"/>
          <w:color w:val="auto"/>
        </w:rPr>
      </w:pPr>
    </w:p>
    <w:tbl>
      <w:tblPr>
        <w:tblLayout w:type="fixed"/>
        <w:tblInd w:w="5" w:type="dxa"/>
        <w:tblCellMar>
          <w:top w:w="0" w:type="dxa"/>
          <w:left w:w="0" w:type="dxa"/>
          <w:bottom w:w="0" w:type="dxa"/>
          <w:right w:w="0" w:type="dxa"/>
        </w:tblCellMar>
      </w:tblPr>
      <w:tr>
        <w:trPr>
          <w:trHeight w:val="172"/>
        </w:trPr>
        <w:tc>
          <w:tcPr>
            <w:tcW w:w="34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5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Years of Credited Service</w:t>
            </w:r>
          </w:p>
        </w:tc>
        <w:tc>
          <w:tcPr>
            <w:tcW w:w="110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77"/>
        </w:trPr>
        <w:tc>
          <w:tcPr>
            <w:tcW w:w="428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71"/>
              </w:rPr>
              <w:t>Final Average</w:t>
            </w:r>
            <w:r>
              <w:rPr>
                <w:rFonts w:ascii="Courier New" w:cs="Courier New" w:eastAsia="Courier New" w:hAnsi="Courier New"/>
                <w:sz w:val="3"/>
                <w:szCs w:val="3"/>
                <w:color w:val="auto"/>
                <w:w w:val="71"/>
              </w:rPr>
              <w:t>---------------------------------------------------------------------------</w:t>
            </w:r>
          </w:p>
        </w:tc>
        <w:tc>
          <w:tcPr>
            <w:tcW w:w="12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7"/>
        </w:trPr>
        <w:tc>
          <w:tcPr>
            <w:tcW w:w="3400" w:type="dxa"/>
            <w:vAlign w:val="bottom"/>
          </w:tcPr>
          <w:p>
            <w:pPr>
              <w:jc w:val="center"/>
              <w:ind w:right="752"/>
              <w:spacing w:after="0"/>
              <w:rPr>
                <w:sz w:val="20"/>
                <w:szCs w:val="20"/>
                <w:color w:val="auto"/>
              </w:rPr>
            </w:pPr>
            <w:r>
              <w:rPr>
                <w:rFonts w:ascii="Courier New" w:cs="Courier New" w:eastAsia="Courier New" w:hAnsi="Courier New"/>
                <w:sz w:val="15"/>
                <w:szCs w:val="15"/>
                <w:color w:val="auto"/>
              </w:rPr>
              <w:t>Compensation</w:t>
            </w:r>
          </w:p>
        </w:tc>
        <w:tc>
          <w:tcPr>
            <w:tcW w:w="880" w:type="dxa"/>
            <w:vAlign w:val="bottom"/>
          </w:tcPr>
          <w:p>
            <w:pPr>
              <w:jc w:val="right"/>
              <w:ind w:right="423"/>
              <w:spacing w:after="0"/>
              <w:rPr>
                <w:sz w:val="20"/>
                <w:szCs w:val="20"/>
                <w:color w:val="auto"/>
              </w:rPr>
            </w:pPr>
            <w:r>
              <w:rPr>
                <w:rFonts w:ascii="Courier New" w:cs="Courier New" w:eastAsia="Courier New" w:hAnsi="Courier New"/>
                <w:sz w:val="15"/>
                <w:szCs w:val="15"/>
                <w:color w:val="auto"/>
              </w:rPr>
              <w:t>15</w:t>
            </w:r>
          </w:p>
        </w:tc>
        <w:tc>
          <w:tcPr>
            <w:tcW w:w="1260" w:type="dxa"/>
            <w:vAlign w:val="bottom"/>
          </w:tcPr>
          <w:p>
            <w:pPr>
              <w:jc w:val="right"/>
              <w:ind w:right="483"/>
              <w:spacing w:after="0"/>
              <w:rPr>
                <w:sz w:val="20"/>
                <w:szCs w:val="20"/>
                <w:color w:val="auto"/>
              </w:rPr>
            </w:pPr>
            <w:r>
              <w:rPr>
                <w:rFonts w:ascii="Courier New" w:cs="Courier New" w:eastAsia="Courier New" w:hAnsi="Courier New"/>
                <w:sz w:val="15"/>
                <w:szCs w:val="15"/>
                <w:color w:val="auto"/>
              </w:rPr>
              <w:t>20</w:t>
            </w:r>
          </w:p>
        </w:tc>
        <w:tc>
          <w:tcPr>
            <w:tcW w:w="1200" w:type="dxa"/>
            <w:vAlign w:val="bottom"/>
          </w:tcPr>
          <w:p>
            <w:pPr>
              <w:jc w:val="right"/>
              <w:ind w:right="483"/>
              <w:spacing w:after="0"/>
              <w:rPr>
                <w:sz w:val="20"/>
                <w:szCs w:val="20"/>
                <w:color w:val="auto"/>
              </w:rPr>
            </w:pPr>
            <w:r>
              <w:rPr>
                <w:rFonts w:ascii="Courier New" w:cs="Courier New" w:eastAsia="Courier New" w:hAnsi="Courier New"/>
                <w:sz w:val="15"/>
                <w:szCs w:val="15"/>
                <w:color w:val="auto"/>
              </w:rPr>
              <w:t>25</w:t>
            </w:r>
          </w:p>
        </w:tc>
        <w:tc>
          <w:tcPr>
            <w:tcW w:w="1380" w:type="dxa"/>
            <w:vAlign w:val="bottom"/>
          </w:tcPr>
          <w:p>
            <w:pPr>
              <w:jc w:val="right"/>
              <w:ind w:right="583"/>
              <w:spacing w:after="0"/>
              <w:rPr>
                <w:sz w:val="20"/>
                <w:szCs w:val="20"/>
                <w:color w:val="auto"/>
              </w:rPr>
            </w:pPr>
            <w:r>
              <w:rPr>
                <w:rFonts w:ascii="Courier New" w:cs="Courier New" w:eastAsia="Courier New" w:hAnsi="Courier New"/>
                <w:sz w:val="15"/>
                <w:szCs w:val="15"/>
                <w:color w:val="auto"/>
              </w:rPr>
              <w:t>30</w:t>
            </w:r>
          </w:p>
        </w:tc>
        <w:tc>
          <w:tcPr>
            <w:tcW w:w="1100" w:type="dxa"/>
            <w:vAlign w:val="bottom"/>
          </w:tcPr>
          <w:p>
            <w:pPr>
              <w:jc w:val="right"/>
              <w:ind w:right="483"/>
              <w:spacing w:after="0"/>
              <w:rPr>
                <w:sz w:val="20"/>
                <w:szCs w:val="20"/>
                <w:color w:val="auto"/>
              </w:rPr>
            </w:pPr>
            <w:r>
              <w:rPr>
                <w:rFonts w:ascii="Courier New" w:cs="Courier New" w:eastAsia="Courier New" w:hAnsi="Courier New"/>
                <w:sz w:val="15"/>
                <w:szCs w:val="15"/>
                <w:color w:val="auto"/>
              </w:rPr>
              <w:t>35</w:t>
            </w:r>
          </w:p>
        </w:tc>
        <w:tc>
          <w:tcPr>
            <w:tcW w:w="9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40</w:t>
            </w:r>
          </w:p>
        </w:tc>
      </w:tr>
      <w:tr>
        <w:trPr>
          <w:trHeight w:val="177"/>
        </w:trPr>
        <w:tc>
          <w:tcPr>
            <w:tcW w:w="4280" w:type="dxa"/>
            <w:vAlign w:val="bottom"/>
            <w:gridSpan w:val="2"/>
          </w:tcPr>
          <w:p>
            <w:pPr>
              <w:jc w:val="right"/>
              <w:ind w:right="143"/>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03"/>
              <w:spacing w:after="0"/>
              <w:rPr>
                <w:sz w:val="20"/>
                <w:szCs w:val="20"/>
                <w:color w:val="auto"/>
              </w:rPr>
            </w:pPr>
            <w:r>
              <w:rPr>
                <w:rFonts w:ascii="Courier New" w:cs="Courier New" w:eastAsia="Courier New" w:hAnsi="Courier New"/>
                <w:sz w:val="15"/>
                <w:szCs w:val="15"/>
                <w:color w:val="auto"/>
                <w:w w:val="98"/>
              </w:rPr>
              <w:t>---------</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55"/>
        </w:trPr>
        <w:tc>
          <w:tcPr>
            <w:tcW w:w="3400" w:type="dxa"/>
            <w:vAlign w:val="bottom"/>
          </w:tcPr>
          <w:p>
            <w:pPr>
              <w:jc w:val="center"/>
              <w:ind w:right="752"/>
              <w:spacing w:after="0"/>
              <w:rPr>
                <w:sz w:val="20"/>
                <w:szCs w:val="20"/>
                <w:color w:val="auto"/>
              </w:rPr>
            </w:pPr>
            <w:r>
              <w:rPr>
                <w:rFonts w:ascii="Courier New" w:cs="Courier New" w:eastAsia="Courier New" w:hAnsi="Courier New"/>
                <w:sz w:val="15"/>
                <w:szCs w:val="15"/>
                <w:color w:val="auto"/>
              </w:rPr>
              <w:t>$150,000</w:t>
            </w:r>
          </w:p>
        </w:tc>
        <w:tc>
          <w:tcPr>
            <w:tcW w:w="88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$25,650</w:t>
            </w:r>
          </w:p>
        </w:tc>
        <w:tc>
          <w:tcPr>
            <w:tcW w:w="126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$34,200</w:t>
            </w:r>
          </w:p>
        </w:tc>
        <w:tc>
          <w:tcPr>
            <w:tcW w:w="120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$42,750</w:t>
            </w:r>
          </w:p>
        </w:tc>
        <w:tc>
          <w:tcPr>
            <w:tcW w:w="138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$51,300</w:t>
            </w:r>
          </w:p>
        </w:tc>
        <w:tc>
          <w:tcPr>
            <w:tcW w:w="110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$59,850</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64,350</w:t>
            </w:r>
          </w:p>
        </w:tc>
      </w:tr>
      <w:tr>
        <w:trPr>
          <w:trHeight w:val="177"/>
        </w:trPr>
        <w:tc>
          <w:tcPr>
            <w:tcW w:w="3400" w:type="dxa"/>
            <w:vAlign w:val="bottom"/>
          </w:tcPr>
          <w:p>
            <w:pPr>
              <w:jc w:val="center"/>
              <w:ind w:right="752"/>
              <w:spacing w:after="0"/>
              <w:rPr>
                <w:sz w:val="20"/>
                <w:szCs w:val="20"/>
                <w:color w:val="auto"/>
              </w:rPr>
            </w:pPr>
            <w:r>
              <w:rPr>
                <w:rFonts w:ascii="Courier New" w:cs="Courier New" w:eastAsia="Courier New" w:hAnsi="Courier New"/>
                <w:sz w:val="15"/>
                <w:szCs w:val="15"/>
                <w:color w:val="auto"/>
              </w:rPr>
              <w:t>$175,000</w:t>
            </w:r>
          </w:p>
        </w:tc>
        <w:tc>
          <w:tcPr>
            <w:tcW w:w="88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30,150</w:t>
            </w:r>
          </w:p>
        </w:tc>
        <w:tc>
          <w:tcPr>
            <w:tcW w:w="126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40,200</w:t>
            </w:r>
          </w:p>
        </w:tc>
        <w:tc>
          <w:tcPr>
            <w:tcW w:w="120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50,250</w:t>
            </w:r>
          </w:p>
        </w:tc>
        <w:tc>
          <w:tcPr>
            <w:tcW w:w="138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60,300</w:t>
            </w:r>
          </w:p>
        </w:tc>
        <w:tc>
          <w:tcPr>
            <w:tcW w:w="110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70,350</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75,600</w:t>
            </w:r>
          </w:p>
        </w:tc>
      </w:tr>
      <w:tr>
        <w:trPr>
          <w:trHeight w:val="177"/>
        </w:trPr>
        <w:tc>
          <w:tcPr>
            <w:tcW w:w="3400" w:type="dxa"/>
            <w:vAlign w:val="bottom"/>
          </w:tcPr>
          <w:p>
            <w:pPr>
              <w:jc w:val="center"/>
              <w:ind w:right="752"/>
              <w:spacing w:after="0"/>
              <w:rPr>
                <w:sz w:val="20"/>
                <w:szCs w:val="20"/>
                <w:color w:val="auto"/>
              </w:rPr>
            </w:pPr>
            <w:r>
              <w:rPr>
                <w:rFonts w:ascii="Courier New" w:cs="Courier New" w:eastAsia="Courier New" w:hAnsi="Courier New"/>
                <w:sz w:val="15"/>
                <w:szCs w:val="15"/>
                <w:color w:val="auto"/>
              </w:rPr>
              <w:t>$200,000</w:t>
            </w:r>
          </w:p>
        </w:tc>
        <w:tc>
          <w:tcPr>
            <w:tcW w:w="88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34,650</w:t>
            </w:r>
          </w:p>
        </w:tc>
        <w:tc>
          <w:tcPr>
            <w:tcW w:w="126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46,200</w:t>
            </w:r>
          </w:p>
        </w:tc>
        <w:tc>
          <w:tcPr>
            <w:tcW w:w="120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57,750</w:t>
            </w:r>
          </w:p>
        </w:tc>
        <w:tc>
          <w:tcPr>
            <w:tcW w:w="138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69,300</w:t>
            </w:r>
          </w:p>
        </w:tc>
        <w:tc>
          <w:tcPr>
            <w:tcW w:w="110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80,850</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86,850</w:t>
            </w:r>
          </w:p>
        </w:tc>
      </w:tr>
      <w:tr>
        <w:trPr>
          <w:trHeight w:val="177"/>
        </w:trPr>
        <w:tc>
          <w:tcPr>
            <w:tcW w:w="3400" w:type="dxa"/>
            <w:vAlign w:val="bottom"/>
          </w:tcPr>
          <w:p>
            <w:pPr>
              <w:jc w:val="center"/>
              <w:ind w:right="752"/>
              <w:spacing w:after="0"/>
              <w:rPr>
                <w:sz w:val="20"/>
                <w:szCs w:val="20"/>
                <w:color w:val="auto"/>
              </w:rPr>
            </w:pPr>
            <w:r>
              <w:rPr>
                <w:rFonts w:ascii="Courier New" w:cs="Courier New" w:eastAsia="Courier New" w:hAnsi="Courier New"/>
                <w:sz w:val="15"/>
                <w:szCs w:val="15"/>
                <w:color w:val="auto"/>
              </w:rPr>
              <w:t>$225,000</w:t>
            </w:r>
          </w:p>
        </w:tc>
        <w:tc>
          <w:tcPr>
            <w:tcW w:w="88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39,150</w:t>
            </w:r>
          </w:p>
        </w:tc>
        <w:tc>
          <w:tcPr>
            <w:tcW w:w="126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52,200</w:t>
            </w:r>
          </w:p>
        </w:tc>
        <w:tc>
          <w:tcPr>
            <w:tcW w:w="120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65,250</w:t>
            </w:r>
          </w:p>
        </w:tc>
        <w:tc>
          <w:tcPr>
            <w:tcW w:w="138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78,300</w:t>
            </w:r>
          </w:p>
        </w:tc>
        <w:tc>
          <w:tcPr>
            <w:tcW w:w="110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91,350</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98,100</w:t>
            </w:r>
          </w:p>
        </w:tc>
      </w:tr>
      <w:tr>
        <w:trPr>
          <w:trHeight w:val="177"/>
        </w:trPr>
        <w:tc>
          <w:tcPr>
            <w:tcW w:w="3400" w:type="dxa"/>
            <w:vAlign w:val="bottom"/>
          </w:tcPr>
          <w:p>
            <w:pPr>
              <w:jc w:val="center"/>
              <w:ind w:right="752"/>
              <w:spacing w:after="0"/>
              <w:rPr>
                <w:sz w:val="20"/>
                <w:szCs w:val="20"/>
                <w:color w:val="auto"/>
              </w:rPr>
            </w:pPr>
            <w:r>
              <w:rPr>
                <w:rFonts w:ascii="Courier New" w:cs="Courier New" w:eastAsia="Courier New" w:hAnsi="Courier New"/>
                <w:sz w:val="15"/>
                <w:szCs w:val="15"/>
                <w:color w:val="auto"/>
              </w:rPr>
              <w:t>$250,000</w:t>
            </w:r>
          </w:p>
        </w:tc>
        <w:tc>
          <w:tcPr>
            <w:tcW w:w="88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43,650</w:t>
            </w:r>
          </w:p>
        </w:tc>
        <w:tc>
          <w:tcPr>
            <w:tcW w:w="126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58,200</w:t>
            </w:r>
          </w:p>
        </w:tc>
        <w:tc>
          <w:tcPr>
            <w:tcW w:w="120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72,750</w:t>
            </w:r>
          </w:p>
        </w:tc>
        <w:tc>
          <w:tcPr>
            <w:tcW w:w="138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87,300</w:t>
            </w:r>
          </w:p>
        </w:tc>
        <w:tc>
          <w:tcPr>
            <w:tcW w:w="110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101,850</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109,350</w:t>
            </w:r>
          </w:p>
        </w:tc>
      </w:tr>
      <w:tr>
        <w:trPr>
          <w:trHeight w:val="177"/>
        </w:trPr>
        <w:tc>
          <w:tcPr>
            <w:tcW w:w="3400" w:type="dxa"/>
            <w:vAlign w:val="bottom"/>
          </w:tcPr>
          <w:p>
            <w:pPr>
              <w:jc w:val="center"/>
              <w:ind w:right="752"/>
              <w:spacing w:after="0"/>
              <w:rPr>
                <w:sz w:val="20"/>
                <w:szCs w:val="20"/>
                <w:color w:val="auto"/>
              </w:rPr>
            </w:pPr>
            <w:r>
              <w:rPr>
                <w:rFonts w:ascii="Courier New" w:cs="Courier New" w:eastAsia="Courier New" w:hAnsi="Courier New"/>
                <w:sz w:val="15"/>
                <w:szCs w:val="15"/>
                <w:color w:val="auto"/>
              </w:rPr>
              <w:t>$275,000</w:t>
            </w:r>
          </w:p>
        </w:tc>
        <w:tc>
          <w:tcPr>
            <w:tcW w:w="88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48,150</w:t>
            </w:r>
          </w:p>
        </w:tc>
        <w:tc>
          <w:tcPr>
            <w:tcW w:w="126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64,200</w:t>
            </w:r>
          </w:p>
        </w:tc>
        <w:tc>
          <w:tcPr>
            <w:tcW w:w="120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80,250</w:t>
            </w:r>
          </w:p>
        </w:tc>
        <w:tc>
          <w:tcPr>
            <w:tcW w:w="138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96,300</w:t>
            </w:r>
          </w:p>
        </w:tc>
        <w:tc>
          <w:tcPr>
            <w:tcW w:w="110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112,350</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120,600</w:t>
            </w:r>
          </w:p>
        </w:tc>
      </w:tr>
      <w:tr>
        <w:trPr>
          <w:trHeight w:val="177"/>
        </w:trPr>
        <w:tc>
          <w:tcPr>
            <w:tcW w:w="3400" w:type="dxa"/>
            <w:vAlign w:val="bottom"/>
          </w:tcPr>
          <w:p>
            <w:pPr>
              <w:jc w:val="center"/>
              <w:ind w:right="752"/>
              <w:spacing w:after="0"/>
              <w:rPr>
                <w:sz w:val="20"/>
                <w:szCs w:val="20"/>
                <w:color w:val="auto"/>
              </w:rPr>
            </w:pPr>
            <w:r>
              <w:rPr>
                <w:rFonts w:ascii="Courier New" w:cs="Courier New" w:eastAsia="Courier New" w:hAnsi="Courier New"/>
                <w:sz w:val="15"/>
                <w:szCs w:val="15"/>
                <w:color w:val="auto"/>
              </w:rPr>
              <w:t>$300,000</w:t>
            </w:r>
          </w:p>
        </w:tc>
        <w:tc>
          <w:tcPr>
            <w:tcW w:w="88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52,650</w:t>
            </w:r>
          </w:p>
        </w:tc>
        <w:tc>
          <w:tcPr>
            <w:tcW w:w="126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70,200</w:t>
            </w:r>
          </w:p>
        </w:tc>
        <w:tc>
          <w:tcPr>
            <w:tcW w:w="120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87,750</w:t>
            </w:r>
          </w:p>
        </w:tc>
        <w:tc>
          <w:tcPr>
            <w:tcW w:w="138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105,300</w:t>
            </w:r>
          </w:p>
        </w:tc>
        <w:tc>
          <w:tcPr>
            <w:tcW w:w="110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122,850</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131,850</w:t>
            </w:r>
          </w:p>
        </w:tc>
      </w:tr>
      <w:tr>
        <w:trPr>
          <w:trHeight w:val="532"/>
        </w:trPr>
        <w:tc>
          <w:tcPr>
            <w:tcW w:w="3400" w:type="dxa"/>
            <w:vAlign w:val="bottom"/>
          </w:tcPr>
          <w:p>
            <w:pPr>
              <w:ind w:left="460"/>
              <w:spacing w:after="0"/>
              <w:rPr>
                <w:sz w:val="20"/>
                <w:szCs w:val="20"/>
                <w:color w:val="auto"/>
              </w:rPr>
            </w:pPr>
            <w:r>
              <w:rPr>
                <w:rFonts w:ascii="Courier New" w:cs="Courier New" w:eastAsia="Courier New" w:hAnsi="Courier New"/>
                <w:sz w:val="15"/>
                <w:szCs w:val="15"/>
                <w:color w:val="auto"/>
              </w:rPr>
              <w:t>The number of years of service</w:t>
            </w:r>
          </w:p>
        </w:tc>
        <w:tc>
          <w:tcPr>
            <w:tcW w:w="4720" w:type="dxa"/>
            <w:vAlign w:val="bottom"/>
            <w:gridSpan w:val="4"/>
          </w:tcPr>
          <w:p>
            <w:pPr>
              <w:jc w:val="right"/>
              <w:ind w:right="663"/>
              <w:spacing w:after="0"/>
              <w:rPr>
                <w:sz w:val="20"/>
                <w:szCs w:val="20"/>
                <w:color w:val="auto"/>
              </w:rPr>
            </w:pPr>
            <w:r>
              <w:rPr>
                <w:rFonts w:ascii="Courier New" w:cs="Courier New" w:eastAsia="Courier New" w:hAnsi="Courier New"/>
                <w:sz w:val="15"/>
                <w:szCs w:val="15"/>
                <w:color w:val="auto"/>
              </w:rPr>
              <w:t>credited to each of the named executives as</w:t>
            </w:r>
          </w:p>
        </w:tc>
        <w:tc>
          <w:tcPr>
            <w:tcW w:w="11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77"/>
        </w:trPr>
        <w:tc>
          <w:tcPr>
            <w:tcW w:w="3400" w:type="dxa"/>
            <w:vAlign w:val="bottom"/>
          </w:tcPr>
          <w:p>
            <w:pPr>
              <w:spacing w:after="0"/>
              <w:rPr>
                <w:sz w:val="20"/>
                <w:szCs w:val="20"/>
                <w:color w:val="auto"/>
              </w:rPr>
            </w:pPr>
            <w:r>
              <w:rPr>
                <w:rFonts w:ascii="Courier New" w:cs="Courier New" w:eastAsia="Courier New" w:hAnsi="Courier New"/>
                <w:sz w:val="15"/>
                <w:szCs w:val="15"/>
                <w:color w:val="auto"/>
              </w:rPr>
              <w:t>of September 30, 1996 was as follows:</w:t>
            </w:r>
          </w:p>
        </w:tc>
        <w:tc>
          <w:tcPr>
            <w:tcW w:w="4720" w:type="dxa"/>
            <w:vAlign w:val="bottom"/>
            <w:gridSpan w:val="4"/>
          </w:tcPr>
          <w:p>
            <w:pPr>
              <w:jc w:val="right"/>
              <w:ind w:right="663"/>
              <w:spacing w:after="0"/>
              <w:rPr>
                <w:sz w:val="20"/>
                <w:szCs w:val="20"/>
                <w:color w:val="auto"/>
              </w:rPr>
            </w:pPr>
            <w:r>
              <w:rPr>
                <w:rFonts w:ascii="Courier New" w:cs="Courier New" w:eastAsia="Courier New" w:hAnsi="Courier New"/>
                <w:sz w:val="15"/>
                <w:szCs w:val="15"/>
                <w:color w:val="auto"/>
              </w:rPr>
              <w:t>Mr. Rosenberger,  21 years; Mr. Woldrich,</w:t>
            </w:r>
          </w:p>
        </w:tc>
        <w:tc>
          <w:tcPr>
            <w:tcW w:w="110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7"/>
        </w:trPr>
        <w:tc>
          <w:tcPr>
            <w:tcW w:w="3400" w:type="dxa"/>
            <w:vAlign w:val="bottom"/>
          </w:tcPr>
          <w:p>
            <w:pPr>
              <w:spacing w:after="0"/>
              <w:rPr>
                <w:sz w:val="20"/>
                <w:szCs w:val="20"/>
                <w:color w:val="auto"/>
              </w:rPr>
            </w:pPr>
            <w:r>
              <w:rPr>
                <w:rFonts w:ascii="Courier New" w:cs="Courier New" w:eastAsia="Courier New" w:hAnsi="Courier New"/>
                <w:sz w:val="15"/>
                <w:szCs w:val="15"/>
                <w:color w:val="auto"/>
              </w:rPr>
              <w:t>23 years;  Mr.  Culhane,  10 years;</w:t>
            </w:r>
          </w:p>
        </w:tc>
        <w:tc>
          <w:tcPr>
            <w:tcW w:w="4720" w:type="dxa"/>
            <w:vAlign w:val="bottom"/>
            <w:gridSpan w:val="4"/>
          </w:tcPr>
          <w:p>
            <w:pPr>
              <w:jc w:val="right"/>
              <w:ind w:right="663"/>
              <w:spacing w:after="0"/>
              <w:rPr>
                <w:sz w:val="20"/>
                <w:szCs w:val="20"/>
                <w:color w:val="auto"/>
              </w:rPr>
            </w:pPr>
            <w:r>
              <w:rPr>
                <w:rFonts w:ascii="Courier New" w:cs="Courier New" w:eastAsia="Courier New" w:hAnsi="Courier New"/>
                <w:sz w:val="15"/>
                <w:szCs w:val="15"/>
                <w:color w:val="auto"/>
              </w:rPr>
              <w:t>Mr. Roach, 3 years and Mr. de Kerchove,  23</w:t>
            </w:r>
          </w:p>
        </w:tc>
        <w:tc>
          <w:tcPr>
            <w:tcW w:w="110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7"/>
        </w:trPr>
        <w:tc>
          <w:tcPr>
            <w:tcW w:w="3400" w:type="dxa"/>
            <w:vAlign w:val="bottom"/>
          </w:tcPr>
          <w:p>
            <w:pPr>
              <w:spacing w:after="0"/>
              <w:rPr>
                <w:sz w:val="20"/>
                <w:szCs w:val="20"/>
                <w:color w:val="auto"/>
              </w:rPr>
            </w:pPr>
            <w:r>
              <w:rPr>
                <w:rFonts w:ascii="Courier New" w:cs="Courier New" w:eastAsia="Courier New" w:hAnsi="Courier New"/>
                <w:sz w:val="15"/>
                <w:szCs w:val="15"/>
                <w:color w:val="auto"/>
              </w:rPr>
              <w:t>years.</w:t>
            </w:r>
          </w:p>
        </w:tc>
        <w:tc>
          <w:tcPr>
            <w:tcW w:w="8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920" w:type="dxa"/>
            <w:vAlign w:val="bottom"/>
          </w:tcPr>
          <w:p>
            <w:pPr>
              <w:spacing w:after="0"/>
              <w:rPr>
                <w:sz w:val="15"/>
                <w:szCs w:val="15"/>
                <w:color w:val="auto"/>
              </w:rPr>
            </w:pPr>
          </w:p>
        </w:tc>
      </w:tr>
    </w:tbl>
    <w:p>
      <w:pPr>
        <w:spacing w:after="0" w:line="183" w:lineRule="exact"/>
        <w:rPr>
          <w:sz w:val="20"/>
          <w:szCs w:val="20"/>
          <w:color w:val="auto"/>
        </w:rPr>
      </w:pPr>
    </w:p>
    <w:p>
      <w:pPr>
        <w:jc w:val="both"/>
        <w:ind w:left="5" w:right="2839" w:firstLine="461"/>
        <w:spacing w:after="0" w:line="251" w:lineRule="auto"/>
        <w:rPr>
          <w:sz w:val="20"/>
          <w:szCs w:val="20"/>
          <w:color w:val="auto"/>
        </w:rPr>
      </w:pPr>
      <w:r>
        <w:rPr>
          <w:rFonts w:ascii="Courier New" w:cs="Courier New" w:eastAsia="Courier New" w:hAnsi="Courier New"/>
          <w:sz w:val="15"/>
          <w:szCs w:val="15"/>
          <w:color w:val="auto"/>
        </w:rPr>
        <w:t>The benefits shown in the foregoing table are based on the current formula applied to all credited service. "Grandfather" provisions related to the prior formula may result in larger benefits attributable to service credited prior to 1995. The Internal Revenue Code limits the amount of compensation which may be taken into account for purposes of determining benefits from a tax-qualified plan (such as the Fair Isaac Pension Plan). The current limit is $150,000. Current law provides that this limit will increase with increases in the Consumer Price Index.</w:t>
      </w:r>
    </w:p>
    <w:p>
      <w:pPr>
        <w:spacing w:after="0" w:line="353" w:lineRule="exact"/>
        <w:rPr>
          <w:sz w:val="20"/>
          <w:szCs w:val="20"/>
          <w:color w:val="auto"/>
        </w:rPr>
      </w:pPr>
    </w:p>
    <w:p>
      <w:pPr>
        <w:ind w:left="7205"/>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25"/>
          </w:cols>
          <w:pgMar w:left="235" w:top="650" w:right="1440" w:bottom="1440" w:gutter="0" w:footer="0" w:header="0"/>
        </w:sectPr>
      </w:pPr>
    </w:p>
    <w:bookmarkStart w:id="12" w:name="page13"/>
    <w:bookmarkEnd w:id="12"/>
    <w:p>
      <w:pPr>
        <w:spacing w:after="0"/>
        <w:rPr>
          <w:sz w:val="20"/>
          <w:szCs w:val="20"/>
          <w:color w:val="auto"/>
        </w:rPr>
      </w:pPr>
      <w:r>
        <w:rPr>
          <w:rFonts w:ascii="Courier New" w:cs="Courier New" w:eastAsia="Courier New" w:hAnsi="Courier New"/>
          <w:sz w:val="15"/>
          <w:szCs w:val="15"/>
          <w:color w:val="auto"/>
        </w:rPr>
        <w:t>Director Consulting Arrangements</w:t>
      </w:r>
    </w:p>
    <w:p>
      <w:pPr>
        <w:spacing w:after="0" w:line="185" w:lineRule="exact"/>
        <w:rPr>
          <w:sz w:val="20"/>
          <w:szCs w:val="20"/>
          <w:color w:val="auto"/>
        </w:rPr>
      </w:pPr>
    </w:p>
    <w:p>
      <w:pPr>
        <w:jc w:val="both"/>
        <w:ind w:right="2839" w:firstLine="461"/>
        <w:spacing w:after="0" w:line="251" w:lineRule="auto"/>
        <w:rPr>
          <w:sz w:val="20"/>
          <w:szCs w:val="20"/>
          <w:color w:val="auto"/>
        </w:rPr>
      </w:pPr>
      <w:r>
        <w:rPr>
          <w:rFonts w:ascii="Courier New" w:cs="Courier New" w:eastAsia="Courier New" w:hAnsi="Courier New"/>
          <w:sz w:val="15"/>
          <w:szCs w:val="15"/>
          <w:color w:val="auto"/>
        </w:rPr>
        <w:t>From August 1, 1992 to December 31, 1995, the Company had an agreement with Dr. Oliver under which he performed consulting services on technical matters at the request of the Company's president. He was paid $20,800 for services rendered pursuant to this agreement for the quarter ended December 31, 1995.</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Compensation Committee Interlocks and Insider Participation</w:t>
      </w:r>
    </w:p>
    <w:p>
      <w:pPr>
        <w:spacing w:after="0" w:line="185" w:lineRule="exact"/>
        <w:rPr>
          <w:sz w:val="20"/>
          <w:szCs w:val="20"/>
          <w:color w:val="auto"/>
        </w:rPr>
      </w:pPr>
    </w:p>
    <w:p>
      <w:pPr>
        <w:jc w:val="both"/>
        <w:ind w:right="2839" w:firstLine="461"/>
        <w:spacing w:after="0" w:line="250" w:lineRule="auto"/>
        <w:rPr>
          <w:sz w:val="20"/>
          <w:szCs w:val="20"/>
          <w:color w:val="auto"/>
        </w:rPr>
      </w:pPr>
      <w:r>
        <w:rPr>
          <w:rFonts w:ascii="Courier New" w:cs="Courier New" w:eastAsia="Courier New" w:hAnsi="Courier New"/>
          <w:sz w:val="15"/>
          <w:szCs w:val="15"/>
          <w:color w:val="auto"/>
        </w:rPr>
        <w:t>Bryant J. Brooks and Guy R. Henshaw served as the members of the Company's Compensation Committee for the fiscal year ended September 30, 1996 and A. George Battle served as a member of the Compensation Committee from August 23 to September 30, 1996. Messrs. Brooks, Henshaw and Battle are non-employee Directors of the Company and had no other relationship with the Company for the fiscal year ended September 30, 1996. Mr. Heller, who served as a member of the Compensation Committee until August 23, 1996 was elected an Executive Vice President of the Company effective September 4, 1996. None of the Executive Officers of the Company had any "interlock" relationships to report during the fiscal year ended September 30, 1996.</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Compensation Committee Report on Executive Compensation</w:t>
      </w:r>
    </w:p>
    <w:p>
      <w:pPr>
        <w:spacing w:after="0" w:line="185" w:lineRule="exact"/>
        <w:rPr>
          <w:sz w:val="20"/>
          <w:szCs w:val="20"/>
          <w:color w:val="auto"/>
        </w:rPr>
      </w:pPr>
    </w:p>
    <w:p>
      <w:pPr>
        <w:jc w:val="both"/>
        <w:ind w:right="2839" w:firstLine="461"/>
        <w:spacing w:after="0" w:line="251" w:lineRule="auto"/>
        <w:rPr>
          <w:sz w:val="20"/>
          <w:szCs w:val="20"/>
          <w:color w:val="auto"/>
        </w:rPr>
      </w:pPr>
      <w:r>
        <w:rPr>
          <w:rFonts w:ascii="Courier New" w:cs="Courier New" w:eastAsia="Courier New" w:hAnsi="Courier New"/>
          <w:sz w:val="15"/>
          <w:szCs w:val="15"/>
          <w:color w:val="auto"/>
        </w:rPr>
        <w:t>The Compensation Committee of the Board of Directors is composed entirely of directors who are not employees of the Company. The Committee determines all aspects of the compensation of the Company's Chief Executive Officer, Executive Vice Presidents and heads of the Company's strategic business units, and also administers the Company's 1992 Long-term Incentive Plan under which grants of stock options or restricted stock may be awarded to any employee.</w:t>
      </w:r>
    </w:p>
    <w:p>
      <w:pPr>
        <w:spacing w:after="0" w:line="176" w:lineRule="exact"/>
        <w:rPr>
          <w:sz w:val="20"/>
          <w:szCs w:val="20"/>
          <w:color w:val="auto"/>
        </w:rPr>
      </w:pPr>
    </w:p>
    <w:p>
      <w:pPr>
        <w:jc w:val="both"/>
        <w:ind w:right="2839" w:firstLine="461"/>
        <w:spacing w:after="0" w:line="251" w:lineRule="auto"/>
        <w:rPr>
          <w:sz w:val="20"/>
          <w:szCs w:val="20"/>
          <w:color w:val="auto"/>
        </w:rPr>
      </w:pPr>
      <w:r>
        <w:rPr>
          <w:rFonts w:ascii="Courier New" w:cs="Courier New" w:eastAsia="Courier New" w:hAnsi="Courier New"/>
          <w:sz w:val="15"/>
          <w:szCs w:val="15"/>
          <w:color w:val="auto"/>
        </w:rPr>
        <w:t>Through December 31, 1995, the compensation of Kenneth Rapp, a Senior Vice President of the Company and the President of the Company's DynaMark subsidiary, was determined in accordance with the terms of an employment agreement entered into with Mr. Rapp in connection with the Company's acquisition of DynaMark in December 1992 and thus was not reviewed by the Compensation Committee.</w:t>
      </w:r>
    </w:p>
    <w:p>
      <w:pPr>
        <w:spacing w:after="0" w:line="176" w:lineRule="exact"/>
        <w:rPr>
          <w:sz w:val="20"/>
          <w:szCs w:val="20"/>
          <w:color w:val="auto"/>
        </w:rPr>
      </w:pPr>
    </w:p>
    <w:p>
      <w:pPr>
        <w:jc w:val="both"/>
        <w:ind w:right="2839" w:firstLine="461"/>
        <w:spacing w:after="0" w:line="251" w:lineRule="auto"/>
        <w:rPr>
          <w:sz w:val="20"/>
          <w:szCs w:val="20"/>
          <w:color w:val="auto"/>
        </w:rPr>
      </w:pPr>
      <w:r>
        <w:rPr>
          <w:rFonts w:ascii="Courier New" w:cs="Courier New" w:eastAsia="Courier New" w:hAnsi="Courier New"/>
          <w:sz w:val="15"/>
          <w:szCs w:val="15"/>
          <w:color w:val="auto"/>
        </w:rPr>
        <w:t>The primary objectives of the Company's executive compensation program are to provide a level of compensation that will attract and retain well qualified executives, to structure their compensation packages so that a significant portion is tied to achieving targets for revenue growth and operating margin, and to align their interests with those of the Company's stockholders through the use of stock-based compensation.</w:t>
      </w:r>
    </w:p>
    <w:p>
      <w:pPr>
        <w:spacing w:after="0" w:line="176" w:lineRule="exact"/>
        <w:rPr>
          <w:sz w:val="20"/>
          <w:szCs w:val="20"/>
          <w:color w:val="auto"/>
        </w:rPr>
      </w:pPr>
    </w:p>
    <w:p>
      <w:pPr>
        <w:jc w:val="both"/>
        <w:ind w:right="2839" w:firstLine="461"/>
        <w:spacing w:after="0" w:line="251" w:lineRule="auto"/>
        <w:rPr>
          <w:sz w:val="20"/>
          <w:szCs w:val="20"/>
          <w:color w:val="auto"/>
        </w:rPr>
      </w:pPr>
      <w:r>
        <w:rPr>
          <w:rFonts w:ascii="Courier New" w:cs="Courier New" w:eastAsia="Courier New" w:hAnsi="Courier New"/>
          <w:sz w:val="15"/>
          <w:szCs w:val="15"/>
          <w:color w:val="auto"/>
        </w:rPr>
        <w:t>The Company's executive compensation program consists of three main components: annual base salary, participation in the Company's Officers' Incentive Plan, and the opportunity to receive awards of stock options or restricted stock. The executive officers are eligible for the same benefits available generally to the Company's employees, including group health and life insurance and participation in the Company's pension, employee stock ownership and 401(k) plans. The</w:t>
      </w:r>
    </w:p>
    <w:p>
      <w:pPr>
        <w:spacing w:after="0" w:line="176" w:lineRule="exact"/>
        <w:rPr>
          <w:sz w:val="20"/>
          <w:szCs w:val="20"/>
          <w:color w:val="auto"/>
        </w:rPr>
      </w:pPr>
    </w:p>
    <w:p>
      <w:pPr>
        <w:jc w:val="right"/>
        <w:ind w:right="2839"/>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19"/>
          </w:cols>
          <w:pgMar w:left="240" w:top="650" w:right="1440" w:bottom="1440" w:gutter="0" w:footer="0" w:header="0"/>
        </w:sectPr>
      </w:pPr>
    </w:p>
    <w:bookmarkStart w:id="13" w:name="page14"/>
    <w:bookmarkEnd w:id="13"/>
    <w:p>
      <w:pPr>
        <w:jc w:val="both"/>
        <w:ind w:right="2839"/>
        <w:spacing w:after="0" w:line="256" w:lineRule="auto"/>
        <w:rPr>
          <w:sz w:val="20"/>
          <w:szCs w:val="20"/>
          <w:color w:val="auto"/>
        </w:rPr>
      </w:pPr>
      <w:r>
        <w:rPr>
          <w:rFonts w:ascii="Courier New" w:cs="Courier New" w:eastAsia="Courier New" w:hAnsi="Courier New"/>
          <w:sz w:val="15"/>
          <w:szCs w:val="15"/>
          <w:color w:val="auto"/>
        </w:rPr>
        <w:t>Company also maintains a Supplemental Retirement and Savings Plan for the benefit of certain highly compensated employees, including most executive officers.</w:t>
      </w:r>
    </w:p>
    <w:p>
      <w:pPr>
        <w:spacing w:after="0" w:line="34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Annual Base Salary</w:t>
      </w:r>
    </w:p>
    <w:p>
      <w:pPr>
        <w:spacing w:after="0" w:line="185" w:lineRule="exact"/>
        <w:rPr>
          <w:sz w:val="20"/>
          <w:szCs w:val="20"/>
          <w:color w:val="auto"/>
        </w:rPr>
      </w:pPr>
    </w:p>
    <w:p>
      <w:pPr>
        <w:jc w:val="both"/>
        <w:ind w:right="2839" w:firstLine="461"/>
        <w:spacing w:after="0" w:line="251" w:lineRule="auto"/>
        <w:rPr>
          <w:sz w:val="20"/>
          <w:szCs w:val="20"/>
          <w:color w:val="auto"/>
        </w:rPr>
      </w:pPr>
      <w:r>
        <w:rPr>
          <w:rFonts w:ascii="Courier New" w:cs="Courier New" w:eastAsia="Courier New" w:hAnsi="Courier New"/>
          <w:sz w:val="15"/>
          <w:szCs w:val="15"/>
          <w:color w:val="auto"/>
        </w:rPr>
        <w:t>The Compensation Committee determines the annual base salary of each of the Company's executive officers, including the Chief Executive Officer. The same principles are applied in setting the salaries of all officers to ensure that salaries are equitably established. Salaries are determined annually by considering the officer's duties and responsibilities within the Company and business unit, the officer's ability to impact the operations and profitability of the Company, and the officer's experience and past performance.</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Officer Incentive Plan</w:t>
      </w:r>
    </w:p>
    <w:p>
      <w:pPr>
        <w:spacing w:after="0" w:line="185" w:lineRule="exact"/>
        <w:rPr>
          <w:sz w:val="20"/>
          <w:szCs w:val="20"/>
          <w:color w:val="auto"/>
        </w:rPr>
      </w:pPr>
    </w:p>
    <w:p>
      <w:pPr>
        <w:jc w:val="both"/>
        <w:ind w:right="2839" w:firstLine="461"/>
        <w:spacing w:after="0" w:line="250" w:lineRule="auto"/>
        <w:rPr>
          <w:sz w:val="20"/>
          <w:szCs w:val="20"/>
          <w:color w:val="auto"/>
        </w:rPr>
      </w:pPr>
      <w:r>
        <w:rPr>
          <w:rFonts w:ascii="Courier New" w:cs="Courier New" w:eastAsia="Courier New" w:hAnsi="Courier New"/>
          <w:sz w:val="15"/>
          <w:szCs w:val="15"/>
          <w:color w:val="auto"/>
        </w:rPr>
        <w:t>Substantially all of the Company's employees participate in incentive plans based on the Company's performance with respect to goals for revenue growth and operating margin set by the Board of Directors for each fiscal year. An incentive compensation target amount is determined for each participant at the beginning of the fiscal year. The ratio of incentive plan target to base salary increases with the level of the employee's responsibilities and ranges from one percent for non-exempt employees to more than 50 percent for the Chief Executive Officer. The Compensation Committee sets the incentive compensation targets for each of the executive officers. Compensation increases for executive officers in recent years have primarily resulted from increases in incentive plan targets, reflecting the Committee's emphasis on performance-based pay. After the conclusion of the fiscal year, the target amount for each participant is multiplied by a factor based on the Company's actual performance with respect to the revenue growth and operating margin goals (equally weighted) previously established by the Board to establish his or her incentive award for the year. Awards can range from zero to three times the target amount.</w:t>
      </w:r>
    </w:p>
    <w:p>
      <w:pPr>
        <w:spacing w:after="0" w:line="184" w:lineRule="exact"/>
        <w:rPr>
          <w:sz w:val="20"/>
          <w:szCs w:val="20"/>
          <w:color w:val="auto"/>
        </w:rPr>
      </w:pPr>
    </w:p>
    <w:p>
      <w:pPr>
        <w:jc w:val="both"/>
        <w:ind w:right="2839" w:firstLine="461"/>
        <w:spacing w:after="0" w:line="251" w:lineRule="auto"/>
        <w:rPr>
          <w:sz w:val="20"/>
          <w:szCs w:val="20"/>
          <w:color w:val="auto"/>
        </w:rPr>
      </w:pPr>
      <w:r>
        <w:rPr>
          <w:rFonts w:ascii="Courier New" w:cs="Courier New" w:eastAsia="Courier New" w:hAnsi="Courier New"/>
          <w:sz w:val="15"/>
          <w:szCs w:val="15"/>
          <w:color w:val="auto"/>
        </w:rPr>
        <w:t>All officers receive 50 percent of their incentive awards in cash shortly after the end of the fiscal year. The remaining 50 percent is paid in the form of shares of "phantom stock" based on the market price of the Company's Common Stock at the end of the fiscal year. Those shares of phantom stock are converted to cash payments, in 25 percent increments, at the end of each of the succeeding four fiscal years (assuming the officer remains employed by the Company), based on the market price of the Company's stock at the end of each of those years.</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Options and Restricted Stock</w:t>
      </w:r>
    </w:p>
    <w:p>
      <w:pPr>
        <w:spacing w:after="0" w:line="185" w:lineRule="exact"/>
        <w:rPr>
          <w:sz w:val="20"/>
          <w:szCs w:val="20"/>
          <w:color w:val="auto"/>
        </w:rPr>
      </w:pPr>
    </w:p>
    <w:p>
      <w:pPr>
        <w:jc w:val="both"/>
        <w:ind w:right="2839" w:firstLine="461"/>
        <w:spacing w:after="0" w:line="251" w:lineRule="auto"/>
        <w:rPr>
          <w:sz w:val="20"/>
          <w:szCs w:val="20"/>
          <w:color w:val="auto"/>
        </w:rPr>
      </w:pPr>
      <w:r>
        <w:rPr>
          <w:rFonts w:ascii="Courier New" w:cs="Courier New" w:eastAsia="Courier New" w:hAnsi="Courier New"/>
          <w:sz w:val="15"/>
          <w:szCs w:val="15"/>
          <w:color w:val="auto"/>
        </w:rPr>
        <w:t>The Committee may award options to purchase the Company's Common Stock or shares of restricted stock to any employee, including the executive officers, under the Company's 1992 Long-term Incentive Plan. The exercise price for all options granted under this Plan must be at least equal to the fair market value of the shares on the date of grant. In addition to the level of responsibility and performance of the recipient, the Committee takes previous grants of options and restricted stock into consideration in making such awards. Awards of options were made to Messrs.</w:t>
      </w:r>
    </w:p>
    <w:p>
      <w:pPr>
        <w:spacing w:after="0" w:line="175" w:lineRule="exact"/>
        <w:rPr>
          <w:sz w:val="20"/>
          <w:szCs w:val="20"/>
          <w:color w:val="auto"/>
        </w:rPr>
      </w:pPr>
    </w:p>
    <w:p>
      <w:pPr>
        <w:jc w:val="right"/>
        <w:ind w:right="2839"/>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19"/>
          </w:cols>
          <w:pgMar w:left="240" w:top="650" w:right="1440" w:bottom="1440" w:gutter="0" w:footer="0" w:header="0"/>
        </w:sectPr>
      </w:pPr>
    </w:p>
    <w:bookmarkStart w:id="14" w:name="page15"/>
    <w:bookmarkEnd w:id="14"/>
    <w:p>
      <w:pPr>
        <w:jc w:val="both"/>
        <w:ind w:right="2839"/>
        <w:spacing w:after="0" w:line="251" w:lineRule="auto"/>
        <w:rPr>
          <w:sz w:val="20"/>
          <w:szCs w:val="20"/>
          <w:color w:val="auto"/>
        </w:rPr>
      </w:pPr>
      <w:r>
        <w:rPr>
          <w:rFonts w:ascii="Courier New" w:cs="Courier New" w:eastAsia="Courier New" w:hAnsi="Courier New"/>
          <w:sz w:val="15"/>
          <w:szCs w:val="15"/>
          <w:color w:val="auto"/>
        </w:rPr>
        <w:t>Rosenberger, Woldrich, Culhane, Roach and de Kerchove in fiscal 1996 and are reflected in the Option/SAR Grants in Last Fiscal Year Table and Aggregated Option/SAR Exercises in Last Fiscal Year and Fiscal Year-End Option/SAR Values Table above.</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Limits on Tax-Deductible Compensation</w:t>
      </w:r>
    </w:p>
    <w:p>
      <w:pPr>
        <w:spacing w:after="0" w:line="185" w:lineRule="exact"/>
        <w:rPr>
          <w:sz w:val="20"/>
          <w:szCs w:val="20"/>
          <w:color w:val="auto"/>
        </w:rPr>
      </w:pPr>
    </w:p>
    <w:p>
      <w:pPr>
        <w:jc w:val="both"/>
        <w:ind w:right="2839" w:firstLine="461"/>
        <w:spacing w:after="0" w:line="250" w:lineRule="auto"/>
        <w:rPr>
          <w:sz w:val="20"/>
          <w:szCs w:val="20"/>
          <w:color w:val="auto"/>
        </w:rPr>
      </w:pPr>
      <w:r>
        <w:rPr>
          <w:rFonts w:ascii="Courier New" w:cs="Courier New" w:eastAsia="Courier New" w:hAnsi="Courier New"/>
          <w:sz w:val="15"/>
          <w:szCs w:val="15"/>
          <w:color w:val="auto"/>
        </w:rPr>
        <w:t>The Committee believes that it is highly unlikely that the combination of base salary, Officer Incentive Plan cash awards, and payments for shares of phantom stock for any executive officer would exceed $1 million in any year and currently has no plans to amend the officers' incentive plan to ensure deductibility for federal tax purposes of any "excess" amounts. The Committee believes that the 1992 Long-term Incentive Plan meets the rules currently in effect so that compensation arising from the exercise of options granted under that plan will be deductible by the Company. The Committee believes it is highly unlikely that any combination of grants of restricted stock that will be awarded under that plan and other compensation will exceed $1 million for a single individual in any given year.</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CEO Compensation</w:t>
      </w:r>
    </w:p>
    <w:p>
      <w:pPr>
        <w:spacing w:after="0" w:line="185" w:lineRule="exact"/>
        <w:rPr>
          <w:sz w:val="20"/>
          <w:szCs w:val="20"/>
          <w:color w:val="auto"/>
        </w:rPr>
      </w:pPr>
    </w:p>
    <w:p>
      <w:pPr>
        <w:jc w:val="both"/>
        <w:ind w:right="2839" w:firstLine="461"/>
        <w:spacing w:after="0" w:line="250" w:lineRule="auto"/>
        <w:rPr>
          <w:sz w:val="20"/>
          <w:szCs w:val="20"/>
          <w:color w:val="auto"/>
        </w:rPr>
      </w:pPr>
      <w:r>
        <w:rPr>
          <w:rFonts w:ascii="Courier New" w:cs="Courier New" w:eastAsia="Courier New" w:hAnsi="Courier New"/>
          <w:sz w:val="15"/>
          <w:szCs w:val="15"/>
          <w:color w:val="auto"/>
        </w:rPr>
        <w:t>The amounts of Mr. Rosenberger's base salary and incentive plan target are established by the Compensation Committee using the criteria discussed above. Mr. Rosenberger's base salary for fiscal 1996 was $202,500, compared with a base of $193,750 for fiscal 1995. His incentive plan target for fiscal 1996 was $121,250 which represented an increase of $15,000 over 1995. Because the Company's revenue growth of 31 percent and operating margin of 18.8 percent substantially exceeded the goals set by the Board for 1996, Mr. Rosenberger's total incentive award for the year was $292,500. Of that amount, 50 percent was paid in cash shortly after the end of the year and is shown in the Summary Compensation Table under the column captioned "Annual Compensation; Bonus." The remainder was awarded in the form of shares of "phantom stock" as explained above which will become payable in 25 percent increments after each of the four years ending September 30, 1997 through 2000, based on the stock price on those dates. Amounts shown under the caption "Long-term Incentive Plan Payouts" reflect payments for phantom shares awarded in prior years.</w:t>
      </w:r>
    </w:p>
    <w:p>
      <w:pPr>
        <w:spacing w:after="0" w:line="184" w:lineRule="exact"/>
        <w:rPr>
          <w:sz w:val="20"/>
          <w:szCs w:val="20"/>
          <w:color w:val="auto"/>
        </w:rPr>
      </w:pPr>
    </w:p>
    <w:p>
      <w:pPr>
        <w:jc w:val="right"/>
        <w:ind w:right="4499"/>
        <w:spacing w:after="0"/>
        <w:rPr>
          <w:sz w:val="20"/>
          <w:szCs w:val="20"/>
          <w:color w:val="auto"/>
        </w:rPr>
      </w:pPr>
      <w:r>
        <w:rPr>
          <w:rFonts w:ascii="Courier New" w:cs="Courier New" w:eastAsia="Courier New" w:hAnsi="Courier New"/>
          <w:sz w:val="15"/>
          <w:szCs w:val="15"/>
          <w:color w:val="auto"/>
        </w:rPr>
        <w:t>Bryant J. Brooks</w:t>
      </w:r>
    </w:p>
    <w:p>
      <w:pPr>
        <w:spacing w:after="0" w:line="8" w:lineRule="exact"/>
        <w:rPr>
          <w:sz w:val="20"/>
          <w:szCs w:val="20"/>
          <w:color w:val="auto"/>
        </w:rPr>
      </w:pPr>
    </w:p>
    <w:p>
      <w:pPr>
        <w:jc w:val="right"/>
        <w:ind w:right="4499"/>
        <w:spacing w:after="0"/>
        <w:rPr>
          <w:sz w:val="20"/>
          <w:szCs w:val="20"/>
          <w:color w:val="auto"/>
        </w:rPr>
      </w:pPr>
      <w:r>
        <w:rPr>
          <w:rFonts w:ascii="Courier New" w:cs="Courier New" w:eastAsia="Courier New" w:hAnsi="Courier New"/>
          <w:sz w:val="15"/>
          <w:szCs w:val="15"/>
          <w:color w:val="auto"/>
        </w:rPr>
        <w:t>Guy R. Henshaw</w:t>
      </w:r>
    </w:p>
    <w:p>
      <w:pPr>
        <w:spacing w:after="0" w:line="8" w:lineRule="exact"/>
        <w:rPr>
          <w:sz w:val="20"/>
          <w:szCs w:val="20"/>
          <w:color w:val="auto"/>
        </w:rPr>
      </w:pPr>
    </w:p>
    <w:p>
      <w:pPr>
        <w:jc w:val="right"/>
        <w:ind w:right="4499"/>
        <w:spacing w:after="0"/>
        <w:rPr>
          <w:sz w:val="20"/>
          <w:szCs w:val="20"/>
          <w:color w:val="auto"/>
        </w:rPr>
      </w:pPr>
      <w:r>
        <w:rPr>
          <w:rFonts w:ascii="Courier New" w:cs="Courier New" w:eastAsia="Courier New" w:hAnsi="Courier New"/>
          <w:sz w:val="15"/>
          <w:szCs w:val="15"/>
          <w:color w:val="auto"/>
        </w:rPr>
        <w:t>A. George Battle</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Performance Graph</w:t>
      </w:r>
    </w:p>
    <w:p>
      <w:pPr>
        <w:spacing w:after="0" w:line="185" w:lineRule="exact"/>
        <w:rPr>
          <w:sz w:val="20"/>
          <w:szCs w:val="20"/>
          <w:color w:val="auto"/>
        </w:rPr>
      </w:pPr>
    </w:p>
    <w:p>
      <w:pPr>
        <w:jc w:val="both"/>
        <w:ind w:right="2839" w:firstLine="461"/>
        <w:spacing w:after="0" w:line="251" w:lineRule="auto"/>
        <w:rPr>
          <w:sz w:val="20"/>
          <w:szCs w:val="20"/>
          <w:color w:val="auto"/>
        </w:rPr>
      </w:pPr>
      <w:r>
        <w:rPr>
          <w:rFonts w:ascii="Courier New" w:cs="Courier New" w:eastAsia="Courier New" w:hAnsi="Courier New"/>
          <w:sz w:val="15"/>
          <w:szCs w:val="15"/>
          <w:color w:val="auto"/>
        </w:rPr>
        <w:t>In accordance with SEC rules, the following table shows a line-graph presentation comparing cumulative five-year stockholder returns on an indexed basis with a broad equity market index and either a nationally recognized industry standard or an index of peer companies selected by the Company. The Company has selected the Center for Research in Security Prices ("CRSP") Total Return Index for the S&amp;P 500 Stocks for the broad equity index, and a self-determined group of peer companies. Prior to May 6, 1996, the Company's stock was traded on the Nasdaq</w:t>
      </w:r>
    </w:p>
    <w:p>
      <w:pPr>
        <w:spacing w:after="0" w:line="353" w:lineRule="exact"/>
        <w:rPr>
          <w:sz w:val="20"/>
          <w:szCs w:val="20"/>
          <w:color w:val="auto"/>
        </w:rPr>
      </w:pPr>
    </w:p>
    <w:p>
      <w:pPr>
        <w:jc w:val="right"/>
        <w:ind w:right="2839"/>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19"/>
          </w:cols>
          <w:pgMar w:left="240" w:top="650" w:right="1440" w:bottom="1440" w:gutter="0" w:footer="0" w:header="0"/>
        </w:sectPr>
      </w:pPr>
    </w:p>
    <w:bookmarkStart w:id="15" w:name="page16"/>
    <w:bookmarkEnd w:id="15"/>
    <w:p>
      <w:pPr>
        <w:jc w:val="both"/>
        <w:ind w:right="3140"/>
        <w:spacing w:after="0" w:line="251" w:lineRule="auto"/>
        <w:rPr>
          <w:sz w:val="20"/>
          <w:szCs w:val="20"/>
          <w:color w:val="auto"/>
        </w:rPr>
      </w:pPr>
      <w:r>
        <w:rPr>
          <w:rFonts w:ascii="Courier New" w:cs="Courier New" w:eastAsia="Courier New" w:hAnsi="Courier New"/>
          <w:sz w:val="15"/>
          <w:szCs w:val="15"/>
          <w:color w:val="auto"/>
        </w:rPr>
        <w:t>Stock Market and in prior years the Company used the CRSP Total Return Index for the Nasdaq Stock Market (U.S. Companies) as the broad equity market index. Since its stock has been listed on the New York Stock Exchange since May 6, 1996, the Company believes the S&amp;P 500 Index is a more appropriate broad market index.</w:t>
      </w:r>
    </w:p>
    <w:p>
      <w:pPr>
        <w:spacing w:after="0" w:line="176" w:lineRule="exact"/>
        <w:rPr>
          <w:sz w:val="20"/>
          <w:szCs w:val="20"/>
          <w:color w:val="auto"/>
        </w:rPr>
      </w:pPr>
    </w:p>
    <w:p>
      <w:pPr>
        <w:jc w:val="both"/>
        <w:ind w:right="3140" w:firstLine="461"/>
        <w:spacing w:after="0" w:line="250" w:lineRule="auto"/>
        <w:rPr>
          <w:sz w:val="20"/>
          <w:szCs w:val="20"/>
          <w:color w:val="auto"/>
        </w:rPr>
      </w:pPr>
      <w:r>
        <w:rPr>
          <w:rFonts w:ascii="Courier New" w:cs="Courier New" w:eastAsia="Courier New" w:hAnsi="Courier New"/>
          <w:sz w:val="15"/>
          <w:szCs w:val="15"/>
          <w:color w:val="auto"/>
        </w:rPr>
        <w:t>The peer group consists of Acxiom Corporation; American Management Systems, Inc.; Barra, Inc.; Broderbund Software, Inc.; Hogan Systems, Inc.; HNC Software Inc.; and Inference Corporation. The Company does not believe there are any publicly traded companies which compete with the Company across the full spectrum of its product and service offerings. The companies in the peer group represent a variety of information and decision service providers and software developers which are in the same order of magnitude as the Company in revenue and market capitalization. HNC Software, Inc. and Inference Corporation first became publicly traded within the last two years and compete with the Company in certain markets. Accordingly, the Company believes these companies should be added to the peer group. Barra and Broderbund are headquartered near the Company's headquarters and compete with the Company for available technical staff.</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Comparison of Five Year Cumulative Return</w:t>
      </w:r>
    </w:p>
    <w:p>
      <w:pPr>
        <w:spacing w:after="0" w:line="185" w:lineRule="exact"/>
        <w:rPr>
          <w:sz w:val="20"/>
          <w:szCs w:val="20"/>
          <w:color w:val="auto"/>
        </w:rPr>
      </w:pPr>
    </w:p>
    <w:p>
      <w:pPr>
        <w:jc w:val="both"/>
        <w:ind w:right="3140" w:firstLine="461"/>
        <w:spacing w:after="0" w:line="252" w:lineRule="auto"/>
        <w:rPr>
          <w:sz w:val="20"/>
          <w:szCs w:val="20"/>
          <w:color w:val="auto"/>
        </w:rPr>
      </w:pPr>
      <w:r>
        <w:rPr>
          <w:rFonts w:ascii="Courier New" w:cs="Courier New" w:eastAsia="Courier New" w:hAnsi="Courier New"/>
          <w:sz w:val="15"/>
          <w:szCs w:val="15"/>
          <w:color w:val="auto"/>
        </w:rPr>
        <w:t>Among Fair, Isaac and Company, Incorporated, the CRSP Index for S&amp;P 500 stocks, the CRSP Index for NASDAQ stock market (US Companies) and the self-determined peer group indices, current and former:</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8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560" w:type="dxa"/>
            <w:vAlign w:val="bottom"/>
          </w:tcPr>
          <w:p>
            <w:pPr>
              <w:jc w:val="center"/>
              <w:spacing w:after="0"/>
              <w:rPr>
                <w:sz w:val="20"/>
                <w:szCs w:val="20"/>
                <w:color w:val="auto"/>
              </w:rPr>
            </w:pPr>
            <w:r>
              <w:rPr>
                <w:rFonts w:ascii="Courier New" w:cs="Courier New" w:eastAsia="Courier New" w:hAnsi="Courier New"/>
                <w:sz w:val="15"/>
                <w:szCs w:val="15"/>
                <w:color w:val="auto"/>
              </w:rPr>
              <w:t>CRSP Index for</w:t>
            </w:r>
          </w:p>
        </w:tc>
        <w:tc>
          <w:tcPr>
            <w:tcW w:w="1680" w:type="dxa"/>
            <w:vAlign w:val="bottom"/>
          </w:tcPr>
          <w:p>
            <w:pPr>
              <w:spacing w:after="0"/>
              <w:rPr>
                <w:sz w:val="14"/>
                <w:szCs w:val="14"/>
                <w:color w:val="auto"/>
              </w:rPr>
            </w:pPr>
          </w:p>
        </w:tc>
        <w:tc>
          <w:tcPr>
            <w:tcW w:w="1520" w:type="dxa"/>
            <w:vAlign w:val="bottom"/>
          </w:tcPr>
          <w:p>
            <w:pPr>
              <w:spacing w:after="0"/>
              <w:rPr>
                <w:sz w:val="14"/>
                <w:szCs w:val="14"/>
                <w:color w:val="auto"/>
              </w:rPr>
            </w:pPr>
          </w:p>
        </w:tc>
      </w:tr>
      <w:tr>
        <w:trPr>
          <w:trHeight w:val="177"/>
        </w:trPr>
        <w:tc>
          <w:tcPr>
            <w:tcW w:w="2080" w:type="dxa"/>
            <w:vAlign w:val="bottom"/>
          </w:tcPr>
          <w:p>
            <w:pPr>
              <w:spacing w:after="0"/>
              <w:rPr>
                <w:sz w:val="15"/>
                <w:szCs w:val="15"/>
                <w:color w:val="auto"/>
              </w:rPr>
            </w:pPr>
          </w:p>
        </w:tc>
        <w:tc>
          <w:tcPr>
            <w:tcW w:w="24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Courier New" w:cs="Courier New" w:eastAsia="Courier New" w:hAnsi="Courier New"/>
                <w:sz w:val="15"/>
                <w:szCs w:val="15"/>
                <w:color w:val="auto"/>
              </w:rPr>
              <w:t>CRSP Index</w:t>
            </w:r>
          </w:p>
        </w:tc>
        <w:tc>
          <w:tcPr>
            <w:tcW w:w="1560" w:type="dxa"/>
            <w:vAlign w:val="bottom"/>
          </w:tcPr>
          <w:p>
            <w:pPr>
              <w:jc w:val="center"/>
              <w:spacing w:after="0"/>
              <w:rPr>
                <w:sz w:val="20"/>
                <w:szCs w:val="20"/>
                <w:color w:val="auto"/>
              </w:rPr>
            </w:pPr>
            <w:r>
              <w:rPr>
                <w:rFonts w:ascii="Courier New" w:cs="Courier New" w:eastAsia="Courier New" w:hAnsi="Courier New"/>
                <w:sz w:val="15"/>
                <w:szCs w:val="15"/>
                <w:color w:val="auto"/>
              </w:rPr>
              <w:t>For NASDAQ</w:t>
            </w:r>
          </w:p>
        </w:tc>
        <w:tc>
          <w:tcPr>
            <w:tcW w:w="1680" w:type="dxa"/>
            <w:vAlign w:val="bottom"/>
          </w:tcPr>
          <w:p>
            <w:pPr>
              <w:ind w:left="140"/>
              <w:spacing w:after="0"/>
              <w:rPr>
                <w:sz w:val="20"/>
                <w:szCs w:val="20"/>
                <w:color w:val="auto"/>
              </w:rPr>
            </w:pPr>
            <w:r>
              <w:rPr>
                <w:rFonts w:ascii="Courier New" w:cs="Courier New" w:eastAsia="Courier New" w:hAnsi="Courier New"/>
                <w:sz w:val="15"/>
                <w:szCs w:val="15"/>
                <w:color w:val="auto"/>
              </w:rPr>
              <w:t>Self-determined</w:t>
            </w:r>
          </w:p>
        </w:tc>
        <w:tc>
          <w:tcPr>
            <w:tcW w:w="1520" w:type="dxa"/>
            <w:vAlign w:val="bottom"/>
          </w:tcPr>
          <w:p>
            <w:pPr>
              <w:ind w:left="120"/>
              <w:spacing w:after="0"/>
              <w:rPr>
                <w:sz w:val="20"/>
                <w:szCs w:val="20"/>
                <w:color w:val="auto"/>
              </w:rPr>
            </w:pPr>
            <w:r>
              <w:rPr>
                <w:rFonts w:ascii="Courier New" w:cs="Courier New" w:eastAsia="Courier New" w:hAnsi="Courier New"/>
                <w:sz w:val="15"/>
                <w:szCs w:val="15"/>
                <w:color w:val="auto"/>
              </w:rPr>
              <w:t>Self-determined</w:t>
            </w:r>
          </w:p>
        </w:tc>
      </w:tr>
      <w:tr>
        <w:trPr>
          <w:trHeight w:val="177"/>
        </w:trPr>
        <w:tc>
          <w:tcPr>
            <w:tcW w:w="2080" w:type="dxa"/>
            <w:vAlign w:val="bottom"/>
          </w:tcPr>
          <w:p>
            <w:pPr>
              <w:spacing w:after="0"/>
              <w:rPr>
                <w:sz w:val="20"/>
                <w:szCs w:val="20"/>
                <w:color w:val="auto"/>
              </w:rPr>
            </w:pPr>
            <w:r>
              <w:rPr>
                <w:rFonts w:ascii="Courier New" w:cs="Courier New" w:eastAsia="Courier New" w:hAnsi="Courier New"/>
                <w:sz w:val="15"/>
                <w:szCs w:val="15"/>
                <w:color w:val="auto"/>
              </w:rPr>
              <w:t>Measurement Period</w:t>
            </w:r>
          </w:p>
        </w:tc>
        <w:tc>
          <w:tcPr>
            <w:tcW w:w="2440" w:type="dxa"/>
            <w:vAlign w:val="bottom"/>
          </w:tcPr>
          <w:p>
            <w:pPr>
              <w:jc w:val="center"/>
              <w:spacing w:after="0"/>
              <w:rPr>
                <w:sz w:val="20"/>
                <w:szCs w:val="20"/>
                <w:color w:val="auto"/>
              </w:rPr>
            </w:pPr>
            <w:r>
              <w:rPr>
                <w:rFonts w:ascii="Courier New" w:cs="Courier New" w:eastAsia="Courier New" w:hAnsi="Courier New"/>
                <w:sz w:val="15"/>
                <w:szCs w:val="15"/>
                <w:color w:val="auto"/>
              </w:rPr>
              <w:t>Fair, Isaac and Company,</w:t>
            </w:r>
          </w:p>
        </w:tc>
        <w:tc>
          <w:tcPr>
            <w:tcW w:w="1240" w:type="dxa"/>
            <w:vAlign w:val="bottom"/>
          </w:tcPr>
          <w:p>
            <w:pPr>
              <w:ind w:left="80"/>
              <w:spacing w:after="0"/>
              <w:rPr>
                <w:sz w:val="20"/>
                <w:szCs w:val="20"/>
                <w:color w:val="auto"/>
              </w:rPr>
            </w:pPr>
            <w:r>
              <w:rPr>
                <w:rFonts w:ascii="Courier New" w:cs="Courier New" w:eastAsia="Courier New" w:hAnsi="Courier New"/>
                <w:sz w:val="15"/>
                <w:szCs w:val="15"/>
                <w:color w:val="auto"/>
              </w:rPr>
              <w:t>for S&amp;P 500</w:t>
            </w:r>
          </w:p>
        </w:tc>
        <w:tc>
          <w:tcPr>
            <w:tcW w:w="1560" w:type="dxa"/>
            <w:vAlign w:val="bottom"/>
          </w:tcPr>
          <w:p>
            <w:pPr>
              <w:jc w:val="center"/>
              <w:spacing w:after="0"/>
              <w:rPr>
                <w:sz w:val="20"/>
                <w:szCs w:val="20"/>
                <w:color w:val="auto"/>
              </w:rPr>
            </w:pPr>
            <w:r>
              <w:rPr>
                <w:rFonts w:ascii="Courier New" w:cs="Courier New" w:eastAsia="Courier New" w:hAnsi="Courier New"/>
                <w:sz w:val="15"/>
                <w:szCs w:val="15"/>
                <w:color w:val="auto"/>
              </w:rPr>
              <w:t>Stock Market</w:t>
            </w:r>
          </w:p>
        </w:tc>
        <w:tc>
          <w:tcPr>
            <w:tcW w:w="1680" w:type="dxa"/>
            <w:vAlign w:val="bottom"/>
          </w:tcPr>
          <w:p>
            <w:pPr>
              <w:ind w:left="340"/>
              <w:spacing w:after="0"/>
              <w:rPr>
                <w:sz w:val="20"/>
                <w:szCs w:val="20"/>
                <w:color w:val="auto"/>
              </w:rPr>
            </w:pPr>
            <w:r>
              <w:rPr>
                <w:rFonts w:ascii="Courier New" w:cs="Courier New" w:eastAsia="Courier New" w:hAnsi="Courier New"/>
                <w:sz w:val="15"/>
                <w:szCs w:val="15"/>
                <w:color w:val="auto"/>
              </w:rPr>
              <w:t>Peer Group</w:t>
            </w:r>
          </w:p>
        </w:tc>
        <w:tc>
          <w:tcPr>
            <w:tcW w:w="1520" w:type="dxa"/>
            <w:vAlign w:val="bottom"/>
          </w:tcPr>
          <w:p>
            <w:pPr>
              <w:ind w:left="320"/>
              <w:spacing w:after="0"/>
              <w:rPr>
                <w:sz w:val="20"/>
                <w:szCs w:val="20"/>
                <w:color w:val="auto"/>
              </w:rPr>
            </w:pPr>
            <w:r>
              <w:rPr>
                <w:rFonts w:ascii="Courier New" w:cs="Courier New" w:eastAsia="Courier New" w:hAnsi="Courier New"/>
                <w:sz w:val="15"/>
                <w:szCs w:val="15"/>
                <w:color w:val="auto"/>
              </w:rPr>
              <w:t>Peer Group</w:t>
            </w:r>
          </w:p>
        </w:tc>
      </w:tr>
      <w:tr>
        <w:trPr>
          <w:trHeight w:val="177"/>
        </w:trPr>
        <w:tc>
          <w:tcPr>
            <w:tcW w:w="2080" w:type="dxa"/>
            <w:vAlign w:val="bottom"/>
          </w:tcPr>
          <w:p>
            <w:pPr>
              <w:spacing w:after="0"/>
              <w:rPr>
                <w:sz w:val="20"/>
                <w:szCs w:val="20"/>
                <w:color w:val="auto"/>
              </w:rPr>
            </w:pPr>
            <w:r>
              <w:rPr>
                <w:rFonts w:ascii="Courier New" w:cs="Courier New" w:eastAsia="Courier New" w:hAnsi="Courier New"/>
                <w:sz w:val="15"/>
                <w:szCs w:val="15"/>
                <w:color w:val="auto"/>
              </w:rPr>
              <w:t>(Fiscal year covered)</w:t>
            </w:r>
          </w:p>
        </w:tc>
        <w:tc>
          <w:tcPr>
            <w:tcW w:w="2440" w:type="dxa"/>
            <w:vAlign w:val="bottom"/>
          </w:tcPr>
          <w:p>
            <w:pPr>
              <w:jc w:val="center"/>
              <w:spacing w:after="0"/>
              <w:rPr>
                <w:sz w:val="20"/>
                <w:szCs w:val="20"/>
                <w:color w:val="auto"/>
              </w:rPr>
            </w:pPr>
            <w:r>
              <w:rPr>
                <w:rFonts w:ascii="Courier New" w:cs="Courier New" w:eastAsia="Courier New" w:hAnsi="Courier New"/>
                <w:sz w:val="15"/>
                <w:szCs w:val="15"/>
                <w:color w:val="auto"/>
              </w:rPr>
              <w:t>Incorporated</w:t>
            </w:r>
          </w:p>
        </w:tc>
        <w:tc>
          <w:tcPr>
            <w:tcW w:w="1240" w:type="dxa"/>
            <w:vAlign w:val="bottom"/>
          </w:tcPr>
          <w:p>
            <w:pPr>
              <w:ind w:left="280"/>
              <w:spacing w:after="0"/>
              <w:rPr>
                <w:sz w:val="20"/>
                <w:szCs w:val="20"/>
                <w:color w:val="auto"/>
              </w:rPr>
            </w:pPr>
            <w:r>
              <w:rPr>
                <w:rFonts w:ascii="Courier New" w:cs="Courier New" w:eastAsia="Courier New" w:hAnsi="Courier New"/>
                <w:sz w:val="15"/>
                <w:szCs w:val="15"/>
                <w:color w:val="auto"/>
              </w:rPr>
              <w:t>Stocks</w:t>
            </w:r>
          </w:p>
        </w:tc>
        <w:tc>
          <w:tcPr>
            <w:tcW w:w="1560" w:type="dxa"/>
            <w:vAlign w:val="bottom"/>
          </w:tcPr>
          <w:p>
            <w:pPr>
              <w:jc w:val="center"/>
              <w:spacing w:after="0"/>
              <w:rPr>
                <w:sz w:val="20"/>
                <w:szCs w:val="20"/>
                <w:color w:val="auto"/>
              </w:rPr>
            </w:pPr>
            <w:r>
              <w:rPr>
                <w:rFonts w:ascii="Courier New" w:cs="Courier New" w:eastAsia="Courier New" w:hAnsi="Courier New"/>
                <w:sz w:val="15"/>
                <w:szCs w:val="15"/>
                <w:color w:val="auto"/>
              </w:rPr>
              <w:t>(US Companies)</w:t>
            </w:r>
          </w:p>
        </w:tc>
        <w:tc>
          <w:tcPr>
            <w:tcW w:w="1680" w:type="dxa"/>
            <w:vAlign w:val="bottom"/>
          </w:tcPr>
          <w:p>
            <w:pPr>
              <w:ind w:left="140"/>
              <w:spacing w:after="0"/>
              <w:rPr>
                <w:sz w:val="20"/>
                <w:szCs w:val="20"/>
                <w:color w:val="auto"/>
              </w:rPr>
            </w:pPr>
            <w:r>
              <w:rPr>
                <w:rFonts w:ascii="Courier New" w:cs="Courier New" w:eastAsia="Courier New" w:hAnsi="Courier New"/>
                <w:sz w:val="15"/>
                <w:szCs w:val="15"/>
                <w:color w:val="auto"/>
              </w:rPr>
              <w:t>Index (current)</w:t>
            </w:r>
          </w:p>
        </w:tc>
        <w:tc>
          <w:tcPr>
            <w:tcW w:w="1520" w:type="dxa"/>
            <w:vAlign w:val="bottom"/>
          </w:tcPr>
          <w:p>
            <w:pPr>
              <w:ind w:left="120"/>
              <w:spacing w:after="0"/>
              <w:rPr>
                <w:sz w:val="20"/>
                <w:szCs w:val="20"/>
                <w:color w:val="auto"/>
              </w:rPr>
            </w:pPr>
            <w:r>
              <w:rPr>
                <w:rFonts w:ascii="Courier New" w:cs="Courier New" w:eastAsia="Courier New" w:hAnsi="Courier New"/>
                <w:sz w:val="15"/>
                <w:szCs w:val="15"/>
                <w:color w:val="auto"/>
              </w:rPr>
              <w:t>Index (former)</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85" w:lineRule="exact"/>
        <w:rPr>
          <w:sz w:val="20"/>
          <w:szCs w:val="20"/>
          <w:color w:val="auto"/>
        </w:rPr>
      </w:pPr>
    </w:p>
    <w:tbl>
      <w:tblPr>
        <w:tblLayout w:type="fixed"/>
        <w:tblInd w:w="640" w:type="dxa"/>
        <w:tblCellMar>
          <w:top w:w="0" w:type="dxa"/>
          <w:left w:w="0" w:type="dxa"/>
          <w:bottom w:w="0" w:type="dxa"/>
          <w:right w:w="0" w:type="dxa"/>
        </w:tblCellMar>
      </w:tblPr>
      <w:tr>
        <w:trPr>
          <w:trHeight w:val="172"/>
        </w:trPr>
        <w:tc>
          <w:tcPr>
            <w:tcW w:w="1340" w:type="dxa"/>
            <w:vAlign w:val="bottom"/>
          </w:tcPr>
          <w:p>
            <w:pPr>
              <w:jc w:val="right"/>
              <w:ind w:right="903"/>
              <w:spacing w:after="0"/>
              <w:rPr>
                <w:sz w:val="20"/>
                <w:szCs w:val="20"/>
                <w:color w:val="auto"/>
              </w:rPr>
            </w:pPr>
            <w:r>
              <w:rPr>
                <w:rFonts w:ascii="Courier New" w:cs="Courier New" w:eastAsia="Courier New" w:hAnsi="Courier New"/>
                <w:sz w:val="15"/>
                <w:szCs w:val="15"/>
                <w:color w:val="auto"/>
                <w:w w:val="94"/>
              </w:rPr>
              <w:t>9/91</w:t>
            </w:r>
          </w:p>
        </w:tc>
        <w:tc>
          <w:tcPr>
            <w:tcW w:w="2220" w:type="dxa"/>
            <w:vAlign w:val="bottom"/>
          </w:tcPr>
          <w:p>
            <w:pPr>
              <w:jc w:val="right"/>
              <w:ind w:right="723"/>
              <w:spacing w:after="0"/>
              <w:rPr>
                <w:sz w:val="20"/>
                <w:szCs w:val="20"/>
                <w:color w:val="auto"/>
              </w:rPr>
            </w:pPr>
            <w:r>
              <w:rPr>
                <w:rFonts w:ascii="Courier New" w:cs="Courier New" w:eastAsia="Courier New" w:hAnsi="Courier New"/>
                <w:sz w:val="15"/>
                <w:szCs w:val="15"/>
                <w:color w:val="auto"/>
              </w:rPr>
              <w:t>100</w:t>
            </w:r>
          </w:p>
        </w:tc>
        <w:tc>
          <w:tcPr>
            <w:tcW w:w="170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100</w:t>
            </w:r>
          </w:p>
        </w:tc>
        <w:tc>
          <w:tcPr>
            <w:tcW w:w="1520" w:type="dxa"/>
            <w:vAlign w:val="bottom"/>
          </w:tcPr>
          <w:p>
            <w:pPr>
              <w:jc w:val="right"/>
              <w:ind w:right="523"/>
              <w:spacing w:after="0"/>
              <w:rPr>
                <w:sz w:val="20"/>
                <w:szCs w:val="20"/>
                <w:color w:val="auto"/>
              </w:rPr>
            </w:pPr>
            <w:r>
              <w:rPr>
                <w:rFonts w:ascii="Courier New" w:cs="Courier New" w:eastAsia="Courier New" w:hAnsi="Courier New"/>
                <w:sz w:val="15"/>
                <w:szCs w:val="15"/>
                <w:color w:val="auto"/>
              </w:rPr>
              <w:t>100</w:t>
            </w:r>
          </w:p>
        </w:tc>
        <w:tc>
          <w:tcPr>
            <w:tcW w:w="1620" w:type="dxa"/>
            <w:vAlign w:val="bottom"/>
          </w:tcPr>
          <w:p>
            <w:pPr>
              <w:jc w:val="right"/>
              <w:ind w:right="483"/>
              <w:spacing w:after="0"/>
              <w:rPr>
                <w:sz w:val="20"/>
                <w:szCs w:val="20"/>
                <w:color w:val="auto"/>
              </w:rPr>
            </w:pPr>
            <w:r>
              <w:rPr>
                <w:rFonts w:ascii="Courier New" w:cs="Courier New" w:eastAsia="Courier New" w:hAnsi="Courier New"/>
                <w:sz w:val="15"/>
                <w:szCs w:val="15"/>
                <w:color w:val="auto"/>
              </w:rPr>
              <w:t>100</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100</w:t>
            </w:r>
          </w:p>
        </w:tc>
      </w:tr>
      <w:tr>
        <w:trPr>
          <w:trHeight w:val="177"/>
        </w:trPr>
        <w:tc>
          <w:tcPr>
            <w:tcW w:w="1340" w:type="dxa"/>
            <w:vAlign w:val="bottom"/>
          </w:tcPr>
          <w:p>
            <w:pPr>
              <w:jc w:val="right"/>
              <w:ind w:right="903"/>
              <w:spacing w:after="0"/>
              <w:rPr>
                <w:sz w:val="20"/>
                <w:szCs w:val="20"/>
                <w:color w:val="auto"/>
              </w:rPr>
            </w:pPr>
            <w:r>
              <w:rPr>
                <w:rFonts w:ascii="Courier New" w:cs="Courier New" w:eastAsia="Courier New" w:hAnsi="Courier New"/>
                <w:sz w:val="15"/>
                <w:szCs w:val="15"/>
                <w:color w:val="auto"/>
                <w:w w:val="94"/>
              </w:rPr>
              <w:t>9/92</w:t>
            </w:r>
          </w:p>
        </w:tc>
        <w:tc>
          <w:tcPr>
            <w:tcW w:w="2220" w:type="dxa"/>
            <w:vAlign w:val="bottom"/>
          </w:tcPr>
          <w:p>
            <w:pPr>
              <w:jc w:val="right"/>
              <w:ind w:right="723"/>
              <w:spacing w:after="0"/>
              <w:rPr>
                <w:sz w:val="20"/>
                <w:szCs w:val="20"/>
                <w:color w:val="auto"/>
              </w:rPr>
            </w:pPr>
            <w:r>
              <w:rPr>
                <w:rFonts w:ascii="Courier New" w:cs="Courier New" w:eastAsia="Courier New" w:hAnsi="Courier New"/>
                <w:sz w:val="15"/>
                <w:szCs w:val="15"/>
                <w:color w:val="auto"/>
              </w:rPr>
              <w:t>145.7</w:t>
            </w:r>
          </w:p>
        </w:tc>
        <w:tc>
          <w:tcPr>
            <w:tcW w:w="170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110.8</w:t>
            </w:r>
          </w:p>
        </w:tc>
        <w:tc>
          <w:tcPr>
            <w:tcW w:w="1520" w:type="dxa"/>
            <w:vAlign w:val="bottom"/>
          </w:tcPr>
          <w:p>
            <w:pPr>
              <w:jc w:val="right"/>
              <w:ind w:right="523"/>
              <w:spacing w:after="0"/>
              <w:rPr>
                <w:sz w:val="20"/>
                <w:szCs w:val="20"/>
                <w:color w:val="auto"/>
              </w:rPr>
            </w:pPr>
            <w:r>
              <w:rPr>
                <w:rFonts w:ascii="Courier New" w:cs="Courier New" w:eastAsia="Courier New" w:hAnsi="Courier New"/>
                <w:sz w:val="15"/>
                <w:szCs w:val="15"/>
                <w:color w:val="auto"/>
              </w:rPr>
              <w:t>112.1</w:t>
            </w:r>
          </w:p>
        </w:tc>
        <w:tc>
          <w:tcPr>
            <w:tcW w:w="1620" w:type="dxa"/>
            <w:vAlign w:val="bottom"/>
          </w:tcPr>
          <w:p>
            <w:pPr>
              <w:jc w:val="right"/>
              <w:ind w:right="483"/>
              <w:spacing w:after="0"/>
              <w:rPr>
                <w:sz w:val="20"/>
                <w:szCs w:val="20"/>
                <w:color w:val="auto"/>
              </w:rPr>
            </w:pPr>
            <w:r>
              <w:rPr>
                <w:rFonts w:ascii="Courier New" w:cs="Courier New" w:eastAsia="Courier New" w:hAnsi="Courier New"/>
                <w:sz w:val="15"/>
                <w:szCs w:val="15"/>
                <w:color w:val="auto"/>
              </w:rPr>
              <w:t>136.0</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136.0</w:t>
            </w:r>
          </w:p>
        </w:tc>
      </w:tr>
      <w:tr>
        <w:trPr>
          <w:trHeight w:val="177"/>
        </w:trPr>
        <w:tc>
          <w:tcPr>
            <w:tcW w:w="1340" w:type="dxa"/>
            <w:vAlign w:val="bottom"/>
          </w:tcPr>
          <w:p>
            <w:pPr>
              <w:jc w:val="right"/>
              <w:ind w:right="903"/>
              <w:spacing w:after="0"/>
              <w:rPr>
                <w:sz w:val="20"/>
                <w:szCs w:val="20"/>
                <w:color w:val="auto"/>
              </w:rPr>
            </w:pPr>
            <w:r>
              <w:rPr>
                <w:rFonts w:ascii="Courier New" w:cs="Courier New" w:eastAsia="Courier New" w:hAnsi="Courier New"/>
                <w:sz w:val="15"/>
                <w:szCs w:val="15"/>
                <w:color w:val="auto"/>
                <w:w w:val="94"/>
              </w:rPr>
              <w:t>9/93</w:t>
            </w:r>
          </w:p>
        </w:tc>
        <w:tc>
          <w:tcPr>
            <w:tcW w:w="2220" w:type="dxa"/>
            <w:vAlign w:val="bottom"/>
          </w:tcPr>
          <w:p>
            <w:pPr>
              <w:jc w:val="right"/>
              <w:ind w:right="723"/>
              <w:spacing w:after="0"/>
              <w:rPr>
                <w:sz w:val="20"/>
                <w:szCs w:val="20"/>
                <w:color w:val="auto"/>
              </w:rPr>
            </w:pPr>
            <w:r>
              <w:rPr>
                <w:rFonts w:ascii="Courier New" w:cs="Courier New" w:eastAsia="Courier New" w:hAnsi="Courier New"/>
                <w:sz w:val="15"/>
                <w:szCs w:val="15"/>
                <w:color w:val="auto"/>
              </w:rPr>
              <w:t>247.5</w:t>
            </w:r>
          </w:p>
        </w:tc>
        <w:tc>
          <w:tcPr>
            <w:tcW w:w="170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125.2</w:t>
            </w:r>
          </w:p>
        </w:tc>
        <w:tc>
          <w:tcPr>
            <w:tcW w:w="1520" w:type="dxa"/>
            <w:vAlign w:val="bottom"/>
          </w:tcPr>
          <w:p>
            <w:pPr>
              <w:jc w:val="right"/>
              <w:ind w:right="523"/>
              <w:spacing w:after="0"/>
              <w:rPr>
                <w:sz w:val="20"/>
                <w:szCs w:val="20"/>
                <w:color w:val="auto"/>
              </w:rPr>
            </w:pPr>
            <w:r>
              <w:rPr>
                <w:rFonts w:ascii="Courier New" w:cs="Courier New" w:eastAsia="Courier New" w:hAnsi="Courier New"/>
                <w:sz w:val="15"/>
                <w:szCs w:val="15"/>
                <w:color w:val="auto"/>
              </w:rPr>
              <w:t>146.8</w:t>
            </w:r>
          </w:p>
        </w:tc>
        <w:tc>
          <w:tcPr>
            <w:tcW w:w="1620" w:type="dxa"/>
            <w:vAlign w:val="bottom"/>
          </w:tcPr>
          <w:p>
            <w:pPr>
              <w:jc w:val="right"/>
              <w:ind w:right="483"/>
              <w:spacing w:after="0"/>
              <w:rPr>
                <w:sz w:val="20"/>
                <w:szCs w:val="20"/>
                <w:color w:val="auto"/>
              </w:rPr>
            </w:pPr>
            <w:r>
              <w:rPr>
                <w:rFonts w:ascii="Courier New" w:cs="Courier New" w:eastAsia="Courier New" w:hAnsi="Courier New"/>
                <w:sz w:val="15"/>
                <w:szCs w:val="15"/>
                <w:color w:val="auto"/>
              </w:rPr>
              <w:t>178.1</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178.1</w:t>
            </w:r>
          </w:p>
        </w:tc>
      </w:tr>
      <w:tr>
        <w:trPr>
          <w:trHeight w:val="177"/>
        </w:trPr>
        <w:tc>
          <w:tcPr>
            <w:tcW w:w="1340" w:type="dxa"/>
            <w:vAlign w:val="bottom"/>
          </w:tcPr>
          <w:p>
            <w:pPr>
              <w:jc w:val="right"/>
              <w:ind w:right="903"/>
              <w:spacing w:after="0"/>
              <w:rPr>
                <w:sz w:val="20"/>
                <w:szCs w:val="20"/>
                <w:color w:val="auto"/>
              </w:rPr>
            </w:pPr>
            <w:r>
              <w:rPr>
                <w:rFonts w:ascii="Courier New" w:cs="Courier New" w:eastAsia="Courier New" w:hAnsi="Courier New"/>
                <w:sz w:val="15"/>
                <w:szCs w:val="15"/>
                <w:color w:val="auto"/>
                <w:w w:val="94"/>
              </w:rPr>
              <w:t>9/94</w:t>
            </w:r>
          </w:p>
        </w:tc>
        <w:tc>
          <w:tcPr>
            <w:tcW w:w="2220" w:type="dxa"/>
            <w:vAlign w:val="bottom"/>
          </w:tcPr>
          <w:p>
            <w:pPr>
              <w:jc w:val="right"/>
              <w:ind w:right="723"/>
              <w:spacing w:after="0"/>
              <w:rPr>
                <w:sz w:val="20"/>
                <w:szCs w:val="20"/>
                <w:color w:val="auto"/>
              </w:rPr>
            </w:pPr>
            <w:r>
              <w:rPr>
                <w:rFonts w:ascii="Courier New" w:cs="Courier New" w:eastAsia="Courier New" w:hAnsi="Courier New"/>
                <w:sz w:val="15"/>
                <w:szCs w:val="15"/>
                <w:color w:val="auto"/>
              </w:rPr>
              <w:t>426.5</w:t>
            </w:r>
          </w:p>
        </w:tc>
        <w:tc>
          <w:tcPr>
            <w:tcW w:w="170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129.8</w:t>
            </w:r>
          </w:p>
        </w:tc>
        <w:tc>
          <w:tcPr>
            <w:tcW w:w="1520" w:type="dxa"/>
            <w:vAlign w:val="bottom"/>
          </w:tcPr>
          <w:p>
            <w:pPr>
              <w:jc w:val="right"/>
              <w:ind w:right="523"/>
              <w:spacing w:after="0"/>
              <w:rPr>
                <w:sz w:val="20"/>
                <w:szCs w:val="20"/>
                <w:color w:val="auto"/>
              </w:rPr>
            </w:pPr>
            <w:r>
              <w:rPr>
                <w:rFonts w:ascii="Courier New" w:cs="Courier New" w:eastAsia="Courier New" w:hAnsi="Courier New"/>
                <w:sz w:val="15"/>
                <w:szCs w:val="15"/>
                <w:color w:val="auto"/>
              </w:rPr>
              <w:t>148.0</w:t>
            </w:r>
          </w:p>
        </w:tc>
        <w:tc>
          <w:tcPr>
            <w:tcW w:w="1620" w:type="dxa"/>
            <w:vAlign w:val="bottom"/>
          </w:tcPr>
          <w:p>
            <w:pPr>
              <w:jc w:val="right"/>
              <w:ind w:right="483"/>
              <w:spacing w:after="0"/>
              <w:rPr>
                <w:sz w:val="20"/>
                <w:szCs w:val="20"/>
                <w:color w:val="auto"/>
              </w:rPr>
            </w:pPr>
            <w:r>
              <w:rPr>
                <w:rFonts w:ascii="Courier New" w:cs="Courier New" w:eastAsia="Courier New" w:hAnsi="Courier New"/>
                <w:sz w:val="15"/>
                <w:szCs w:val="15"/>
                <w:color w:val="auto"/>
              </w:rPr>
              <w:t>217.1</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217.1</w:t>
            </w:r>
          </w:p>
        </w:tc>
      </w:tr>
      <w:tr>
        <w:trPr>
          <w:trHeight w:val="177"/>
        </w:trPr>
        <w:tc>
          <w:tcPr>
            <w:tcW w:w="1340" w:type="dxa"/>
            <w:vAlign w:val="bottom"/>
          </w:tcPr>
          <w:p>
            <w:pPr>
              <w:jc w:val="right"/>
              <w:ind w:right="903"/>
              <w:spacing w:after="0"/>
              <w:rPr>
                <w:sz w:val="20"/>
                <w:szCs w:val="20"/>
                <w:color w:val="auto"/>
              </w:rPr>
            </w:pPr>
            <w:r>
              <w:rPr>
                <w:rFonts w:ascii="Courier New" w:cs="Courier New" w:eastAsia="Courier New" w:hAnsi="Courier New"/>
                <w:sz w:val="15"/>
                <w:szCs w:val="15"/>
                <w:color w:val="auto"/>
                <w:w w:val="94"/>
              </w:rPr>
              <w:t>9/95</w:t>
            </w:r>
          </w:p>
        </w:tc>
        <w:tc>
          <w:tcPr>
            <w:tcW w:w="2220" w:type="dxa"/>
            <w:vAlign w:val="bottom"/>
          </w:tcPr>
          <w:p>
            <w:pPr>
              <w:jc w:val="right"/>
              <w:ind w:right="723"/>
              <w:spacing w:after="0"/>
              <w:rPr>
                <w:sz w:val="20"/>
                <w:szCs w:val="20"/>
                <w:color w:val="auto"/>
              </w:rPr>
            </w:pPr>
            <w:r>
              <w:rPr>
                <w:rFonts w:ascii="Courier New" w:cs="Courier New" w:eastAsia="Courier New" w:hAnsi="Courier New"/>
                <w:sz w:val="15"/>
                <w:szCs w:val="15"/>
                <w:color w:val="auto"/>
              </w:rPr>
              <w:t>701.0</w:t>
            </w:r>
          </w:p>
        </w:tc>
        <w:tc>
          <w:tcPr>
            <w:tcW w:w="170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168.7</w:t>
            </w:r>
          </w:p>
        </w:tc>
        <w:tc>
          <w:tcPr>
            <w:tcW w:w="1520" w:type="dxa"/>
            <w:vAlign w:val="bottom"/>
          </w:tcPr>
          <w:p>
            <w:pPr>
              <w:jc w:val="right"/>
              <w:ind w:right="523"/>
              <w:spacing w:after="0"/>
              <w:rPr>
                <w:sz w:val="20"/>
                <w:szCs w:val="20"/>
                <w:color w:val="auto"/>
              </w:rPr>
            </w:pPr>
            <w:r>
              <w:rPr>
                <w:rFonts w:ascii="Courier New" w:cs="Courier New" w:eastAsia="Courier New" w:hAnsi="Courier New"/>
                <w:sz w:val="15"/>
                <w:szCs w:val="15"/>
                <w:color w:val="auto"/>
              </w:rPr>
              <w:t>204.4</w:t>
            </w:r>
          </w:p>
        </w:tc>
        <w:tc>
          <w:tcPr>
            <w:tcW w:w="1620" w:type="dxa"/>
            <w:vAlign w:val="bottom"/>
          </w:tcPr>
          <w:p>
            <w:pPr>
              <w:jc w:val="right"/>
              <w:ind w:right="483"/>
              <w:spacing w:after="0"/>
              <w:rPr>
                <w:sz w:val="20"/>
                <w:szCs w:val="20"/>
                <w:color w:val="auto"/>
              </w:rPr>
            </w:pPr>
            <w:r>
              <w:rPr>
                <w:rFonts w:ascii="Courier New" w:cs="Courier New" w:eastAsia="Courier New" w:hAnsi="Courier New"/>
                <w:sz w:val="15"/>
                <w:szCs w:val="15"/>
                <w:color w:val="auto"/>
              </w:rPr>
              <w:t>473.3</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474.5</w:t>
            </w:r>
          </w:p>
        </w:tc>
      </w:tr>
      <w:tr>
        <w:trPr>
          <w:trHeight w:val="177"/>
        </w:trPr>
        <w:tc>
          <w:tcPr>
            <w:tcW w:w="1340" w:type="dxa"/>
            <w:vAlign w:val="bottom"/>
          </w:tcPr>
          <w:p>
            <w:pPr>
              <w:jc w:val="right"/>
              <w:ind w:right="903"/>
              <w:spacing w:after="0"/>
              <w:rPr>
                <w:sz w:val="20"/>
                <w:szCs w:val="20"/>
                <w:color w:val="auto"/>
              </w:rPr>
            </w:pPr>
            <w:r>
              <w:rPr>
                <w:rFonts w:ascii="Courier New" w:cs="Courier New" w:eastAsia="Courier New" w:hAnsi="Courier New"/>
                <w:sz w:val="15"/>
                <w:szCs w:val="15"/>
                <w:color w:val="auto"/>
                <w:w w:val="94"/>
              </w:rPr>
              <w:t>9/96</w:t>
            </w:r>
          </w:p>
        </w:tc>
        <w:tc>
          <w:tcPr>
            <w:tcW w:w="2220" w:type="dxa"/>
            <w:vAlign w:val="bottom"/>
          </w:tcPr>
          <w:p>
            <w:pPr>
              <w:jc w:val="right"/>
              <w:ind w:right="723"/>
              <w:spacing w:after="0"/>
              <w:rPr>
                <w:sz w:val="20"/>
                <w:szCs w:val="20"/>
                <w:color w:val="auto"/>
              </w:rPr>
            </w:pPr>
            <w:r>
              <w:rPr>
                <w:rFonts w:ascii="Courier New" w:cs="Courier New" w:eastAsia="Courier New" w:hAnsi="Courier New"/>
                <w:sz w:val="15"/>
                <w:szCs w:val="15"/>
                <w:color w:val="auto"/>
              </w:rPr>
              <w:t>938.9</w:t>
            </w:r>
          </w:p>
        </w:tc>
        <w:tc>
          <w:tcPr>
            <w:tcW w:w="170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203.1</w:t>
            </w:r>
          </w:p>
        </w:tc>
        <w:tc>
          <w:tcPr>
            <w:tcW w:w="1520" w:type="dxa"/>
            <w:vAlign w:val="bottom"/>
          </w:tcPr>
          <w:p>
            <w:pPr>
              <w:jc w:val="right"/>
              <w:ind w:right="523"/>
              <w:spacing w:after="0"/>
              <w:rPr>
                <w:sz w:val="20"/>
                <w:szCs w:val="20"/>
                <w:color w:val="auto"/>
              </w:rPr>
            </w:pPr>
            <w:r>
              <w:rPr>
                <w:rFonts w:ascii="Courier New" w:cs="Courier New" w:eastAsia="Courier New" w:hAnsi="Courier New"/>
                <w:sz w:val="15"/>
                <w:szCs w:val="15"/>
                <w:color w:val="auto"/>
              </w:rPr>
              <w:t>242.4</w:t>
            </w:r>
          </w:p>
        </w:tc>
        <w:tc>
          <w:tcPr>
            <w:tcW w:w="1620" w:type="dxa"/>
            <w:vAlign w:val="bottom"/>
          </w:tcPr>
          <w:p>
            <w:pPr>
              <w:jc w:val="right"/>
              <w:ind w:right="483"/>
              <w:spacing w:after="0"/>
              <w:rPr>
                <w:sz w:val="20"/>
                <w:szCs w:val="20"/>
                <w:color w:val="auto"/>
              </w:rPr>
            </w:pPr>
            <w:r>
              <w:rPr>
                <w:rFonts w:ascii="Courier New" w:cs="Courier New" w:eastAsia="Courier New" w:hAnsi="Courier New"/>
                <w:sz w:val="15"/>
                <w:szCs w:val="15"/>
                <w:color w:val="auto"/>
              </w:rPr>
              <w:t>515.5</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459.6</w:t>
            </w:r>
          </w:p>
        </w:tc>
      </w:tr>
    </w:tbl>
    <w:p>
      <w:pPr>
        <w:spacing w:after="0" w:line="360" w:lineRule="exact"/>
        <w:rPr>
          <w:sz w:val="20"/>
          <w:szCs w:val="20"/>
          <w:color w:val="auto"/>
        </w:rPr>
      </w:pPr>
    </w:p>
    <w:p>
      <w:pPr>
        <w:jc w:val="both"/>
        <w:ind w:right="3140" w:firstLine="461"/>
        <w:spacing w:after="0" w:line="251" w:lineRule="auto"/>
        <w:rPr>
          <w:sz w:val="20"/>
          <w:szCs w:val="20"/>
          <w:color w:val="auto"/>
        </w:rPr>
      </w:pPr>
      <w:r>
        <w:rPr>
          <w:rFonts w:ascii="Courier New" w:cs="Courier New" w:eastAsia="Courier New" w:hAnsi="Courier New"/>
          <w:sz w:val="15"/>
          <w:szCs w:val="15"/>
          <w:color w:val="auto"/>
        </w:rPr>
        <w:t>The returns shown assume $100 invested on September 30, 1991 in the Company's stock, the CRSP Indices for the S&amp;P 500 Stocks and the NASDAQ Stock Market (U.S. Companies) and the current and former peer group indices, with reinvestment of dividends. The reported dates are the last trading dates of the Company's fiscal year which ends on September 30.</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Ratification of Independent Auditors</w:t>
      </w:r>
    </w:p>
    <w:p>
      <w:pPr>
        <w:spacing w:after="0" w:line="185" w:lineRule="exact"/>
        <w:rPr>
          <w:sz w:val="20"/>
          <w:szCs w:val="20"/>
          <w:color w:val="auto"/>
        </w:rPr>
      </w:pPr>
    </w:p>
    <w:p>
      <w:pPr>
        <w:jc w:val="both"/>
        <w:ind w:right="3140" w:firstLine="461"/>
        <w:spacing w:after="0" w:line="251" w:lineRule="auto"/>
        <w:rPr>
          <w:sz w:val="20"/>
          <w:szCs w:val="20"/>
          <w:color w:val="auto"/>
        </w:rPr>
      </w:pPr>
      <w:r>
        <w:rPr>
          <w:rFonts w:ascii="Courier New" w:cs="Courier New" w:eastAsia="Courier New" w:hAnsi="Courier New"/>
          <w:sz w:val="15"/>
          <w:szCs w:val="15"/>
          <w:color w:val="auto"/>
        </w:rPr>
        <w:t>Upon the recommendation of the Audit Committee, the Board of Directors has appointed the firm of KPMG Peat Marwick LLP as the Company's independent auditors for the Company's current fiscal year ending September 30, 1997. KPMG Peat Marwick LLP has served as the Company's independent auditors since May 1991. Representatives of KPMG Peat Marwick LLP are expected to be present at the Company's Annual Meeting with the opportunity to make statements and/or respond to appropriate questions from stockholders present at the meeting.</w:t>
      </w:r>
    </w:p>
    <w:p>
      <w:pPr>
        <w:spacing w:after="0" w:line="176" w:lineRule="exact"/>
        <w:rPr>
          <w:sz w:val="20"/>
          <w:szCs w:val="20"/>
          <w:color w:val="auto"/>
        </w:rPr>
      </w:pPr>
    </w:p>
    <w:p>
      <w:pPr>
        <w:ind w:left="720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520"/>
          </w:cols>
          <w:pgMar w:left="240" w:top="650" w:right="1139" w:bottom="1440" w:gutter="0" w:footer="0" w:header="0"/>
        </w:sectPr>
      </w:pPr>
    </w:p>
    <w:bookmarkStart w:id="16" w:name="page17"/>
    <w:bookmarkEnd w:id="16"/>
    <w:p>
      <w:pPr>
        <w:jc w:val="both"/>
        <w:ind w:right="2839" w:firstLine="461"/>
        <w:spacing w:after="0" w:line="252" w:lineRule="auto"/>
        <w:rPr>
          <w:sz w:val="20"/>
          <w:szCs w:val="20"/>
          <w:color w:val="auto"/>
        </w:rPr>
      </w:pPr>
      <w:r>
        <w:rPr>
          <w:rFonts w:ascii="Courier New" w:cs="Courier New" w:eastAsia="Courier New" w:hAnsi="Courier New"/>
          <w:sz w:val="15"/>
          <w:szCs w:val="15"/>
          <w:color w:val="auto"/>
        </w:rPr>
        <w:t>The Board of Directors recommends a vote FOR the ratification of KPMG Peat Marwick LLP as the Company's independent auditors. A majority of the votes cast is required for ratification.</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Other Business</w:t>
      </w:r>
    </w:p>
    <w:p>
      <w:pPr>
        <w:spacing w:after="0" w:line="185" w:lineRule="exact"/>
        <w:rPr>
          <w:sz w:val="20"/>
          <w:szCs w:val="20"/>
          <w:color w:val="auto"/>
        </w:rPr>
      </w:pPr>
    </w:p>
    <w:p>
      <w:pPr>
        <w:jc w:val="both"/>
        <w:ind w:right="2839" w:firstLine="461"/>
        <w:spacing w:after="0" w:line="251" w:lineRule="auto"/>
        <w:rPr>
          <w:sz w:val="20"/>
          <w:szCs w:val="20"/>
          <w:color w:val="auto"/>
        </w:rPr>
      </w:pPr>
      <w:r>
        <w:rPr>
          <w:rFonts w:ascii="Courier New" w:cs="Courier New" w:eastAsia="Courier New" w:hAnsi="Courier New"/>
          <w:sz w:val="15"/>
          <w:szCs w:val="15"/>
          <w:color w:val="auto"/>
        </w:rPr>
        <w:t>The Board of Directors does not know of any business to be presented at the Annual Meeting other than the matters set forth above, but if other matters properly come before the meeting it is the intention of the persons named in the proxies to vote in accordance with their best judgment on such matters.</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16(a) Beneficial Ownership Reporting Compliance</w:t>
      </w:r>
    </w:p>
    <w:p>
      <w:pPr>
        <w:spacing w:after="0" w:line="185" w:lineRule="exact"/>
        <w:rPr>
          <w:sz w:val="20"/>
          <w:szCs w:val="20"/>
          <w:color w:val="auto"/>
        </w:rPr>
      </w:pPr>
    </w:p>
    <w:p>
      <w:pPr>
        <w:jc w:val="both"/>
        <w:ind w:right="2839"/>
        <w:spacing w:after="0" w:line="250" w:lineRule="auto"/>
        <w:rPr>
          <w:sz w:val="20"/>
          <w:szCs w:val="20"/>
          <w:color w:val="auto"/>
        </w:rPr>
      </w:pPr>
      <w:r>
        <w:rPr>
          <w:rFonts w:ascii="Courier New" w:cs="Courier New" w:eastAsia="Courier New" w:hAnsi="Courier New"/>
          <w:sz w:val="15"/>
          <w:szCs w:val="15"/>
          <w:color w:val="auto"/>
        </w:rPr>
        <w:t>Section 16(a) of the Securities Exchange Act of 1934 (the "Exchange Act") and the rules of the Securities and Exchange Commission (the "Commission") thereunder require the Company's directors, executive officers and persons who own more than ten percent of the Company's Common Stock to file reports of their ownership and changes in ownership of Common Stock with the Commission. Personnel of the Company generally prepare these reports on the basis of information obtained from each director, officer and greater than ten percent owner. Based on such information, the Company believes that all reports required by Section 16(a) of the Exchange Act to be filed by its directors, executive officers and greater than ten percent owners during the last fiscal year were filed on time except that a report filed by Barrett B. Roach for the month of April 1996 failed to report a sale on April 30, 1996 of 3,000 shares of the Company's stock. An amended report was subsequently filed. Upon the death of William R. Fair in January 1996, Christian I. Fair, Ellen I. Fair and Erik E. Fair became co-trustees and beneficiaries of The William Rodden Fair and Inger Johanne Fair Revocable Trust, Trust A under The William and Inger Fair Trust Agreement dated 3/20/86, Trust B Exempt under The William and Inger Fair Trust Agreement dated 3/20/86 and Trust B Non-Exempt under The William and Inger Fair Trust Agreement dated 3/28/86 and by virtue of this, became beneficial owners of greater than ten percent of the Company's stock. Forms 3 were inadvertently filed late in December 1996.</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Submission of Proposals of Stockholders</w:t>
      </w:r>
    </w:p>
    <w:p>
      <w:pPr>
        <w:spacing w:after="0" w:line="185" w:lineRule="exact"/>
        <w:rPr>
          <w:sz w:val="20"/>
          <w:szCs w:val="20"/>
          <w:color w:val="auto"/>
        </w:rPr>
      </w:pPr>
    </w:p>
    <w:p>
      <w:pPr>
        <w:jc w:val="both"/>
        <w:ind w:right="2839" w:firstLine="461"/>
        <w:spacing w:after="0" w:line="251" w:lineRule="auto"/>
        <w:rPr>
          <w:sz w:val="20"/>
          <w:szCs w:val="20"/>
          <w:color w:val="auto"/>
        </w:rPr>
      </w:pPr>
      <w:r>
        <w:rPr>
          <w:rFonts w:ascii="Courier New" w:cs="Courier New" w:eastAsia="Courier New" w:hAnsi="Courier New"/>
          <w:sz w:val="15"/>
          <w:szCs w:val="15"/>
          <w:color w:val="auto"/>
        </w:rPr>
        <w:t>Proposals of stockholders intended to be presented at the Company's 1998 Annual Meeting of Stockholders must be received at the Corporate Secretary's Office, 120 North Redwood Drive, San Rafael, California 94903, no later than September 4, 1997, to be considered for inclusion in the proxy statement and form of proxy for that meeting.</w:t>
      </w:r>
    </w:p>
    <w:p>
      <w:pPr>
        <w:spacing w:after="0" w:line="176"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By Order of the Board of Directors</w:t>
      </w:r>
    </w:p>
    <w:p>
      <w:pPr>
        <w:spacing w:after="0" w:line="185"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Peter L. McCorkell</w:t>
      </w:r>
    </w:p>
    <w:p>
      <w:pPr>
        <w:spacing w:after="0" w:line="8"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Senior Vice President and Secretary</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Dated: December 30, 1996</w:t>
      </w:r>
    </w:p>
    <w:p>
      <w:pPr>
        <w:sectPr>
          <w:pgSz w:w="11900" w:h="16838" w:orient="portrait"/>
          <w:cols w:equalWidth="0" w:num="1">
            <w:col w:w="10219"/>
          </w:cols>
          <w:pgMar w:left="240" w:top="650" w:right="1440" w:bottom="1440" w:gutter="0" w:footer="0" w:header="0"/>
        </w:sectPr>
      </w:pPr>
    </w:p>
    <w:bookmarkStart w:id="17" w:name="page18"/>
    <w:bookmarkEnd w:id="17"/>
    <w:p>
      <w:pPr>
        <w:ind w:left="6460"/>
        <w:spacing w:after="0"/>
        <w:rPr>
          <w:sz w:val="20"/>
          <w:szCs w:val="20"/>
          <w:color w:val="auto"/>
        </w:rPr>
      </w:pPr>
      <w:r>
        <w:rPr>
          <w:rFonts w:ascii="Courier New" w:cs="Courier New" w:eastAsia="Courier New" w:hAnsi="Courier New"/>
          <w:sz w:val="15"/>
          <w:szCs w:val="15"/>
          <w:color w:val="auto"/>
        </w:rPr>
        <w:t>APPENDIX A</w:t>
      </w:r>
    </w:p>
    <w:p>
      <w:pPr>
        <w:sectPr>
          <w:pgSz w:w="11900" w:h="16838" w:orient="portrait"/>
          <w:cols w:equalWidth="0" w:num="1">
            <w:col w:w="10219"/>
          </w:cols>
          <w:pgMar w:left="240" w:top="828"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PROXY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Fair, Isaac and Company</w:t>
      </w:r>
    </w:p>
    <w:p>
      <w:pPr>
        <w:spacing w:after="0" w:line="8"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INCORPORATED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PROXY</w:t>
      </w:r>
    </w:p>
    <w:p>
      <w:pPr>
        <w:spacing w:after="0" w:line="362" w:lineRule="exact"/>
        <w:rPr>
          <w:sz w:val="20"/>
          <w:szCs w:val="20"/>
          <w:color w:val="auto"/>
        </w:rPr>
      </w:pPr>
    </w:p>
    <w:p>
      <w:pPr>
        <w:sectPr>
          <w:pgSz w:w="11900" w:h="16838" w:orient="portrait"/>
          <w:cols w:equalWidth="0" w:num="3">
            <w:col w:w="1960" w:space="720"/>
            <w:col w:w="3520" w:space="720"/>
            <w:col w:w="3299"/>
          </w:cols>
          <w:pgMar w:left="240" w:top="828" w:right="1440" w:bottom="1440" w:gutter="0" w:footer="0" w:header="0"/>
          <w:type w:val="continuous"/>
        </w:sectPr>
      </w:pPr>
    </w:p>
    <w:p>
      <w:pPr>
        <w:jc w:val="center"/>
        <w:ind w:right="2759"/>
        <w:spacing w:after="0"/>
        <w:rPr>
          <w:sz w:val="20"/>
          <w:szCs w:val="20"/>
          <w:color w:val="auto"/>
        </w:rPr>
      </w:pPr>
      <w:r>
        <w:rPr>
          <w:rFonts w:ascii="Courier New" w:cs="Courier New" w:eastAsia="Courier New" w:hAnsi="Courier New"/>
          <w:sz w:val="15"/>
          <w:szCs w:val="15"/>
          <w:color w:val="auto"/>
        </w:rPr>
        <w:t>PROXY SOLICITED BY BOARD OF DIRECTORS</w:t>
      </w:r>
    </w:p>
    <w:p>
      <w:pPr>
        <w:spacing w:after="0" w:line="185" w:lineRule="exact"/>
        <w:rPr>
          <w:sz w:val="20"/>
          <w:szCs w:val="20"/>
          <w:color w:val="auto"/>
        </w:rPr>
      </w:pPr>
    </w:p>
    <w:p>
      <w:pPr>
        <w:ind w:left="2120"/>
        <w:spacing w:after="0"/>
        <w:rPr>
          <w:sz w:val="20"/>
          <w:szCs w:val="20"/>
          <w:color w:val="auto"/>
        </w:rPr>
      </w:pPr>
      <w:r>
        <w:rPr>
          <w:rFonts w:ascii="Courier New" w:cs="Courier New" w:eastAsia="Courier New" w:hAnsi="Courier New"/>
          <w:sz w:val="15"/>
          <w:szCs w:val="15"/>
          <w:color w:val="auto"/>
        </w:rPr>
        <w:t>FOR ANNUAL MEETING FEBRUARY 4, 1997</w:t>
      </w:r>
    </w:p>
    <w:p>
      <w:pPr>
        <w:sectPr>
          <w:pgSz w:w="11900" w:h="16838" w:orient="portrait"/>
          <w:cols w:equalWidth="0" w:num="1">
            <w:col w:w="10219"/>
          </w:cols>
          <w:pgMar w:left="240" w:top="828"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both"/>
        <w:ind w:right="2839" w:firstLine="461"/>
        <w:spacing w:after="0" w:line="251" w:lineRule="auto"/>
        <w:rPr>
          <w:sz w:val="20"/>
          <w:szCs w:val="20"/>
          <w:color w:val="auto"/>
        </w:rPr>
      </w:pPr>
      <w:r>
        <w:rPr>
          <w:rFonts w:ascii="Courier New" w:cs="Courier New" w:eastAsia="Courier New" w:hAnsi="Courier New"/>
          <w:sz w:val="15"/>
          <w:szCs w:val="15"/>
          <w:color w:val="auto"/>
        </w:rPr>
        <w:t>The undersigned hereby appoints Robert M. Oliver, Larry E. Rosenberger and John D. Woldrich, or any of them, as Proxies, each with the power to appoint his substitute, and hereby authorizes them to represent and to vote, as designated on the reverse, all the shares of Common Stock of Fair, Isaac and Company, Incorporated that undersigned is entitled to vote at the Annual Meeting of Stockholders to be held on February 4, 1997, or any postponement or adjournment thereof.</w:t>
      </w:r>
    </w:p>
    <w:p>
      <w:pPr>
        <w:spacing w:after="0" w:line="353" w:lineRule="exact"/>
        <w:rPr>
          <w:sz w:val="20"/>
          <w:szCs w:val="20"/>
          <w:color w:val="auto"/>
        </w:rPr>
      </w:pPr>
    </w:p>
    <w:p>
      <w:pPr>
        <w:ind w:left="1480"/>
        <w:spacing w:after="0"/>
        <w:rPr>
          <w:sz w:val="20"/>
          <w:szCs w:val="20"/>
          <w:color w:val="auto"/>
        </w:rPr>
      </w:pPr>
      <w:r>
        <w:rPr>
          <w:rFonts w:ascii="Courier New" w:cs="Courier New" w:eastAsia="Courier New" w:hAnsi="Courier New"/>
          <w:sz w:val="15"/>
          <w:szCs w:val="15"/>
          <w:color w:val="auto"/>
        </w:rPr>
        <w:t>(Continued, and to be signed on the other side)</w:t>
      </w:r>
    </w:p>
    <w:p>
      <w:pPr>
        <w:sectPr>
          <w:pgSz w:w="11900" w:h="16838" w:orient="portrait"/>
          <w:cols w:equalWidth="0" w:num="1">
            <w:col w:w="10219"/>
          </w:cols>
          <w:pgMar w:left="240" w:top="828" w:right="1440" w:bottom="1440" w:gutter="0" w:footer="0" w:header="0"/>
          <w:type w:val="continuous"/>
        </w:sectPr>
      </w:pPr>
    </w:p>
    <w:bookmarkStart w:id="18" w:name="page19"/>
    <w:bookmarkEnd w:id="18"/>
    <w:p>
      <w:pPr>
        <w:ind w:left="1845"/>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2305"/>
        <w:spacing w:after="0"/>
        <w:rPr>
          <w:sz w:val="20"/>
          <w:szCs w:val="20"/>
          <w:color w:val="auto"/>
        </w:rPr>
      </w:pPr>
      <w:r>
        <w:rPr>
          <w:rFonts w:ascii="Courier New" w:cs="Courier New" w:eastAsia="Courier New" w:hAnsi="Courier New"/>
          <w:sz w:val="15"/>
          <w:szCs w:val="15"/>
          <w:color w:val="auto"/>
        </w:rPr>
        <w:t>COMMON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[X] Please mark</w:t>
      </w:r>
    </w:p>
    <w:p>
      <w:pPr>
        <w:spacing w:after="0" w:line="8"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your votes</w:t>
      </w:r>
    </w:p>
    <w:p>
      <w:pPr>
        <w:spacing w:after="0" w:line="8"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as this</w:t>
      </w:r>
    </w:p>
    <w:p>
      <w:pPr>
        <w:spacing w:after="0" w:line="200" w:lineRule="exact"/>
        <w:rPr>
          <w:sz w:val="20"/>
          <w:szCs w:val="20"/>
          <w:color w:val="auto"/>
        </w:rPr>
      </w:pPr>
    </w:p>
    <w:p>
      <w:pPr>
        <w:sectPr>
          <w:pgSz w:w="11900" w:h="16838" w:orient="portrait"/>
          <w:cols w:equalWidth="0" w:num="2">
            <w:col w:w="4825" w:space="720"/>
            <w:col w:w="4679"/>
          </w:cols>
          <w:pgMar w:left="235" w:top="828" w:right="1440" w:bottom="1440" w:gutter="0" w:footer="0" w:header="0"/>
        </w:sectPr>
      </w:pPr>
    </w:p>
    <w:p>
      <w:pPr>
        <w:spacing w:after="0" w:line="162" w:lineRule="exact"/>
        <w:rPr>
          <w:sz w:val="20"/>
          <w:szCs w:val="20"/>
          <w:color w:val="auto"/>
        </w:rPr>
      </w:pPr>
    </w:p>
    <w:p>
      <w:pPr>
        <w:ind w:left="465"/>
        <w:spacing w:after="0"/>
        <w:rPr>
          <w:sz w:val="20"/>
          <w:szCs w:val="20"/>
          <w:color w:val="auto"/>
        </w:rPr>
      </w:pPr>
      <w:r>
        <w:rPr>
          <w:rFonts w:ascii="Courier New" w:cs="Courier New" w:eastAsia="Courier New" w:hAnsi="Courier New"/>
          <w:sz w:val="15"/>
          <w:szCs w:val="15"/>
          <w:color w:val="auto"/>
        </w:rPr>
        <w:t>THE BOARD OF DIRECTORS RECOMMENDS A VOTE "FOR" ITEMS 1 AND 2.</w:t>
      </w:r>
    </w:p>
    <w:p>
      <w:pPr>
        <w:spacing w:after="0" w:line="185"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1. Election of Directors:</w:t>
      </w:r>
    </w:p>
    <w:p>
      <w:pPr>
        <w:sectPr>
          <w:pgSz w:w="11900" w:h="16838" w:orient="portrait"/>
          <w:cols w:equalWidth="0" w:num="1">
            <w:col w:w="10225"/>
          </w:cols>
          <w:pgMar w:left="235" w:top="828" w:right="1440" w:bottom="1440" w:gutter="0" w:footer="0" w:header="0"/>
          <w:type w:val="continuous"/>
        </w:sectPr>
      </w:pPr>
    </w:p>
    <w:p>
      <w:pPr>
        <w:spacing w:after="0" w:line="185" w:lineRule="exact"/>
        <w:rPr>
          <w:sz w:val="20"/>
          <w:szCs w:val="20"/>
          <w:color w:val="auto"/>
        </w:rPr>
      </w:pPr>
    </w:p>
    <w:p>
      <w:pPr>
        <w:ind w:left="5" w:right="740"/>
        <w:spacing w:after="0" w:line="250" w:lineRule="auto"/>
        <w:rPr>
          <w:sz w:val="20"/>
          <w:szCs w:val="20"/>
          <w:color w:val="auto"/>
        </w:rPr>
      </w:pPr>
      <w:r>
        <w:rPr>
          <w:rFonts w:ascii="Courier New" w:cs="Courier New" w:eastAsia="Courier New" w:hAnsi="Courier New"/>
          <w:sz w:val="15"/>
          <w:szCs w:val="15"/>
          <w:color w:val="auto"/>
        </w:rPr>
        <w:t>A George Battle, Bryant J. Brooks, Jr., H. Robert Heller, Guy R. Henshaw,</w:t>
      </w:r>
    </w:p>
    <w:p>
      <w:pPr>
        <w:spacing w:after="0" w:line="20" w:lineRule="exact"/>
        <w:rPr>
          <w:sz w:val="20"/>
          <w:szCs w:val="20"/>
          <w:color w:val="auto"/>
        </w:rPr>
      </w:pPr>
      <w:r>
        <w:rPr>
          <w:sz w:val="20"/>
          <w:szCs w:val="20"/>
          <w:color w:val="auto"/>
        </w:rPr>
        <w:br w:type="column"/>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jc w:val="right"/>
        <w:ind w:right="3019"/>
        <w:spacing w:after="0"/>
        <w:rPr>
          <w:sz w:val="20"/>
          <w:szCs w:val="20"/>
          <w:color w:val="auto"/>
        </w:rPr>
      </w:pPr>
      <w:r>
        <w:rPr>
          <w:rFonts w:ascii="Courier New" w:cs="Courier New" w:eastAsia="Courier New" w:hAnsi="Courier New"/>
          <w:sz w:val="15"/>
          <w:szCs w:val="15"/>
          <w:color w:val="auto"/>
        </w:rPr>
        <w:t>WITHHOLD</w:t>
      </w:r>
    </w:p>
    <w:p>
      <w:pPr>
        <w:spacing w:after="0" w:line="8" w:lineRule="exact"/>
        <w:rPr>
          <w:sz w:val="20"/>
          <w:szCs w:val="20"/>
          <w:color w:val="auto"/>
        </w:rPr>
      </w:pPr>
    </w:p>
    <w:p>
      <w:pPr>
        <w:jc w:val="right"/>
        <w:ind w:right="3019"/>
        <w:spacing w:after="0"/>
        <w:rPr>
          <w:sz w:val="20"/>
          <w:szCs w:val="20"/>
          <w:color w:val="auto"/>
        </w:rPr>
      </w:pPr>
      <w:r>
        <w:rPr>
          <w:rFonts w:ascii="Courier New" w:cs="Courier New" w:eastAsia="Courier New" w:hAnsi="Courier New"/>
          <w:sz w:val="15"/>
          <w:szCs w:val="15"/>
          <w:color w:val="auto"/>
        </w:rPr>
        <w:t>FOR ALL</w:t>
      </w:r>
    </w:p>
    <w:p>
      <w:pPr>
        <w:spacing w:after="0" w:line="7" w:lineRule="exact"/>
        <w:rPr>
          <w:sz w:val="20"/>
          <w:szCs w:val="20"/>
          <w:color w:val="auto"/>
        </w:rPr>
      </w:pPr>
    </w:p>
    <w:p>
      <w:pPr>
        <w:sectPr>
          <w:pgSz w:w="11900" w:h="16838" w:orient="portrait"/>
          <w:cols w:equalWidth="0" w:num="3">
            <w:col w:w="4345" w:space="720"/>
            <w:col w:w="680" w:space="720"/>
            <w:col w:w="3759"/>
          </w:cols>
          <w:pgMar w:left="235" w:top="828" w:right="1440" w:bottom="1440" w:gutter="0" w:footer="0" w:header="0"/>
          <w:type w:val="continuous"/>
        </w:sectPr>
      </w:pPr>
    </w:p>
    <w:p>
      <w:pPr>
        <w:ind w:left="5"/>
        <w:spacing w:after="0"/>
        <w:rPr>
          <w:sz w:val="20"/>
          <w:szCs w:val="20"/>
          <w:color w:val="auto"/>
        </w:rPr>
      </w:pPr>
      <w:r>
        <w:rPr>
          <w:rFonts w:ascii="Courier New" w:cs="Courier New" w:eastAsia="Courier New" w:hAnsi="Courier New"/>
          <w:sz w:val="15"/>
          <w:szCs w:val="15"/>
          <w:color w:val="auto"/>
        </w:rPr>
        <w:t>David S.P. Hopkins, Robert M. Oliver,</w:t>
      </w:r>
    </w:p>
    <w:p>
      <w:pPr>
        <w:sectPr>
          <w:pgSz w:w="11900" w:h="16838" w:orient="portrait"/>
          <w:cols w:equalWidth="0" w:num="1">
            <w:col w:w="10225"/>
          </w:cols>
          <w:pgMar w:left="235" w:top="828" w:right="1440" w:bottom="1440" w:gutter="0" w:footer="0" w:header="0"/>
          <w:type w:val="continuous"/>
        </w:sectPr>
      </w:pPr>
    </w:p>
    <w:p>
      <w:pPr>
        <w:spacing w:after="0" w:line="8"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Larry E. Rosenberger, Robert D.</w:t>
      </w:r>
    </w:p>
    <w:p>
      <w:pPr>
        <w:spacing w:after="0" w:line="20" w:lineRule="exact"/>
        <w:rPr>
          <w:sz w:val="20"/>
          <w:szCs w:val="20"/>
          <w:color w:val="auto"/>
        </w:rPr>
      </w:pPr>
      <w:r>
        <w:rPr>
          <w:sz w:val="20"/>
          <w:szCs w:val="20"/>
          <w:color w:val="auto"/>
        </w:rPr>
        <w:br w:type="column"/>
      </w:r>
    </w:p>
    <w:p>
      <w:pPr>
        <w:spacing w:after="0"/>
        <w:tabs>
          <w:tab w:leader="none" w:pos="260" w:val="left"/>
        </w:tabs>
        <w:rPr>
          <w:sz w:val="20"/>
          <w:szCs w:val="20"/>
          <w:color w:val="auto"/>
        </w:rPr>
      </w:pPr>
      <w:r>
        <w:rPr>
          <w:rFonts w:ascii="Courier New" w:cs="Courier New" w:eastAsia="Courier New" w:hAnsi="Courier New"/>
          <w:sz w:val="15"/>
          <w:szCs w:val="15"/>
          <w:color w:val="auto"/>
        </w:rPr>
        <w:t>[</w:t>
        <w:tab/>
        <w:t>]</w:t>
      </w:r>
    </w:p>
    <w:p>
      <w:pPr>
        <w:spacing w:after="0" w:line="20" w:lineRule="exact"/>
        <w:rPr>
          <w:sz w:val="20"/>
          <w:szCs w:val="20"/>
          <w:color w:val="auto"/>
        </w:rPr>
      </w:pPr>
      <w:r>
        <w:rPr>
          <w:sz w:val="20"/>
          <w:szCs w:val="20"/>
          <w:color w:val="auto"/>
        </w:rPr>
        <w:br w:type="column"/>
      </w:r>
    </w:p>
    <w:p>
      <w:pPr>
        <w:spacing w:after="0"/>
        <w:tabs>
          <w:tab w:leader="none" w:pos="240" w:val="left"/>
        </w:tabs>
        <w:rPr>
          <w:sz w:val="20"/>
          <w:szCs w:val="20"/>
          <w:color w:val="auto"/>
        </w:rPr>
      </w:pPr>
      <w:r>
        <w:rPr>
          <w:rFonts w:ascii="Courier New" w:cs="Courier New" w:eastAsia="Courier New" w:hAnsi="Courier New"/>
          <w:sz w:val="15"/>
          <w:szCs w:val="15"/>
          <w:color w:val="auto"/>
        </w:rPr>
        <w:t>[</w:t>
        <w:tab/>
        <w:t>]</w:t>
      </w:r>
    </w:p>
    <w:p>
      <w:pPr>
        <w:spacing w:after="0" w:line="8" w:lineRule="exact"/>
        <w:rPr>
          <w:sz w:val="20"/>
          <w:szCs w:val="20"/>
          <w:color w:val="auto"/>
        </w:rPr>
      </w:pPr>
    </w:p>
    <w:p>
      <w:pPr>
        <w:sectPr>
          <w:pgSz w:w="11900" w:h="16838" w:orient="portrait"/>
          <w:cols w:equalWidth="0" w:num="3">
            <w:col w:w="4345" w:space="720"/>
            <w:col w:w="960" w:space="720"/>
            <w:col w:w="3479"/>
          </w:cols>
          <w:pgMar w:left="235" w:top="828" w:right="1440" w:bottom="1440" w:gutter="0" w:footer="0" w:header="0"/>
          <w:type w:val="continuous"/>
        </w:sectPr>
      </w:pPr>
    </w:p>
    <w:p>
      <w:pPr>
        <w:ind w:left="5"/>
        <w:spacing w:after="0"/>
        <w:rPr>
          <w:sz w:val="20"/>
          <w:szCs w:val="20"/>
          <w:color w:val="auto"/>
        </w:rPr>
      </w:pPr>
      <w:r>
        <w:rPr>
          <w:rFonts w:ascii="Courier New" w:cs="Courier New" w:eastAsia="Courier New" w:hAnsi="Courier New"/>
          <w:sz w:val="15"/>
          <w:szCs w:val="15"/>
          <w:color w:val="auto"/>
        </w:rPr>
        <w:t>Sanderson and John D. Woldrich</w:t>
      </w:r>
    </w:p>
    <w:p>
      <w:pPr>
        <w:spacing w:after="0" w:line="185" w:lineRule="exact"/>
        <w:rPr>
          <w:sz w:val="20"/>
          <w:szCs w:val="20"/>
          <w:color w:val="auto"/>
        </w:rPr>
      </w:pPr>
    </w:p>
    <w:p>
      <w:pPr>
        <w:ind w:left="85"/>
        <w:spacing w:after="0"/>
        <w:rPr>
          <w:sz w:val="20"/>
          <w:szCs w:val="20"/>
          <w:color w:val="auto"/>
        </w:rPr>
      </w:pPr>
      <w:r>
        <w:rPr>
          <w:rFonts w:ascii="Courier New" w:cs="Courier New" w:eastAsia="Courier New" w:hAnsi="Courier New"/>
          <w:sz w:val="15"/>
          <w:szCs w:val="15"/>
          <w:color w:val="auto"/>
        </w:rPr>
        <w:t>FOR all nominees listed above</w:t>
      </w:r>
    </w:p>
    <w:p>
      <w:pPr>
        <w:spacing w:after="0" w:line="185"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(except as indicated to the contrary).</w:t>
      </w:r>
    </w:p>
    <w:p>
      <w:pPr>
        <w:spacing w:after="0" w:line="185"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WITHHOLD AUTHORITY to vote for all nominees listed above.</w:t>
      </w:r>
    </w:p>
    <w:p>
      <w:pPr>
        <w:spacing w:after="0" w:line="185" w:lineRule="exact"/>
        <w:rPr>
          <w:sz w:val="20"/>
          <w:szCs w:val="20"/>
          <w:color w:val="auto"/>
        </w:rPr>
      </w:pPr>
    </w:p>
    <w:p>
      <w:pPr>
        <w:ind w:left="5" w:right="2839"/>
        <w:spacing w:after="0" w:line="253" w:lineRule="auto"/>
        <w:rPr>
          <w:sz w:val="20"/>
          <w:szCs w:val="20"/>
          <w:color w:val="auto"/>
        </w:rPr>
      </w:pPr>
      <w:r>
        <w:rPr>
          <w:rFonts w:ascii="Courier New" w:cs="Courier New" w:eastAsia="Courier New" w:hAnsi="Courier New"/>
          <w:sz w:val="15"/>
          <w:szCs w:val="15"/>
          <w:color w:val="auto"/>
        </w:rPr>
        <w:t>INSTRUCTIONS: To withhold authority to vote for any individual nominee, write that nominee's name in the space provided below:</w:t>
      </w:r>
    </w:p>
    <w:p>
      <w:pPr>
        <w:spacing w:after="0" w:line="174"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 --------------------------------------------------------------------------------</w:t>
      </w:r>
    </w:p>
    <w:p>
      <w:pPr>
        <w:spacing w:after="0" w:line="362" w:lineRule="exact"/>
        <w:rPr>
          <w:sz w:val="20"/>
          <w:szCs w:val="20"/>
          <w:color w:val="auto"/>
        </w:rPr>
      </w:pPr>
    </w:p>
    <w:p>
      <w:pPr>
        <w:ind w:left="5065"/>
        <w:spacing w:after="0"/>
        <w:tabs>
          <w:tab w:leader="none" w:pos="5605" w:val="left"/>
          <w:tab w:leader="none" w:pos="6445" w:val="left"/>
        </w:tabs>
        <w:rPr>
          <w:sz w:val="20"/>
          <w:szCs w:val="20"/>
          <w:color w:val="auto"/>
        </w:rPr>
      </w:pPr>
      <w:r>
        <w:rPr>
          <w:rFonts w:ascii="Courier New" w:cs="Courier New" w:eastAsia="Courier New" w:hAnsi="Courier New"/>
          <w:sz w:val="15"/>
          <w:szCs w:val="15"/>
          <w:color w:val="auto"/>
        </w:rPr>
        <w:t>FOR</w:t>
      </w:r>
      <w:r>
        <w:rPr>
          <w:sz w:val="20"/>
          <w:szCs w:val="20"/>
          <w:color w:val="auto"/>
        </w:rPr>
        <w:tab/>
      </w:r>
      <w:r>
        <w:rPr>
          <w:rFonts w:ascii="Courier New" w:cs="Courier New" w:eastAsia="Courier New" w:hAnsi="Courier New"/>
          <w:sz w:val="15"/>
          <w:szCs w:val="15"/>
          <w:color w:val="auto"/>
        </w:rPr>
        <w:t>AGAINST</w:t>
        <w:tab/>
        <w:t>ABSTAIN</w:t>
      </w:r>
    </w:p>
    <w:p>
      <w:pPr>
        <w:spacing w:after="0" w:line="8" w:lineRule="exact"/>
        <w:rPr>
          <w:sz w:val="20"/>
          <w:szCs w:val="20"/>
          <w:color w:val="auto"/>
        </w:rPr>
      </w:pPr>
    </w:p>
    <w:p>
      <w:pPr>
        <w:ind w:left="465" w:hanging="465"/>
        <w:spacing w:after="0"/>
        <w:tabs>
          <w:tab w:leader="none" w:pos="465"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ratify  the   appointment  of  KPMG  Peat</w:t>
      </w:r>
    </w:p>
    <w:p>
      <w:pPr>
        <w:sectPr>
          <w:pgSz w:w="11900" w:h="16838" w:orient="portrait"/>
          <w:cols w:equalWidth="0" w:num="1">
            <w:col w:w="10225"/>
          </w:cols>
          <w:pgMar w:left="235" w:top="828" w:right="1440" w:bottom="1440" w:gutter="0" w:footer="0" w:header="0"/>
          <w:type w:val="continuous"/>
        </w:sectPr>
      </w:pPr>
    </w:p>
    <w:p>
      <w:pPr>
        <w:spacing w:after="0" w:line="8" w:lineRule="exact"/>
        <w:rPr>
          <w:sz w:val="20"/>
          <w:szCs w:val="20"/>
          <w:color w:val="auto"/>
        </w:rPr>
      </w:pPr>
    </w:p>
    <w:p>
      <w:pPr>
        <w:jc w:val="both"/>
        <w:ind w:left="465"/>
        <w:spacing w:after="0" w:line="253" w:lineRule="auto"/>
        <w:rPr>
          <w:sz w:val="20"/>
          <w:szCs w:val="20"/>
          <w:color w:val="auto"/>
        </w:rPr>
      </w:pPr>
      <w:r>
        <w:rPr>
          <w:rFonts w:ascii="Courier New" w:cs="Courier New" w:eastAsia="Courier New" w:hAnsi="Courier New"/>
          <w:sz w:val="15"/>
          <w:szCs w:val="15"/>
          <w:color w:val="auto"/>
        </w:rPr>
        <w:t>Marwick LLP as the Company's independent auditors for the current fiscal year.</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Courier New" w:cs="Courier New" w:eastAsia="Courier New" w:hAnsi="Courier New"/>
          <w:sz w:val="15"/>
          <w:szCs w:val="15"/>
          <w:color w:val="auto"/>
        </w:rPr>
        <w:t>[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 ]</w:t>
      </w:r>
    </w:p>
    <w:p>
      <w:pPr>
        <w:spacing w:after="0" w:line="362" w:lineRule="exact"/>
        <w:rPr>
          <w:sz w:val="20"/>
          <w:szCs w:val="20"/>
          <w:color w:val="auto"/>
        </w:rPr>
      </w:pPr>
    </w:p>
    <w:p>
      <w:pPr>
        <w:sectPr>
          <w:pgSz w:w="11900" w:h="16838" w:orient="portrait"/>
          <w:cols w:equalWidth="0" w:num="4">
            <w:col w:w="4605" w:space="460"/>
            <w:col w:w="280" w:space="460"/>
            <w:col w:w="280" w:space="560"/>
            <w:col w:w="3579"/>
          </w:cols>
          <w:pgMar w:left="235" w:top="828" w:right="1440" w:bottom="1440" w:gutter="0" w:footer="0" w:header="0"/>
          <w:type w:val="continuous"/>
        </w:sectPr>
      </w:pPr>
    </w:p>
    <w:p>
      <w:pPr>
        <w:ind w:left="465" w:right="5619" w:hanging="465"/>
        <w:spacing w:after="0" w:line="253" w:lineRule="auto"/>
        <w:tabs>
          <w:tab w:leader="none" w:pos="465"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their discretion upon such other business as may properly come before the meeting.</w:t>
      </w:r>
    </w:p>
    <w:p>
      <w:pPr>
        <w:spacing w:after="0" w:line="174" w:lineRule="exact"/>
        <w:rPr>
          <w:sz w:val="20"/>
          <w:szCs w:val="20"/>
          <w:color w:val="auto"/>
        </w:rPr>
      </w:pPr>
    </w:p>
    <w:p>
      <w:pPr>
        <w:ind w:left="465"/>
        <w:spacing w:after="0"/>
        <w:tabs>
          <w:tab w:leader="none" w:pos="1545" w:val="left"/>
          <w:tab w:leader="none" w:pos="2105" w:val="left"/>
          <w:tab w:leader="none" w:pos="3025" w:val="left"/>
          <w:tab w:leader="none" w:pos="3945" w:val="left"/>
        </w:tabs>
        <w:rPr>
          <w:sz w:val="20"/>
          <w:szCs w:val="20"/>
          <w:color w:val="auto"/>
        </w:rPr>
      </w:pPr>
      <w:r>
        <w:rPr>
          <w:rFonts w:ascii="Courier New" w:cs="Courier New" w:eastAsia="Courier New" w:hAnsi="Courier New"/>
          <w:sz w:val="15"/>
          <w:szCs w:val="15"/>
          <w:color w:val="auto"/>
        </w:rPr>
        <w:t>This Proxy</w:t>
        <w:tab/>
        <w:t>when</w:t>
        <w:tab/>
        <w:t>properly</w:t>
        <w:tab/>
        <w:t>executed</w:t>
        <w:tab/>
        <w:t>will be</w:t>
      </w:r>
    </w:p>
    <w:p>
      <w:pPr>
        <w:spacing w:after="0" w:line="8" w:lineRule="exact"/>
        <w:rPr>
          <w:sz w:val="20"/>
          <w:szCs w:val="20"/>
          <w:color w:val="auto"/>
        </w:rPr>
      </w:pPr>
    </w:p>
    <w:p>
      <w:pPr>
        <w:ind w:left="465"/>
        <w:spacing w:after="0"/>
        <w:tabs>
          <w:tab w:leader="none" w:pos="1185" w:val="left"/>
          <w:tab w:leader="none" w:pos="1645" w:val="left"/>
          <w:tab w:leader="none" w:pos="2665" w:val="left"/>
          <w:tab w:leader="none" w:pos="3025" w:val="left"/>
          <w:tab w:leader="none" w:pos="3585" w:val="left"/>
        </w:tabs>
        <w:rPr>
          <w:sz w:val="20"/>
          <w:szCs w:val="20"/>
          <w:color w:val="auto"/>
        </w:rPr>
      </w:pPr>
      <w:r>
        <w:rPr>
          <w:rFonts w:ascii="Courier New" w:cs="Courier New" w:eastAsia="Courier New" w:hAnsi="Courier New"/>
          <w:sz w:val="15"/>
          <w:szCs w:val="15"/>
          <w:color w:val="auto"/>
        </w:rPr>
        <w:t>voted</w:t>
      </w:r>
      <w:r>
        <w:rPr>
          <w:sz w:val="20"/>
          <w:szCs w:val="20"/>
          <w:color w:val="auto"/>
        </w:rPr>
        <w:tab/>
      </w:r>
      <w:r>
        <w:rPr>
          <w:rFonts w:ascii="Courier New" w:cs="Courier New" w:eastAsia="Courier New" w:hAnsi="Courier New"/>
          <w:sz w:val="15"/>
          <w:szCs w:val="15"/>
          <w:color w:val="auto"/>
        </w:rPr>
        <w:t>as</w:t>
      </w:r>
      <w:r>
        <w:rPr>
          <w:sz w:val="20"/>
          <w:szCs w:val="20"/>
          <w:color w:val="auto"/>
        </w:rPr>
        <w:tab/>
      </w:r>
      <w:r>
        <w:rPr>
          <w:rFonts w:ascii="Courier New" w:cs="Courier New" w:eastAsia="Courier New" w:hAnsi="Courier New"/>
          <w:sz w:val="15"/>
          <w:szCs w:val="15"/>
          <w:color w:val="auto"/>
        </w:rPr>
        <w:t>directed</w:t>
      </w:r>
      <w:r>
        <w:rPr>
          <w:sz w:val="20"/>
          <w:szCs w:val="20"/>
          <w:color w:val="auto"/>
        </w:rPr>
        <w:tab/>
      </w:r>
      <w:r>
        <w:rPr>
          <w:rFonts w:ascii="Courier New" w:cs="Courier New" w:eastAsia="Courier New" w:hAnsi="Courier New"/>
          <w:sz w:val="15"/>
          <w:szCs w:val="15"/>
          <w:color w:val="auto"/>
        </w:rPr>
        <w:t>by</w:t>
        <w:tab/>
        <w:t>the</w:t>
      </w:r>
      <w:r>
        <w:rPr>
          <w:sz w:val="20"/>
          <w:szCs w:val="20"/>
          <w:color w:val="auto"/>
        </w:rPr>
        <w:tab/>
      </w:r>
      <w:r>
        <w:rPr>
          <w:rFonts w:ascii="Courier New" w:cs="Courier New" w:eastAsia="Courier New" w:hAnsi="Courier New"/>
          <w:sz w:val="15"/>
          <w:szCs w:val="15"/>
          <w:color w:val="auto"/>
        </w:rPr>
        <w:t>undersigned</w:t>
      </w:r>
    </w:p>
    <w:p>
      <w:pPr>
        <w:spacing w:after="0" w:line="8" w:lineRule="exact"/>
        <w:rPr>
          <w:sz w:val="20"/>
          <w:szCs w:val="20"/>
          <w:color w:val="auto"/>
        </w:rPr>
      </w:pPr>
    </w:p>
    <w:p>
      <w:pPr>
        <w:ind w:left="465"/>
        <w:spacing w:after="0"/>
        <w:tabs>
          <w:tab w:leader="none" w:pos="1725" w:val="left"/>
        </w:tabs>
        <w:rPr>
          <w:sz w:val="20"/>
          <w:szCs w:val="20"/>
          <w:color w:val="auto"/>
        </w:rPr>
      </w:pPr>
      <w:r>
        <w:rPr>
          <w:rFonts w:ascii="Courier New" w:cs="Courier New" w:eastAsia="Courier New" w:hAnsi="Courier New"/>
          <w:sz w:val="15"/>
          <w:szCs w:val="15"/>
          <w:color w:val="auto"/>
        </w:rPr>
        <w:t>stockholder.</w:t>
        <w:tab/>
        <w:t>If no such directions are made,</w:t>
      </w:r>
    </w:p>
    <w:p>
      <w:pPr>
        <w:spacing w:after="0" w:line="8" w:lineRule="exact"/>
        <w:rPr>
          <w:sz w:val="20"/>
          <w:szCs w:val="20"/>
          <w:color w:val="auto"/>
        </w:rPr>
      </w:pPr>
    </w:p>
    <w:p>
      <w:pPr>
        <w:ind w:left="465"/>
        <w:spacing w:after="0"/>
        <w:tabs>
          <w:tab w:leader="none" w:pos="985" w:val="left"/>
          <w:tab w:leader="none" w:pos="1645" w:val="left"/>
          <w:tab w:leader="none" w:pos="2185" w:val="left"/>
          <w:tab w:leader="none" w:pos="2565" w:val="left"/>
          <w:tab w:leader="none" w:pos="3305" w:val="left"/>
          <w:tab w:leader="none" w:pos="3945" w:val="left"/>
        </w:tabs>
        <w:rPr>
          <w:sz w:val="20"/>
          <w:szCs w:val="20"/>
          <w:color w:val="auto"/>
        </w:rPr>
      </w:pPr>
      <w:r>
        <w:rPr>
          <w:rFonts w:ascii="Courier New" w:cs="Courier New" w:eastAsia="Courier New" w:hAnsi="Courier New"/>
          <w:sz w:val="15"/>
          <w:szCs w:val="15"/>
          <w:color w:val="auto"/>
        </w:rPr>
        <w:t>this</w:t>
        <w:tab/>
        <w:t>Proxy</w:t>
        <w:tab/>
        <w:t>will</w:t>
        <w:tab/>
        <w:t>be</w:t>
        <w:tab/>
        <w:t>voted</w:t>
      </w:r>
      <w:r>
        <w:rPr>
          <w:sz w:val="20"/>
          <w:szCs w:val="20"/>
          <w:color w:val="auto"/>
        </w:rPr>
        <w:tab/>
      </w:r>
      <w:r>
        <w:rPr>
          <w:rFonts w:ascii="Courier New" w:cs="Courier New" w:eastAsia="Courier New" w:hAnsi="Courier New"/>
          <w:sz w:val="15"/>
          <w:szCs w:val="15"/>
          <w:color w:val="auto"/>
        </w:rPr>
        <w:t>"FOR"</w:t>
        <w:tab/>
        <w:t>the</w:t>
      </w:r>
    </w:p>
    <w:p>
      <w:pPr>
        <w:spacing w:after="0" w:line="8" w:lineRule="exact"/>
        <w:rPr>
          <w:sz w:val="20"/>
          <w:szCs w:val="20"/>
          <w:color w:val="auto"/>
        </w:rPr>
      </w:pPr>
    </w:p>
    <w:p>
      <w:pPr>
        <w:ind w:left="465"/>
        <w:spacing w:after="0"/>
        <w:rPr>
          <w:sz w:val="20"/>
          <w:szCs w:val="20"/>
          <w:color w:val="auto"/>
        </w:rPr>
      </w:pPr>
      <w:r>
        <w:rPr>
          <w:rFonts w:ascii="Courier New" w:cs="Courier New" w:eastAsia="Courier New" w:hAnsi="Courier New"/>
          <w:sz w:val="15"/>
          <w:szCs w:val="15"/>
          <w:color w:val="auto"/>
        </w:rPr>
        <w:t>election of directors and "FOR" Item 2.</w:t>
      </w:r>
    </w:p>
    <w:p>
      <w:pPr>
        <w:spacing w:after="0" w:line="185" w:lineRule="exact"/>
        <w:rPr>
          <w:sz w:val="20"/>
          <w:szCs w:val="20"/>
          <w:color w:val="auto"/>
        </w:rPr>
      </w:pPr>
    </w:p>
    <w:p>
      <w:pPr>
        <w:ind w:left="185"/>
        <w:spacing w:after="0"/>
        <w:tabs>
          <w:tab w:leader="none" w:pos="3025" w:val="left"/>
          <w:tab w:leader="none" w:pos="3305" w:val="left"/>
        </w:tabs>
        <w:rPr>
          <w:sz w:val="20"/>
          <w:szCs w:val="20"/>
          <w:color w:val="auto"/>
        </w:rPr>
      </w:pPr>
      <w:r>
        <w:rPr>
          <w:rFonts w:ascii="Courier New" w:cs="Courier New" w:eastAsia="Courier New" w:hAnsi="Courier New"/>
          <w:sz w:val="15"/>
          <w:szCs w:val="15"/>
          <w:color w:val="auto"/>
        </w:rPr>
        <w:t>I PLAN TO ATTEND THE MEETING.</w:t>
        <w:tab/>
        <w:t>[</w:t>
      </w:r>
      <w:r>
        <w:rPr>
          <w:sz w:val="20"/>
          <w:szCs w:val="20"/>
          <w:color w:val="auto"/>
        </w:rPr>
        <w:tab/>
      </w:r>
      <w:r>
        <w:rPr>
          <w:rFonts w:ascii="Courier New" w:cs="Courier New" w:eastAsia="Courier New" w:hAnsi="Courier New"/>
          <w:sz w:val="13"/>
          <w:szCs w:val="13"/>
          <w:color w:val="auto"/>
        </w:rPr>
        <w:t>]</w:t>
      </w:r>
    </w:p>
    <w:p>
      <w:pPr>
        <w:spacing w:after="0" w:line="185" w:lineRule="exact"/>
        <w:rPr>
          <w:sz w:val="20"/>
          <w:szCs w:val="20"/>
          <w:color w:val="auto"/>
        </w:rPr>
      </w:pPr>
    </w:p>
    <w:p>
      <w:pPr>
        <w:jc w:val="both"/>
        <w:ind w:left="5" w:right="2839"/>
        <w:spacing w:after="0" w:line="250" w:lineRule="auto"/>
        <w:rPr>
          <w:sz w:val="20"/>
          <w:szCs w:val="20"/>
          <w:color w:val="auto"/>
        </w:rPr>
      </w:pPr>
      <w:r>
        <w:rPr>
          <w:rFonts w:ascii="Courier New" w:cs="Courier New" w:eastAsia="Courier New" w:hAnsi="Courier New"/>
          <w:sz w:val="15"/>
          <w:szCs w:val="15"/>
          <w:color w:val="auto"/>
        </w:rPr>
        <w:t>Please sign exactly as your name appears hereon. If the stock is registered in the names of two or more persons, each should sign. Executors, administrators, trustees, guardians and attorneys-in-fact should add their titles. If signer is</w:t>
      </w:r>
    </w:p>
    <w:p>
      <w:pPr>
        <w:spacing w:after="0" w:line="1" w:lineRule="exact"/>
        <w:rPr>
          <w:sz w:val="20"/>
          <w:szCs w:val="20"/>
          <w:color w:val="auto"/>
        </w:rPr>
      </w:pPr>
    </w:p>
    <w:p>
      <w:pPr>
        <w:jc w:val="both"/>
        <w:ind w:left="5" w:right="2839" w:hanging="5"/>
        <w:spacing w:after="0" w:line="252" w:lineRule="auto"/>
        <w:tabs>
          <w:tab w:leader="none" w:pos="282"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corporation, please give full corporate name and have a duly authorized officer sign, stating title. If signer is a partnership, please sign in partnership name by authorized person.</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5"/>
        <w:spacing w:after="0"/>
        <w:tabs>
          <w:tab w:leader="none" w:pos="5425" w:val="left"/>
        </w:tabs>
        <w:rPr>
          <w:sz w:val="20"/>
          <w:szCs w:val="20"/>
          <w:color w:val="auto"/>
        </w:rPr>
      </w:pPr>
      <w:r>
        <w:rPr>
          <w:rFonts w:ascii="Courier New" w:cs="Courier New" w:eastAsia="Courier New" w:hAnsi="Courier New"/>
          <w:sz w:val="15"/>
          <w:szCs w:val="15"/>
          <w:color w:val="auto"/>
        </w:rPr>
        <w:t>Signature(s) ____________________________________________</w:t>
        <w:tab/>
        <w:t>Date ______________</w:t>
      </w:r>
    </w:p>
    <w:p>
      <w:pPr>
        <w:spacing w:after="0" w:line="185" w:lineRule="exact"/>
        <w:rPr>
          <w:sz w:val="20"/>
          <w:szCs w:val="20"/>
          <w:color w:val="auto"/>
        </w:rPr>
      </w:pPr>
    </w:p>
    <w:p>
      <w:pPr>
        <w:ind w:left="5" w:right="3019"/>
        <w:spacing w:after="0" w:line="253" w:lineRule="auto"/>
        <w:rPr>
          <w:sz w:val="20"/>
          <w:szCs w:val="20"/>
          <w:color w:val="auto"/>
        </w:rPr>
      </w:pPr>
      <w:r>
        <w:rPr>
          <w:rFonts w:ascii="Courier New" w:cs="Courier New" w:eastAsia="Courier New" w:hAnsi="Courier New"/>
          <w:sz w:val="15"/>
          <w:szCs w:val="15"/>
          <w:color w:val="auto"/>
        </w:rPr>
        <w:t>NOTE: Please vote, date and promptly return this proxy in the enclosed return envelope which is postage prepaid if mailed in the United States.</w:t>
      </w:r>
    </w:p>
    <w:sectPr>
      <w:pgSz w:w="11900" w:h="16838" w:orient="portrait"/>
      <w:cols w:equalWidth="0" w:num="1">
        <w:col w:w="10225"/>
      </w:cols>
      <w:pgMar w:left="235" w:top="828"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190CDE7"/>
    <w:multiLevelType w:val="hybridMultilevel"/>
    <w:lvl w:ilvl="0">
      <w:lvlJc w:val="left"/>
      <w:lvlText w:val="[%1]"/>
      <w:numFmt w:val="upperLetter"/>
      <w:start w:val="24"/>
    </w:lvl>
  </w:abstractNum>
  <w:abstractNum w:abstractNumId="1">
    <w:nsid w:val="66EF438D"/>
    <w:multiLevelType w:val="hybridMultilevel"/>
    <w:lvl w:ilvl="0">
      <w:lvlJc w:val="left"/>
      <w:lvlText w:val="-"/>
      <w:numFmt w:val="bullet"/>
      <w:start w:val="1"/>
    </w:lvl>
  </w:abstractNum>
  <w:abstractNum w:abstractNumId="2">
    <w:nsid w:val="140E0F76"/>
    <w:multiLevelType w:val="hybridMultilevel"/>
    <w:lvl w:ilvl="0">
      <w:lvlJc w:val="left"/>
      <w:lvlText w:val="-"/>
      <w:numFmt w:val="bullet"/>
      <w:start w:val="1"/>
    </w:lvl>
  </w:abstractNum>
  <w:abstractNum w:abstractNumId="3">
    <w:nsid w:val="3352255A"/>
    <w:multiLevelType w:val="hybridMultilevel"/>
    <w:lvl w:ilvl="0">
      <w:lvlJc w:val="left"/>
      <w:lvlText w:val="["/>
      <w:numFmt w:val="bullet"/>
      <w:start w:val="1"/>
    </w:lvl>
    <w:lvl w:ilvl="1">
      <w:lvlJc w:val="left"/>
      <w:lvlText w:val="%2."/>
      <w:numFmt w:val="decimal"/>
      <w:start w:val="1"/>
    </w:lvl>
  </w:abstractNum>
  <w:abstractNum w:abstractNumId="4">
    <w:nsid w:val="109CF92E"/>
    <w:multiLevelType w:val="hybridMultilevel"/>
    <w:lvl w:ilvl="0">
      <w:lvlJc w:val="left"/>
      <w:lvlText w:val="-"/>
      <w:numFmt w:val="bullet"/>
      <w:start w:val="1"/>
    </w:lvl>
    <w:lvl w:ilvl="1">
      <w:lvlJc w:val="left"/>
      <w:lvlText w:val="%2."/>
      <w:numFmt w:val="decimal"/>
      <w:start w:val="2"/>
    </w:lvl>
  </w:abstractNum>
  <w:abstractNum w:abstractNumId="5">
    <w:nsid w:val="DED7263"/>
    <w:multiLevelType w:val="hybridMultilevel"/>
    <w:lvl w:ilvl="0">
      <w:lvlJc w:val="left"/>
      <w:lvlText w:val="-"/>
      <w:numFmt w:val="bullet"/>
      <w:start w:val="1"/>
    </w:lvl>
    <w:lvl w:ilvl="1">
      <w:lvlJc w:val="left"/>
      <w:lvlText w:val="%2."/>
      <w:numFmt w:val="decimal"/>
      <w:start w:val="3"/>
    </w:lvl>
  </w:abstractNum>
  <w:abstractNum w:abstractNumId="6">
    <w:nsid w:val="7FDCC233"/>
    <w:multiLevelType w:val="hybridMultilevel"/>
    <w:lvl w:ilvl="0">
      <w:lvlJc w:val="left"/>
      <w:lvlText w:val="-"/>
      <w:numFmt w:val="bullet"/>
      <w:start w:val="1"/>
    </w:lvl>
    <w:lvl w:ilvl="1">
      <w:lvlJc w:val="left"/>
      <w:lvlText w:val="%2."/>
      <w:numFmt w:val="decimal"/>
      <w:start w:val="4"/>
    </w:lvl>
  </w:abstractNum>
  <w:abstractNum w:abstractNumId="7">
    <w:nsid w:val="1BEFD79F"/>
    <w:multiLevelType w:val="hybridMultilevel"/>
    <w:lvl w:ilvl="0">
      <w:lvlJc w:val="left"/>
      <w:lvlText w:val="(%1)"/>
      <w:numFmt w:val="decimal"/>
      <w:start w:val="1"/>
    </w:lvl>
  </w:abstractNum>
  <w:abstractNum w:abstractNumId="8">
    <w:nsid w:val="41A7C4C9"/>
    <w:multiLevelType w:val="hybridMultilevel"/>
    <w:lvl w:ilvl="0">
      <w:lvlJc w:val="left"/>
      <w:lvlText w:val="["/>
      <w:numFmt w:val="bullet"/>
      <w:start w:val="1"/>
    </w:lvl>
    <w:lvl w:ilvl="1">
      <w:lvlJc w:val="left"/>
      <w:lvlText w:val="%2."/>
      <w:numFmt w:val="decimal"/>
      <w:start w:val="1"/>
    </w:lvl>
  </w:abstractNum>
  <w:abstractNum w:abstractNumId="9">
    <w:nsid w:val="6B68079A"/>
    <w:multiLevelType w:val="hybridMultilevel"/>
    <w:lvl w:ilvl="0">
      <w:lvlJc w:val="left"/>
      <w:lvlText w:val="%1."/>
      <w:numFmt w:val="decimal"/>
      <w:start w:val="1"/>
    </w:lvl>
  </w:abstractNum>
  <w:abstractNum w:abstractNumId="10">
    <w:nsid w:val="4E6AFB66"/>
    <w:multiLevelType w:val="hybridMultilevel"/>
    <w:lvl w:ilvl="0">
      <w:lvlJc w:val="left"/>
      <w:lvlText w:val="-"/>
      <w:numFmt w:val="bullet"/>
      <w:start w:val="1"/>
    </w:lvl>
  </w:abstractNum>
  <w:abstractNum w:abstractNumId="11">
    <w:nsid w:val="25E45D32"/>
    <w:multiLevelType w:val="hybridMultilevel"/>
    <w:lvl w:ilvl="0">
      <w:lvlJc w:val="left"/>
      <w:lvlText w:val="*"/>
      <w:numFmt w:val="bullet"/>
      <w:start w:val="1"/>
    </w:lvl>
  </w:abstractNum>
  <w:abstractNum w:abstractNumId="12">
    <w:nsid w:val="519B500D"/>
    <w:multiLevelType w:val="hybridMultilevel"/>
    <w:lvl w:ilvl="0">
      <w:lvlJc w:val="left"/>
      <w:lvlText w:val="(%1)"/>
      <w:numFmt w:val="decimal"/>
      <w:start w:val="1"/>
    </w:lvl>
  </w:abstractNum>
  <w:abstractNum w:abstractNumId="13">
    <w:nsid w:val="431BD7B7"/>
    <w:multiLevelType w:val="hybridMultilevel"/>
    <w:lvl w:ilvl="0">
      <w:lvlJc w:val="left"/>
      <w:lvlText w:val="(%1)"/>
      <w:numFmt w:val="decimal"/>
      <w:start w:val="2"/>
    </w:lvl>
  </w:abstractNum>
  <w:abstractNum w:abstractNumId="14">
    <w:nsid w:val="3F2DBA31"/>
    <w:multiLevelType w:val="hybridMultilevel"/>
    <w:lvl w:ilvl="0">
      <w:lvlJc w:val="left"/>
      <w:lvlText w:val="(%1)"/>
      <w:numFmt w:val="decimal"/>
      <w:start w:val="1"/>
    </w:lvl>
  </w:abstractNum>
  <w:abstractNum w:abstractNumId="15">
    <w:nsid w:val="7C83E458"/>
    <w:multiLevelType w:val="hybridMultilevel"/>
    <w:lvl w:ilvl="0">
      <w:lvlJc w:val="left"/>
      <w:lvlText w:val="(%1)"/>
      <w:numFmt w:val="decimal"/>
      <w:start w:val="1"/>
    </w:lvl>
  </w:abstractNum>
  <w:abstractNum w:abstractNumId="16">
    <w:nsid w:val="257130A3"/>
    <w:multiLevelType w:val="hybridMultilevel"/>
    <w:lvl w:ilvl="0">
      <w:lvlJc w:val="left"/>
      <w:lvlText w:val="(%1)"/>
      <w:numFmt w:val="decimal"/>
      <w:start w:val="1"/>
    </w:lvl>
  </w:abstractNum>
  <w:abstractNum w:abstractNumId="17">
    <w:nsid w:val="62BBD95A"/>
    <w:multiLevelType w:val="hybridMultilevel"/>
    <w:lvl w:ilvl="0">
      <w:lvlJc w:val="left"/>
      <w:lvlText w:val="(%1)"/>
      <w:numFmt w:val="decimal"/>
      <w:start w:val="1"/>
    </w:lvl>
  </w:abstractNum>
  <w:abstractNum w:abstractNumId="18">
    <w:nsid w:val="436C6125"/>
    <w:multiLevelType w:val="hybridMultilevel"/>
    <w:lvl w:ilvl="0">
      <w:lvlJc w:val="left"/>
      <w:lvlText w:val="(%1)"/>
      <w:numFmt w:val="decimal"/>
      <w:start w:val="2"/>
    </w:lvl>
  </w:abstractNum>
  <w:abstractNum w:abstractNumId="19">
    <w:nsid w:val="628C895D"/>
    <w:multiLevelType w:val="hybridMultilevel"/>
    <w:lvl w:ilvl="0">
      <w:lvlJc w:val="left"/>
      <w:lvlText w:val="%1."/>
      <w:numFmt w:val="decimal"/>
      <w:start w:val="2"/>
    </w:lvl>
  </w:abstractNum>
  <w:abstractNum w:abstractNumId="20">
    <w:nsid w:val="333AB105"/>
    <w:multiLevelType w:val="hybridMultilevel"/>
    <w:lvl w:ilvl="0">
      <w:lvlJc w:val="left"/>
      <w:lvlText w:val="%1."/>
      <w:numFmt w:val="decimal"/>
      <w:start w:val="3"/>
    </w:lvl>
  </w:abstractNum>
  <w:abstractNum w:abstractNumId="21">
    <w:nsid w:val="721DA317"/>
    <w:multiLevelType w:val="hybridMultilevel"/>
    <w:lvl w:ilvl="0">
      <w:lvlJc w:val="left"/>
      <w:lvlText w:val="a"/>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2019-12-20T01:31:36Z</dcterms:created>
  <dcterms:modified xsi:type="dcterms:W3CDTF">2019-12-20T01:31:36Z</dcterms:modified>
</cp:coreProperties>
</file>