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510d8k.htm"/>
      <w:bookmarkStart w:id="1" w:name="ksd1065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March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bookmarkStart w:id="2" w:name="Fact_2"/>
      <w:bookmarkEnd w:id="2"/>
      <w:r>
        <w:rPr>
          <w:rFonts w:ascii="Times New Roman" w:hAnsi="Times New Roman"/>
          <w:b/>
          <w:sz w:val="48"/>
        </w:rPr>
        <w:t>FAIR ISAAC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001-11689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94-1499887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 West Mendenhall, Suite 105</w:t>
            </w:r>
          </w:p>
          <w:p>
            <w:pPr>
              <w:pStyle w:val="TableContents"/>
              <w:bidi w:val="0"/>
              <w:spacing w:before="0" w:after="20"/>
              <w:jc w:val="center"/>
              <w:rPr>
                <w:rFonts w:ascii="Times New Roman" w:hAnsi="Times New Roman"/>
                <w:b/>
                <w:sz w:val="20"/>
              </w:rPr>
            </w:pPr>
            <w:r>
              <w:rPr>
                <w:rFonts w:ascii="Times New Roman" w:hAnsi="Times New Roman"/>
                <w:b/>
                <w:sz w:val="20"/>
              </w:rPr>
              <w:t>Bozeman, Montana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59715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406-982-7276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FICO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450" w:type="dxa"/>
        <w:jc w:val="left"/>
        <w:tblInd w:w="0" w:type="dxa"/>
        <w:tblLayout w:type="fixed"/>
        <w:tblCellMar>
          <w:top w:w="0" w:type="dxa"/>
          <w:left w:w="0" w:type="dxa"/>
          <w:bottom w:w="0" w:type="dxa"/>
          <w:right w:w="0" w:type="dxa"/>
        </w:tblCellMar>
      </w:tblPr>
      <w:tblGrid>
        <w:gridCol w:w="1025"/>
        <w:gridCol w:w="6425"/>
      </w:tblGrid>
      <w:tr>
        <w:trPr/>
        <w:tc>
          <w:tcPr>
            <w:tcW w:w="1025" w:type="dxa"/>
            <w:tcBorders/>
            <w:vAlign w:val="center"/>
          </w:tcPr>
          <w:p>
            <w:pPr>
              <w:pStyle w:val="TableContents"/>
              <w:bidi w:val="0"/>
              <w:spacing w:before="0" w:after="283"/>
              <w:jc w:val="left"/>
              <w:rPr>
                <w:b/>
              </w:rPr>
            </w:pPr>
            <w:r>
              <w:rPr>
                <w:b/>
              </w:rPr>
              <w:t>Item 5.03.</w:t>
            </w:r>
          </w:p>
        </w:tc>
        <w:tc>
          <w:tcPr>
            <w:tcW w:w="6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Amendments to Articles of Incorporation or Bylaws; Change in Fiscal Year.</w:t>
            </w:r>
          </w:p>
        </w:tc>
      </w:tr>
    </w:tbl>
    <w:p>
      <w:pPr>
        <w:pStyle w:val="TextBody"/>
        <w:bidi w:val="0"/>
        <w:spacing w:before="120" w:after="0"/>
        <w:jc w:val="left"/>
        <w:rPr>
          <w:rFonts w:ascii="Times New Roman" w:hAnsi="Times New Roman"/>
          <w:sz w:val="20"/>
        </w:rPr>
      </w:pPr>
      <w:r>
        <w:rPr>
          <w:rFonts w:ascii="Times New Roman" w:hAnsi="Times New Roman"/>
          <w:sz w:val="20"/>
        </w:rPr>
        <w:t>As reported below in Item 5.07, at the 2026 Annual Meeting of Stockholders (the “Annual Meeting”) of Fair Isaac Corporation (the “Company”) on March 4, 2026, the stockholders of the Company approved (i) an amendment to the Company’s Restated Certificate of Incorporation to allow for exculpation of officers as permitted by Delaware law, and (ii) an amendment to the Company’s Restated Certificate of Incorporation to eliminate the supermajority voting requirement that requires at least 66-2/3% of the voting power of the Company’s outstanding shares to amend or repeal Article 6 thereof (collectively, the “Charter Amendments”).</w:t>
      </w:r>
    </w:p>
    <w:p>
      <w:pPr>
        <w:pStyle w:val="TextBody"/>
        <w:bidi w:val="0"/>
        <w:spacing w:before="240" w:after="0"/>
        <w:jc w:val="left"/>
        <w:rPr>
          <w:rFonts w:ascii="Times New Roman" w:hAnsi="Times New Roman"/>
          <w:sz w:val="20"/>
        </w:rPr>
      </w:pPr>
      <w:r>
        <w:rPr>
          <w:rFonts w:ascii="Times New Roman" w:hAnsi="Times New Roman"/>
          <w:sz w:val="20"/>
        </w:rPr>
        <w:t>A description of the Charter Amendments was set forth in the Company’s definitive proxy statement on Schedule 14A filed with the Securities and Exchange Commission on January 27, 2026. The Charter Amendments became effective upon the filing of a Certificate of Amendment (the “Certificate of Amendment”) to the Restated Certificate of Incorporation with the Secretary of State of the State of Delaware on March 4, 2026. Subsequently, the Company filed a Restated Certificate of Incorporation, solely to reflect the Charter Amendments, with the Secretary of State of the State of Delaware on March 4, 2026.</w:t>
      </w:r>
    </w:p>
    <w:p>
      <w:pPr>
        <w:pStyle w:val="TextBody"/>
        <w:bidi w:val="0"/>
        <w:spacing w:before="240" w:after="0"/>
        <w:jc w:val="left"/>
        <w:rPr>
          <w:rFonts w:ascii="Times New Roman" w:hAnsi="Times New Roman"/>
          <w:sz w:val="20"/>
        </w:rPr>
      </w:pPr>
      <w:r>
        <w:rPr>
          <w:rFonts w:ascii="Times New Roman" w:hAnsi="Times New Roman"/>
          <w:sz w:val="20"/>
        </w:rPr>
        <w:t>The above description of the Charter Amendments is qualified in its entirety by reference to the full text of each of the Certificate of Amendment and the Restated Certificate of Incorporation as amended by the Charter Amendments, copies of which are filed as Exhibit 3.1 and Exhibit 3.2, respectively, to this Current Report on Form 8-K and incorporated by reference herein.</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1025"/>
        <w:gridCol w:w="4430"/>
      </w:tblGrid>
      <w:tr>
        <w:trPr/>
        <w:tc>
          <w:tcPr>
            <w:tcW w:w="1025" w:type="dxa"/>
            <w:tcBorders/>
            <w:vAlign w:val="center"/>
          </w:tcPr>
          <w:p>
            <w:pPr>
              <w:pStyle w:val="TableContents"/>
              <w:bidi w:val="0"/>
              <w:spacing w:before="0" w:after="283"/>
              <w:jc w:val="left"/>
              <w:rPr>
                <w:b/>
              </w:rPr>
            </w:pPr>
            <w:r>
              <w:rPr>
                <w:b/>
              </w:rPr>
              <w:t>Item 5.07.</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Submission of Matters to a Vote of Security Holders.</w:t>
            </w:r>
          </w:p>
        </w:tc>
      </w:tr>
    </w:tbl>
    <w:p>
      <w:pPr>
        <w:pStyle w:val="TextBody"/>
        <w:bidi w:val="0"/>
        <w:spacing w:before="120" w:after="0"/>
        <w:jc w:val="left"/>
        <w:rPr>
          <w:rFonts w:ascii="Times New Roman" w:hAnsi="Times New Roman"/>
          <w:sz w:val="20"/>
        </w:rPr>
      </w:pPr>
      <w:r>
        <w:rPr>
          <w:rFonts w:ascii="Times New Roman" w:hAnsi="Times New Roman"/>
          <w:sz w:val="20"/>
        </w:rPr>
        <w:t>The Company held its Annual Meeting on March 4, 2026. Of the 23,765,456 shares of common stock entitled to vote, 21,251,277 shares were present at the Annual Meeting in person or by proxy. The final results for each of the matters submitted to a vote of stockholders at the Annual Meeting are as follows:</w:t>
      </w:r>
    </w:p>
    <w:p>
      <w:pPr>
        <w:pStyle w:val="TextBody"/>
        <w:bidi w:val="0"/>
        <w:spacing w:before="360" w:after="0"/>
        <w:jc w:val="left"/>
        <w:rPr>
          <w:rFonts w:ascii="Times New Roman" w:hAnsi="Times New Roman"/>
          <w:sz w:val="20"/>
        </w:rPr>
      </w:pPr>
      <w:r>
        <w:rPr>
          <w:rFonts w:ascii="Times New Roman" w:hAnsi="Times New Roman"/>
          <w:i/>
          <w:sz w:val="20"/>
        </w:rPr>
        <w:t>Item No.</w:t>
      </w:r>
      <w:r>
        <w:rPr>
          <w:rFonts w:ascii="Times New Roman" w:hAnsi="Times New Roman"/>
          <w:sz w:val="20"/>
        </w:rPr>
        <w:t> </w:t>
      </w:r>
      <w:r>
        <w:rPr>
          <w:rFonts w:ascii="Times New Roman" w:hAnsi="Times New Roman"/>
          <w:i/>
          <w:sz w:val="20"/>
        </w:rPr>
        <w:t xml:space="preserve">1: </w:t>
      </w:r>
      <w:r>
        <w:rPr>
          <w:rFonts w:ascii="Times New Roman" w:hAnsi="Times New Roman"/>
          <w:sz w:val="20"/>
        </w:rPr>
        <w:t>All of the Board’s nominees for director were elected by the votes set forth in the table below:</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1790"/>
        <w:gridCol w:w="120"/>
        <w:gridCol w:w="60"/>
        <w:gridCol w:w="1100"/>
        <w:gridCol w:w="60"/>
        <w:gridCol w:w="120"/>
        <w:gridCol w:w="60"/>
        <w:gridCol w:w="980"/>
        <w:gridCol w:w="60"/>
        <w:gridCol w:w="120"/>
        <w:gridCol w:w="61"/>
        <w:gridCol w:w="694"/>
        <w:gridCol w:w="60"/>
        <w:gridCol w:w="120"/>
        <w:gridCol w:w="61"/>
        <w:gridCol w:w="1009"/>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Nominees</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pPr>
            <w:r>
              <w:rPr/>
              <w:t>Abstain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t>Broker</w:t>
              <w:br/>
              <w:t>Non-Votes</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Braden R. Kelly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17,016,244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2,585,771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8,095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1,641,167</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Fabiola R. Arredondo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18,527,534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1,074,487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8,089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1,641,167</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J. Lansing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19,488,427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112,176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9,507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1,641,167</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 Manolis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18,514,186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1,087,949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7,975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1,641,167</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 F. McMorris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19,311,240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8,104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1,641,167</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Joanna Rees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17,772,913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1,817,918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19,279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1,641,167</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A. Rey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18,857,328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745,344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7,438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1,641,167</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 Tayloe Stansbury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19,399,025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203,023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8,062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1,641,167</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i/>
          <w:sz w:val="20"/>
        </w:rPr>
        <w:t>Item No.</w:t>
      </w:r>
      <w:r>
        <w:rPr>
          <w:rFonts w:ascii="Times New Roman" w:hAnsi="Times New Roman"/>
          <w:sz w:val="20"/>
        </w:rPr>
        <w:t> </w:t>
      </w:r>
      <w:r>
        <w:rPr>
          <w:rFonts w:ascii="Times New Roman" w:hAnsi="Times New Roman"/>
          <w:i/>
          <w:sz w:val="20"/>
        </w:rPr>
        <w:t xml:space="preserve">2: </w:t>
      </w:r>
      <w:r>
        <w:rPr>
          <w:rFonts w:ascii="Times New Roman" w:hAnsi="Times New Roman"/>
          <w:sz w:val="20"/>
        </w:rPr>
        <w:t>The stockholders approved, on an advisory (non-binding) basis, the resolution relating to the Company’s named executive officer compensation by the votes set forth in the table below:</w:t>
      </w:r>
    </w:p>
    <w:p>
      <w:pPr>
        <w:pStyle w:val="TextBody"/>
        <w:bidi w:val="0"/>
        <w:spacing w:before="0" w:after="0"/>
        <w:jc w:val="left"/>
        <w:rPr/>
      </w:pPr>
      <w:r>
        <w:rPr/>
        <w:t> </w:t>
      </w:r>
    </w:p>
    <w:tbl>
      <w:tblPr>
        <w:tblW w:w="4265" w:type="dxa"/>
        <w:jc w:val="left"/>
        <w:tblInd w:w="0" w:type="dxa"/>
        <w:tblLayout w:type="fixed"/>
        <w:tblCellMar>
          <w:top w:w="0" w:type="dxa"/>
          <w:left w:w="0" w:type="dxa"/>
          <w:bottom w:w="0" w:type="dxa"/>
          <w:right w:w="0" w:type="dxa"/>
        </w:tblCellMar>
      </w:tblPr>
      <w:tblGrid>
        <w:gridCol w:w="1115"/>
        <w:gridCol w:w="60"/>
        <w:gridCol w:w="980"/>
        <w:gridCol w:w="60"/>
        <w:gridCol w:w="680"/>
        <w:gridCol w:w="60"/>
        <w:gridCol w:w="131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Abstain</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Broker Non-Votes</w:t>
            </w:r>
          </w:p>
        </w:tc>
      </w:tr>
      <w:tr>
        <w:trPr/>
        <w:tc>
          <w:tcPr>
            <w:tcW w:w="1115" w:type="dxa"/>
            <w:tcBorders/>
            <w:shd w:fill="CCEEFF" w:val="clear"/>
            <w:vAlign w:val="center"/>
          </w:tcPr>
          <w:p>
            <w:pPr>
              <w:pStyle w:val="TableContents"/>
              <w:bidi w:val="0"/>
              <w:spacing w:before="0" w:after="283"/>
              <w:jc w:val="center"/>
              <w:rPr/>
            </w:pPr>
            <w:r>
              <w:rPr/>
              <w:t>16,637,219</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2,952,607</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20,284</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1,641,167</w:t>
            </w:r>
          </w:p>
        </w:tc>
      </w:tr>
    </w:tbl>
    <w:p>
      <w:pPr>
        <w:pStyle w:val="TextBody"/>
        <w:bidi w:val="0"/>
        <w:spacing w:before="240" w:after="0"/>
        <w:jc w:val="left"/>
        <w:rPr>
          <w:rFonts w:ascii="Times New Roman" w:hAnsi="Times New Roman"/>
          <w:sz w:val="20"/>
        </w:rPr>
      </w:pPr>
      <w:r>
        <w:rPr>
          <w:rFonts w:ascii="Times New Roman" w:hAnsi="Times New Roman"/>
          <w:i/>
          <w:sz w:val="20"/>
        </w:rPr>
        <w:t>Item No.</w:t>
      </w:r>
      <w:r>
        <w:rPr>
          <w:rFonts w:ascii="Times New Roman" w:hAnsi="Times New Roman"/>
          <w:sz w:val="20"/>
        </w:rPr>
        <w:t> </w:t>
      </w:r>
      <w:r>
        <w:rPr>
          <w:rFonts w:ascii="Times New Roman" w:hAnsi="Times New Roman"/>
          <w:i/>
          <w:sz w:val="20"/>
        </w:rPr>
        <w:t>3:</w:t>
      </w:r>
      <w:r>
        <w:rPr>
          <w:rFonts w:ascii="Times New Roman" w:hAnsi="Times New Roman"/>
          <w:sz w:val="20"/>
        </w:rPr>
        <w:t xml:space="preserve"> The appointment of Deloitte &amp; Touche LLP as the Company’s independent registered public accounting firm for fiscal 2026 was ratified by the stockholders, by the votes set forth in the table below:</w:t>
      </w:r>
    </w:p>
    <w:p>
      <w:pPr>
        <w:pStyle w:val="TextBody"/>
        <w:bidi w:val="0"/>
        <w:spacing w:before="0" w:after="0"/>
        <w:jc w:val="left"/>
        <w:rPr/>
      </w:pPr>
      <w:r>
        <w:rPr/>
        <w:t> </w:t>
      </w:r>
    </w:p>
    <w:tbl>
      <w:tblPr>
        <w:tblW w:w="2610" w:type="dxa"/>
        <w:jc w:val="left"/>
        <w:tblInd w:w="0" w:type="dxa"/>
        <w:tblLayout w:type="fixed"/>
        <w:tblCellMar>
          <w:top w:w="0" w:type="dxa"/>
          <w:left w:w="0" w:type="dxa"/>
          <w:bottom w:w="0" w:type="dxa"/>
          <w:right w:w="0" w:type="dxa"/>
        </w:tblCellMar>
      </w:tblPr>
      <w:tblGrid>
        <w:gridCol w:w="1115"/>
        <w:gridCol w:w="60"/>
        <w:gridCol w:w="800"/>
        <w:gridCol w:w="60"/>
        <w:gridCol w:w="57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Against</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Abstain</w:t>
            </w:r>
          </w:p>
        </w:tc>
      </w:tr>
      <w:tr>
        <w:trPr/>
        <w:tc>
          <w:tcPr>
            <w:tcW w:w="1115" w:type="dxa"/>
            <w:tcBorders/>
            <w:shd w:fill="CCEEFF" w:val="clear"/>
            <w:vAlign w:val="center"/>
          </w:tcPr>
          <w:p>
            <w:pPr>
              <w:pStyle w:val="TableContents"/>
              <w:bidi w:val="0"/>
              <w:spacing w:before="0" w:after="283"/>
              <w:jc w:val="center"/>
              <w:rPr/>
            </w:pPr>
            <w:r>
              <w:rPr/>
              <w:t>20,391,307</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854,214</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5,756</w:t>
            </w:r>
          </w:p>
        </w:tc>
      </w:tr>
    </w:tbl>
    <w:p>
      <w:pPr>
        <w:pStyle w:val="TextBody"/>
        <w:bidi w:val="0"/>
        <w:spacing w:before="240" w:after="0"/>
        <w:jc w:val="left"/>
        <w:rPr>
          <w:rFonts w:ascii="Times New Roman" w:hAnsi="Times New Roman"/>
          <w:sz w:val="20"/>
        </w:rPr>
      </w:pPr>
      <w:r>
        <w:rPr>
          <w:rFonts w:ascii="Times New Roman" w:hAnsi="Times New Roman"/>
          <w:i/>
          <w:sz w:val="20"/>
        </w:rPr>
        <w:t>Item No.</w:t>
      </w:r>
      <w:r>
        <w:rPr>
          <w:rFonts w:ascii="Times New Roman" w:hAnsi="Times New Roman"/>
          <w:sz w:val="20"/>
        </w:rPr>
        <w:t> </w:t>
      </w:r>
      <w:r>
        <w:rPr>
          <w:rFonts w:ascii="Times New Roman" w:hAnsi="Times New Roman"/>
          <w:i/>
          <w:sz w:val="20"/>
        </w:rPr>
        <w:t>4:</w:t>
      </w:r>
      <w:r>
        <w:rPr>
          <w:rFonts w:ascii="Times New Roman" w:hAnsi="Times New Roman"/>
          <w:sz w:val="20"/>
        </w:rPr>
        <w:t xml:space="preserve"> The stockholders approved an amendment to the Corporation’s Restated Certificate of Incorporation to allow for exculpation of officers as permitted by Delaware law, by the votes set forth in the table below:</w:t>
      </w:r>
    </w:p>
    <w:p>
      <w:pPr>
        <w:pStyle w:val="TextBody"/>
        <w:bidi w:val="0"/>
        <w:spacing w:before="0" w:after="0"/>
        <w:jc w:val="left"/>
        <w:rPr/>
      </w:pPr>
      <w:r>
        <w:rPr/>
        <w:t> </w:t>
      </w:r>
    </w:p>
    <w:tbl>
      <w:tblPr>
        <w:tblW w:w="4265" w:type="dxa"/>
        <w:jc w:val="left"/>
        <w:tblInd w:w="0" w:type="dxa"/>
        <w:tblLayout w:type="fixed"/>
        <w:tblCellMar>
          <w:top w:w="0" w:type="dxa"/>
          <w:left w:w="0" w:type="dxa"/>
          <w:bottom w:w="0" w:type="dxa"/>
          <w:right w:w="0" w:type="dxa"/>
        </w:tblCellMar>
      </w:tblPr>
      <w:tblGrid>
        <w:gridCol w:w="1115"/>
        <w:gridCol w:w="60"/>
        <w:gridCol w:w="980"/>
        <w:gridCol w:w="60"/>
        <w:gridCol w:w="680"/>
        <w:gridCol w:w="60"/>
        <w:gridCol w:w="131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Abstain</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Broker Non-Votes</w:t>
            </w:r>
          </w:p>
        </w:tc>
      </w:tr>
      <w:tr>
        <w:trPr/>
        <w:tc>
          <w:tcPr>
            <w:tcW w:w="1115" w:type="dxa"/>
            <w:tcBorders/>
            <w:shd w:fill="CCEEFF" w:val="clear"/>
            <w:vAlign w:val="center"/>
          </w:tcPr>
          <w:p>
            <w:pPr>
              <w:pStyle w:val="TableContents"/>
              <w:bidi w:val="0"/>
              <w:spacing w:before="0" w:after="283"/>
              <w:jc w:val="center"/>
              <w:rPr/>
            </w:pPr>
            <w:r>
              <w:rPr/>
              <w:t>18,448,374</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1,146,104</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15,632</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1,641,167</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i/>
          <w:sz w:val="20"/>
        </w:rPr>
        <w:t>Item No.</w:t>
      </w:r>
      <w:r>
        <w:rPr>
          <w:rFonts w:ascii="Times New Roman" w:hAnsi="Times New Roman"/>
          <w:sz w:val="20"/>
        </w:rPr>
        <w:t> </w:t>
      </w:r>
      <w:r>
        <w:rPr>
          <w:rFonts w:ascii="Times New Roman" w:hAnsi="Times New Roman"/>
          <w:i/>
          <w:sz w:val="20"/>
        </w:rPr>
        <w:t>5:</w:t>
      </w:r>
      <w:r>
        <w:rPr>
          <w:rFonts w:ascii="Times New Roman" w:hAnsi="Times New Roman"/>
          <w:sz w:val="20"/>
        </w:rPr>
        <w:t xml:space="preserve"> The stockholders approved an amendment to the Corporation’s Restated Certificate of Incorporation to eliminate the supermajority voting requirement that requires at least 66-2/3% of the voting power of the Company’s outstanding shares to amend or repeal Article 6 thereof, by the votes set forth in the table below:</w:t>
      </w:r>
    </w:p>
    <w:p>
      <w:pPr>
        <w:pStyle w:val="TextBody"/>
        <w:bidi w:val="0"/>
        <w:spacing w:before="0" w:after="0"/>
        <w:jc w:val="left"/>
        <w:rPr/>
      </w:pPr>
      <w:r>
        <w:rPr/>
        <w:t> </w:t>
      </w:r>
    </w:p>
    <w:tbl>
      <w:tblPr>
        <w:tblW w:w="3845" w:type="dxa"/>
        <w:jc w:val="left"/>
        <w:tblInd w:w="0" w:type="dxa"/>
        <w:tblLayout w:type="fixed"/>
        <w:tblCellMar>
          <w:top w:w="0" w:type="dxa"/>
          <w:left w:w="0" w:type="dxa"/>
          <w:bottom w:w="0" w:type="dxa"/>
          <w:right w:w="0" w:type="dxa"/>
        </w:tblCellMar>
      </w:tblPr>
      <w:tblGrid>
        <w:gridCol w:w="1115"/>
        <w:gridCol w:w="60"/>
        <w:gridCol w:w="680"/>
        <w:gridCol w:w="60"/>
        <w:gridCol w:w="560"/>
        <w:gridCol w:w="60"/>
        <w:gridCol w:w="131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Against</w:t>
            </w:r>
          </w:p>
        </w:tc>
        <w:tc>
          <w:tcPr>
            <w:tcW w:w="60" w:type="dxa"/>
            <w:tcBorders/>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Abstain</w:t>
            </w:r>
          </w:p>
        </w:tc>
        <w:tc>
          <w:tcPr>
            <w:tcW w:w="6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Broker Non-Votes</w:t>
            </w:r>
          </w:p>
        </w:tc>
      </w:tr>
      <w:tr>
        <w:trPr/>
        <w:tc>
          <w:tcPr>
            <w:tcW w:w="1115" w:type="dxa"/>
            <w:tcBorders/>
            <w:shd w:fill="CCEEFF" w:val="clear"/>
            <w:vAlign w:val="center"/>
          </w:tcPr>
          <w:p>
            <w:pPr>
              <w:pStyle w:val="TableContents"/>
              <w:bidi w:val="0"/>
              <w:spacing w:before="0" w:after="283"/>
              <w:jc w:val="center"/>
              <w:rPr/>
            </w:pPr>
            <w:r>
              <w:rPr/>
              <w:t>19,504,439</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98,031</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7,640</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1,641,167</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6510dex31.htm">
              <w:r>
                <w:rPr>
                  <w:rStyle w:val="InternetLink"/>
                </w:rPr>
                <w:t xml:space="preserve">Certificate of Amendment of Restated Certificate of Incorporation of Fair Isaac Corporation, dated March 4,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6510dex32.htm">
              <w:r>
                <w:rPr>
                  <w:rStyle w:val="InternetLink"/>
                </w:rPr>
                <w:t xml:space="preserve">Restated Certificate of Incorporation of Fair Isaac Corporation, dated March 4,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320"/>
        <w:gridCol w:w="60"/>
        <w:gridCol w:w="6485"/>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6865" w:type="dxa"/>
            <w:gridSpan w:val="3"/>
            <w:tcBorders/>
            <w:vAlign w:val="center"/>
          </w:tcPr>
          <w:p>
            <w:pPr>
              <w:pStyle w:val="TableContents"/>
              <w:bidi w:val="0"/>
              <w:spacing w:before="0" w:after="283"/>
              <w:jc w:val="left"/>
              <w:rPr/>
            </w:pPr>
            <w:r>
              <w:rPr/>
              <w:t>FAIR ISAAC CORPORATION</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 Scadina</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Mark R. Scadina</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Date: March 5, 2026</w:t>
      </w:r>
    </w:p>
    <w:p>
      <w:pPr>
        <w:pStyle w:val="TextBody"/>
        <w:bidi w:val="0"/>
        <w:spacing w:before="0" w:after="0"/>
        <w:jc w:val="right"/>
        <w:rPr>
          <w:rFonts w:ascii="Times New Roman" w:hAnsi="Times New Roman"/>
          <w:b/>
          <w:sz w:val="20"/>
        </w:rPr>
      </w:pPr>
      <w:bookmarkStart w:id="3" w:name="d106510dex31.htm"/>
      <w:bookmarkStart w:id="4" w:name="ksd106510dex31"/>
      <w:bookmarkEnd w:id="3"/>
      <w:bookmarkEnd w:id="4"/>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RESTATED 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FAIR ISAAC CORPORATION </w:t>
      </w:r>
    </w:p>
    <w:p>
      <w:pPr>
        <w:pStyle w:val="TextBody"/>
        <w:bidi w:val="0"/>
        <w:spacing w:before="240" w:after="0"/>
        <w:jc w:val="left"/>
        <w:rPr>
          <w:rFonts w:ascii="Times New Roman" w:hAnsi="Times New Roman"/>
          <w:sz w:val="20"/>
        </w:rPr>
      </w:pPr>
      <w:r>
        <w:rPr>
          <w:rFonts w:ascii="Times New Roman" w:hAnsi="Times New Roman"/>
          <w:b/>
          <w:sz w:val="20"/>
        </w:rPr>
        <w:t>FAIR ISAAC CORPORATION</w:t>
      </w:r>
      <w:r>
        <w:rPr>
          <w:rFonts w:ascii="Times New Roman" w:hAnsi="Times New Roman"/>
          <w:sz w:val="20"/>
        </w:rPr>
        <w:t xml:space="preserve">, a Delaware corporation (the “Corporation”), does hereby certify: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at a meeting of the Board of Directors of the Corporation (the “Board”), resolutions were duly adopted setting forth proposed amendments of the Restated Certificate of Incorporation of the Corporation (the “Certificate”), declaring said amendments to be desirable and in the best interests of the Corporation and directing that the amendments be submitted to the Corporation’s stockholders for their consideration and approval at the 2026 Annual Meeting of Stockholders of the Corporation, with a recommendation from the Board that the stockholders vote for the approval of each of the amendments to the Certificate. The resolution setting forth the proposed amendments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Board deems it desirable and in the best interests of the Corporation to approve, and hereby approves, subject to stockholder approval, the following amendments to the Certificate: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removal in its entirety of Section 6(d) of the Certificate, which reads: </w:t>
            </w:r>
          </w:p>
        </w:tc>
      </w:tr>
    </w:tbl>
    <w:p>
      <w:pPr>
        <w:pStyle w:val="TextBody"/>
        <w:bidi w:val="0"/>
        <w:spacing w:before="120" w:after="0"/>
        <w:jc w:val="left"/>
        <w:rPr/>
      </w:pPr>
      <w:r>
        <w:rPr/>
        <w:t>“</w:t>
      </w:r>
      <w:r>
        <w:rPr>
          <w:rFonts w:ascii="Times New Roman" w:hAnsi="Times New Roman"/>
          <w:sz w:val="20"/>
        </w:rPr>
        <w:t xml:space="preserve">(d) In addition to any vote of the holders of any class or series of the stock of this corporation required by law or by this Certificate of Incorporation, the affirmative vote of the holders of at least 66-2/3% of the voting power of all of the then-outstanding shares of the stock of the corporation entitled to vote generally in the election of directors, voting together as a single class, shall be required to amend or repeal this Article.” </w:t>
      </w:r>
    </w:p>
    <w:p>
      <w:pPr>
        <w:pStyle w:val="TextBody"/>
        <w:bidi w:val="0"/>
        <w:spacing w:before="120" w:after="0"/>
        <w:jc w:val="left"/>
        <w:rPr>
          <w:rFonts w:ascii="Times New Roman" w:hAnsi="Times New Roman"/>
          <w:sz w:val="20"/>
        </w:rPr>
      </w:pPr>
      <w:r>
        <w:rPr>
          <w:rFonts w:ascii="Times New Roman" w:hAnsi="Times New Roman"/>
          <w:sz w:val="20"/>
        </w:rPr>
        <w:t xml:space="preserve">(the “Supermajority Amendment”);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 of a new Article 8 to the Certificate, to read in its entirety as follows: </w:t>
            </w:r>
          </w:p>
        </w:tc>
      </w:tr>
    </w:tbl>
    <w:p>
      <w:pPr>
        <w:pStyle w:val="TextBody"/>
        <w:bidi w:val="0"/>
        <w:spacing w:before="120" w:after="0"/>
        <w:jc w:val="left"/>
        <w:rPr/>
      </w:pPr>
      <w:r>
        <w:rPr/>
        <w:t>“</w:t>
      </w:r>
      <w:r>
        <w:rPr>
          <w:rFonts w:ascii="Times New Roman" w:hAnsi="Times New Roman"/>
          <w:sz w:val="20"/>
        </w:rPr>
        <w:t xml:space="preserve">8. An officer of the corporation shall not be liable to the corporation or its stockholders for monetary damages for breach of fiduciary duty as an officer, except for liability (i) for any breach of the officer’s duty of loyalty to the corporation or its stockholders, (ii) for acts or omissions not in good faith or which involve intentional misconduct or a knowing violation of law, (iii) for any transaction from which the officer derived an improper personal benefit, or (iv) in any action by or in the right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(the “Officer Exculpation Amendment”).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That thereafter, pursuant to the resolutions of its Board, the 2026 Annual Meeting of Stockholders of the Corporation was duly called and held upon notice in accordance with Section 222 of the Delaware General Corporation Law (the “DGCL”), at which meeting the number of shares required by statute for adoption of the amendments were voted in favor of the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THIRD: </w:t>
      </w:r>
      <w:r>
        <w:rPr>
          <w:rFonts w:ascii="Times New Roman" w:hAnsi="Times New Roman"/>
          <w:sz w:val="20"/>
        </w:rPr>
        <w:t xml:space="preserve">That the foregoing amendments were duly adopted in accordance with Section 242 of the DGCL.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Certificate of Amendment to be executed by its duly authorized officer on this 4th day of March,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4"/>
        <w:gridCol w:w="60"/>
        <w:gridCol w:w="3718"/>
      </w:tblGrid>
      <w:tr>
        <w:trPr/>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FAIR ISAAC CORPORATION</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tcPr>
          <w:p>
            <w:pPr>
              <w:pStyle w:val="TableContents"/>
              <w:bidi w:val="0"/>
              <w:spacing w:before="0" w:after="283"/>
              <w:jc w:val="left"/>
              <w:rPr/>
            </w:pPr>
            <w:r>
              <w:rPr/>
              <w:t>/s/ Carrie H. Darling</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Carrie H. Darling</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Title: Vice President, Deputy General Counsel and Assistant Secretary</w:t>
            </w:r>
          </w:p>
        </w:tc>
      </w:tr>
    </w:tbl>
    <w:p>
      <w:pPr>
        <w:pStyle w:val="TextBody"/>
        <w:bidi w:val="0"/>
        <w:spacing w:before="0" w:after="0"/>
        <w:jc w:val="right"/>
        <w:rPr>
          <w:rFonts w:ascii="Times New Roman" w:hAnsi="Times New Roman"/>
          <w:b/>
          <w:sz w:val="20"/>
        </w:rPr>
      </w:pPr>
      <w:bookmarkStart w:id="5" w:name="d106510dex32.htm"/>
      <w:bookmarkStart w:id="6" w:name="ksd106510dex32"/>
      <w:bookmarkEnd w:id="5"/>
      <w:bookmarkEnd w:id="6"/>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RESTATED 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FAIR ISAAC CORPORATION </w:t>
      </w:r>
    </w:p>
    <w:p>
      <w:pPr>
        <w:pStyle w:val="TextBody"/>
        <w:bidi w:val="0"/>
        <w:spacing w:before="240" w:after="0"/>
        <w:jc w:val="left"/>
        <w:rPr>
          <w:rFonts w:ascii="Times New Roman" w:hAnsi="Times New Roman"/>
          <w:sz w:val="20"/>
        </w:rPr>
      </w:pPr>
      <w:r>
        <w:rPr>
          <w:rFonts w:ascii="Times New Roman" w:hAnsi="Times New Roman"/>
          <w:sz w:val="20"/>
        </w:rPr>
        <w:t xml:space="preserve">Fair Isaac Corporation (the “Corporation”), originally incorporated as Fair, Isaac and Company, Incorporated, was incorporated through an original Certificate of Incorporation filed with the Secretary of State of the State of Delaware on May 15, 1987. </w:t>
      </w:r>
    </w:p>
    <w:p>
      <w:pPr>
        <w:pStyle w:val="TextBody"/>
        <w:bidi w:val="0"/>
        <w:spacing w:before="240" w:after="0"/>
        <w:jc w:val="left"/>
        <w:rPr>
          <w:rFonts w:ascii="Times New Roman" w:hAnsi="Times New Roman"/>
          <w:sz w:val="20"/>
        </w:rPr>
      </w:pPr>
      <w:r>
        <w:rPr>
          <w:rFonts w:ascii="Times New Roman" w:hAnsi="Times New Roman"/>
          <w:sz w:val="20"/>
        </w:rPr>
        <w:t xml:space="preserve">This Restated Certificate of Incorporation only restates and integrates and does not further amend the provisions of the Corporation’s Restated Certificate of Incorporation, as heretofore amended or supplemented, and there is no discrepancy between those provisions and the provisions of this Restated Certificate of Incorporation. This Restated Certificate of Incorporation was duly adopted by the Corporation’s Board of Directors in accordance with Section 245 of the Delaware General Corporation Law. The text of the Restated Certificate of Incorporation of the Corporation is hereby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1. The name of the corporation is Fair Isaac Corporation. </w:t>
      </w:r>
    </w:p>
    <w:p>
      <w:pPr>
        <w:pStyle w:val="TextBody"/>
        <w:bidi w:val="0"/>
        <w:spacing w:before="240" w:after="0"/>
        <w:jc w:val="left"/>
        <w:rPr>
          <w:rFonts w:ascii="Times New Roman" w:hAnsi="Times New Roman"/>
          <w:sz w:val="20"/>
        </w:rPr>
      </w:pPr>
      <w:r>
        <w:rPr>
          <w:rFonts w:ascii="Times New Roman" w:hAnsi="Times New Roman"/>
          <w:sz w:val="20"/>
        </w:rPr>
        <w:t xml:space="preserve">2. The address of its registered office in the State of Delaware is 251 Little Falls Drive, Wilmington, Delaware 19808, County of New Castle. The name of its registered agent at such address is Corporation Service Company. </w:t>
      </w:r>
    </w:p>
    <w:p>
      <w:pPr>
        <w:pStyle w:val="TextBody"/>
        <w:bidi w:val="0"/>
        <w:spacing w:before="240" w:after="0"/>
        <w:jc w:val="left"/>
        <w:rPr>
          <w:rFonts w:ascii="Times New Roman" w:hAnsi="Times New Roman"/>
          <w:sz w:val="20"/>
        </w:rPr>
      </w:pPr>
      <w:r>
        <w:rPr>
          <w:rFonts w:ascii="Times New Roman" w:hAnsi="Times New Roman"/>
          <w:sz w:val="20"/>
        </w:rPr>
        <w:t xml:space="preserve">3. The nature of the business or purposes to be conducted or promoted is to engage in any lawful act or activity for which corporations may be organized under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4. (a) The total number of shares of all classes of stock which the corporation shall have authority to issue is two hundred one million (201,000,000), of which one million (1,000,000) shares shall be Preferred Stock of the par value of $.01 per share, and two hundred million (200,000,000) shares shall be Common Stock of the par value of $.01 per share. The number of authorized shares of Common Stock or Preferred Stock may be increased or decreased (but not below the number of shares thereof then outstanding) if the increase or decrease is approved by the holders of a majority of the shares of Common Stock, without the vote of the holders of the shares of Preferred Stock or any series thereof, unless any such Preferred holders are entitled to vote thereon pursuant to the provisions established by the Board of Directors in the resolution or resolutions providing for the issue of such Preferred Stock, and if such holders of such Preferred Stock are so entitled to vote thereon, then, except as may otherwise be set forth in this Certificate of Incorporation, the only stockholder approval required shall be that of a majority of the combined voting power of the Common and Preferred Stock so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(b) The Board of Directors is expressly authorized to provide for the issue, in one or more series, of all or any shares of the Preferred Stock and, in the resolution or resolutions providing for such issue, to establish for each such series the number of its shares, which may thereafter (unless forbidden in the resolution or resolutions providing for such issue) be increased or decreased (but not below the number of shares of the series then outstanding) pursuant to a subsequent resolution of the Board of Directors,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In furtherance of the foregoing authority and not in limitation of it, the Board of Directors is expressly authorized, in the resolution or resolutions providing for the issue of a series of Preferred Stock, to make the shares of such series, without the consent of the holders of such shares, convertible into or exchangeable for shares of another class or classes of stock of the corporation or any series thereof, or redeemable for cash, property or rights, including securities, all on such conditions and on such terms as may be stated in such resolution or resolutions, and to make any of the voting powers, designations, preferences, rights and qualifications, limitations or restrictions of the shares of the series dependent upon facts ascertainable outside this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(c) Holders of shares of Common Stock shall be entitled to receive such dividends or distributions as are lawfully declared on the Common Stock; to have notice of any authorized meeting of stockholders; to one vote for each share of Common Stock on all matters that are properly submitted to a vote of such stockholders; and, upon dissolution of the corporation, to share ratably in the assets thereof that may be available for distribution after satisfaction of creditors and of the preferences, if any, of any shares of Preferred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In furtherance and not in limitation of the powers conferred by statute, the Board of Directors is expressly authorized to make, alter or repeal the by-laws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6. (a) A director of the corporation shall not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(b) Each director or officer of the corporation who was or is made a party or is threatened to be made a party to or is in any way involved in any threatened, pending or completed action, suit or proceeding, whether civil, criminal, administrative or investigative (including without limitation any action, suit or proceeding brought by or in the right of the corporation to procure a judgment in its favor) (hereinafter a “proceeding”), including any appeal therefrom, by reason of the fact that he or she, or a person of whom he or she is the legal representative, is or was a director or officer of the corporation or of a subsidiary of the corporation, or is or was serving at the request of the corporation as a director or officer of another entity or enterprise, or was a director or officer of a foreign or domestic corporation which was a predecessor corporation of the corporation or of another entity or enterprise at the request of such predecessor corporation, or by reason of anything done or not done in such capacity, shall be indemnified and held harmless by the corporation, and the corporation shall advance all expenses incurred by any such person in connection with any such proceeding prior to its final determination, to the fullest extent authorized by the Delaware General Corporation Law. In any proceeding against the corporation to enforce these rights, such person shall be presumed to be entitled to indemnification and the corporation shall have the burden of proof to overcome that presumption. The rights to indemnification and advancement of expenses conferred by this Article shall be presumed to have been relied upon by directors and officers of the corporation in serving or continuing to serve the corporation and shall be enforceable as contract rights. Said rights shall not be exclusive of any other rights to which those seeking indemnification may otherwise be entitled. The corporation may, upon written demand presented by a director or officer of the corporation or of a subsidiary of the corporation, or by a person serving at the request of the corporation as a director or officer of another entity or enterprise, enter into contracts to provide such persons with specific rights to indemnification, which contracts may confer rights and protections to the maximum extent permitted by the Delaware General Corporation Law. The corporation may create trust funds, grant security interests, obtain letters of credit, or use other means to ensure payment of such amounts as may be necessary to perform the obligations provided for in this Article 6 or in any such contract. </w:t>
      </w:r>
    </w:p>
    <w:p>
      <w:pPr>
        <w:pStyle w:val="TextBody"/>
        <w:bidi w:val="0"/>
        <w:spacing w:before="240" w:after="0"/>
        <w:jc w:val="left"/>
        <w:rPr>
          <w:rFonts w:ascii="Times New Roman" w:hAnsi="Times New Roman"/>
          <w:sz w:val="20"/>
        </w:rPr>
      </w:pPr>
      <w:r>
        <w:rPr>
          <w:rFonts w:ascii="Times New Roman" w:hAnsi="Times New Roman"/>
          <w:sz w:val="20"/>
        </w:rPr>
        <w:t xml:space="preserve">(c) Any repeal or modification of the foregoing provisions of this Article 6, including without limitation any contractual rights arising under or authorized by it, by the stockholders of the corporation shall not adversely affect any right or protection of a director or officer of the corporation existing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7. No holder of stock of the corporation, or of any class or classes or of a series or series thereof, shall be entitled to cumulate votes for the election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8. An officer of the corporation shall not be liable to the corporation or its stockholders for monetary damages for breach of fiduciary duty as an officer, except for liability (i) for any breach of the officer’s duty of loyalty to the corporation or its stockholders, (ii) for acts or omissions not in good faith or which involve intentional misconduct or a knowing violation of law, (iii) for any transaction from which the officer derived an improper personal benefit, or (iv) in any action by or in the right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Restated Certificate of Incorporation to be executed by its duly authorized officer on this 4th day of March,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4"/>
        <w:gridCol w:w="60"/>
        <w:gridCol w:w="3718"/>
      </w:tblGrid>
      <w:tr>
        <w:trPr/>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FAIR ISAAC CORPORATION</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8" w:type="dxa"/>
            <w:tcBorders>
              <w:bottom w:val="single" w:sz="2" w:space="0" w:color="000000"/>
            </w:tcBorders>
            <w:tcMar>
              <w:bottom w:w="28" w:type="dxa"/>
            </w:tcMar>
          </w:tcPr>
          <w:p>
            <w:pPr>
              <w:pStyle w:val="TableContents"/>
              <w:bidi w:val="0"/>
              <w:spacing w:before="0" w:after="283"/>
              <w:jc w:val="left"/>
              <w:rPr/>
            </w:pPr>
            <w:r>
              <w:rPr/>
              <w:t>/s/ Carrie H. Darling</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Carrie H. Darling</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Title: Vice President, Deputy General Counsel and Assistant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3063</Words>
  <Characters>16149</Characters>
  <CharactersWithSpaces>19280</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